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4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wns4d1n5ry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jl857mp9ss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3"/>
      <w:bookmarkEnd w:id="3"/>
      <w:r w:rsidDel="00000000" w:rsidR="00000000" w:rsidRPr="00000000">
        <w:rPr>
          <w:rtl w:val="0"/>
        </w:rPr>
        <w:t xml:space="preserve">Prediction of Credit Card Payment Default using AI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b w:val="1"/>
          <w:color w:val="008575"/>
          <w:sz w:val="40"/>
          <w:szCs w:val="4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8575"/>
          <w:sz w:val="40"/>
          <w:szCs w:val="40"/>
          <w:rtl w:val="0"/>
        </w:rPr>
        <w:t xml:space="preserve">Project Group 5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Kiran Joseph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Amit Patra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40" w:lineRule="auto"/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Paul Ittoopunny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9gpg4whj7n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120" w:lineRule="auto"/>
        <w:rPr>
          <w:sz w:val="46"/>
          <w:szCs w:val="46"/>
        </w:rPr>
      </w:pPr>
      <w:bookmarkStart w:colFirst="0" w:colLast="0" w:name="_ga3scbx55iwn" w:id="5"/>
      <w:bookmarkEnd w:id="5"/>
      <w:r w:rsidDel="00000000" w:rsidR="00000000" w:rsidRPr="00000000">
        <w:rPr>
          <w:sz w:val="46"/>
          <w:szCs w:val="46"/>
          <w:rtl w:val="0"/>
        </w:rPr>
        <w:t xml:space="preserve">1. Project Overview</w:t>
      </w:r>
    </w:p>
    <w:p w:rsidR="00000000" w:rsidDel="00000000" w:rsidP="00000000" w:rsidRDefault="00000000" w:rsidRPr="00000000" w14:paraId="00000010">
      <w:pPr>
        <w:pStyle w:val="Heading1"/>
        <w:spacing w:after="240" w:before="240" w:lineRule="auto"/>
        <w:rPr/>
      </w:pPr>
      <w:bookmarkStart w:colFirst="0" w:colLast="0" w:name="_4ywlcwfvfm81" w:id="6"/>
      <w:bookmarkEnd w:id="6"/>
      <w:r w:rsidDel="00000000" w:rsidR="00000000" w:rsidRPr="00000000">
        <w:rPr>
          <w:rtl w:val="0"/>
        </w:rPr>
        <w:t xml:space="preserve">This project aims to predict whether a customer will default on their credit card payment in the upcoming month using historical data and AI techniques.</w:t>
      </w:r>
    </w:p>
    <w:p w:rsidR="00000000" w:rsidDel="00000000" w:rsidP="00000000" w:rsidRDefault="00000000" w:rsidRPr="00000000" w14:paraId="00000011">
      <w:pPr>
        <w:pStyle w:val="Heading1"/>
        <w:spacing w:after="120" w:lineRule="auto"/>
        <w:rPr>
          <w:sz w:val="46"/>
          <w:szCs w:val="46"/>
        </w:rPr>
      </w:pPr>
      <w:bookmarkStart w:colFirst="0" w:colLast="0" w:name="_8r2h2rbpcgr" w:id="7"/>
      <w:bookmarkEnd w:id="7"/>
      <w:r w:rsidDel="00000000" w:rsidR="00000000" w:rsidRPr="00000000">
        <w:rPr>
          <w:sz w:val="46"/>
          <w:szCs w:val="46"/>
          <w:rtl w:val="0"/>
        </w:rPr>
        <w:t xml:space="preserve">2. Dataset Description</w:t>
      </w:r>
    </w:p>
    <w:p w:rsidR="00000000" w:rsidDel="00000000" w:rsidP="00000000" w:rsidRDefault="00000000" w:rsidRPr="00000000" w14:paraId="00000012">
      <w:pPr>
        <w:pStyle w:val="Heading1"/>
        <w:spacing w:after="240" w:before="240" w:lineRule="auto"/>
        <w:rPr/>
      </w:pPr>
      <w:bookmarkStart w:colFirst="0" w:colLast="0" w:name="_4ywlcwfvfm81" w:id="6"/>
      <w:bookmarkEnd w:id="6"/>
      <w:r w:rsidDel="00000000" w:rsidR="00000000" w:rsidRPr="00000000">
        <w:rPr>
          <w:rtl w:val="0"/>
        </w:rPr>
        <w:t xml:space="preserve">Source: Provided credit_card_default_raw.csv</w:t>
        <w:br w:type="textWrapping"/>
        <w:t xml:space="preserve">Size: 30,000 records with 24 features</w:t>
        <w:br w:type="textWrapping"/>
        <w:t xml:space="preserve">Key Variables:</w:t>
        <w:br w:type="textWrapping"/>
        <w:t xml:space="preserve">   - Demographics: Age, Gender, Education, Marital Status</w:t>
        <w:br w:type="textWrapping"/>
        <w:t xml:space="preserve">   - Financials: Limit Balance, Payment History, Bill Amounts, Pay Amounts</w:t>
        <w:br w:type="textWrapping"/>
        <w:t xml:space="preserve">   - Target: default.payment.next.month (binary: 0 = No default, 1 = Default)</w:t>
      </w:r>
    </w:p>
    <w:p w:rsidR="00000000" w:rsidDel="00000000" w:rsidP="00000000" w:rsidRDefault="00000000" w:rsidRPr="00000000" w14:paraId="00000013">
      <w:pPr>
        <w:pStyle w:val="Heading1"/>
        <w:spacing w:after="120" w:lineRule="auto"/>
        <w:rPr>
          <w:sz w:val="46"/>
          <w:szCs w:val="46"/>
        </w:rPr>
      </w:pPr>
      <w:bookmarkStart w:colFirst="0" w:colLast="0" w:name="_8zkrix2rt813" w:id="8"/>
      <w:bookmarkEnd w:id="8"/>
      <w:r w:rsidDel="00000000" w:rsidR="00000000" w:rsidRPr="00000000">
        <w:rPr>
          <w:sz w:val="46"/>
          <w:szCs w:val="46"/>
          <w:rtl w:val="0"/>
        </w:rPr>
        <w:t xml:space="preserve">3. Data Preparation &amp; Cleaning</w:t>
      </w:r>
    </w:p>
    <w:p w:rsidR="00000000" w:rsidDel="00000000" w:rsidP="00000000" w:rsidRDefault="00000000" w:rsidRPr="00000000" w14:paraId="00000014">
      <w:pPr>
        <w:pStyle w:val="Heading1"/>
        <w:spacing w:after="240" w:before="240" w:lineRule="auto"/>
        <w:rPr/>
      </w:pPr>
      <w:bookmarkStart w:colFirst="0" w:colLast="0" w:name="_4ywlcwfvfm81" w:id="6"/>
      <w:bookmarkEnd w:id="6"/>
      <w:r w:rsidDel="00000000" w:rsidR="00000000" w:rsidRPr="00000000">
        <w:rPr>
          <w:rtl w:val="0"/>
        </w:rPr>
        <w:t xml:space="preserve">Missing values handled</w:t>
        <w:br w:type="textWrapping"/>
        <w:t xml:space="preserve">Outliers visualized and mitigated</w:t>
        <w:br w:type="textWrapping"/>
        <w:t xml:space="preserve">Variables transformed (e.g., grouped age bins, one-hot encoding for models)</w:t>
      </w:r>
    </w:p>
    <w:p w:rsidR="00000000" w:rsidDel="00000000" w:rsidP="00000000" w:rsidRDefault="00000000" w:rsidRPr="00000000" w14:paraId="00000015">
      <w:pPr>
        <w:pStyle w:val="Heading1"/>
        <w:spacing w:after="120" w:lineRule="auto"/>
        <w:rPr>
          <w:sz w:val="46"/>
          <w:szCs w:val="46"/>
        </w:rPr>
      </w:pPr>
      <w:bookmarkStart w:colFirst="0" w:colLast="0" w:name="_gf77jty4i8rl" w:id="9"/>
      <w:bookmarkEnd w:id="9"/>
      <w:r w:rsidDel="00000000" w:rsidR="00000000" w:rsidRPr="00000000">
        <w:rPr>
          <w:sz w:val="46"/>
          <w:szCs w:val="46"/>
          <w:rtl w:val="0"/>
        </w:rPr>
        <w:t xml:space="preserve">4. Exploratory Data Analysis (EDA)</w:t>
      </w:r>
    </w:p>
    <w:p w:rsidR="00000000" w:rsidDel="00000000" w:rsidP="00000000" w:rsidRDefault="00000000" w:rsidRPr="00000000" w14:paraId="00000016">
      <w:pPr>
        <w:pStyle w:val="Heading1"/>
        <w:spacing w:after="240" w:before="240" w:lineRule="auto"/>
        <w:rPr/>
      </w:pPr>
      <w:bookmarkStart w:colFirst="0" w:colLast="0" w:name="_4ywlcwfvfm81" w:id="6"/>
      <w:bookmarkEnd w:id="6"/>
      <w:r w:rsidDel="00000000" w:rsidR="00000000" w:rsidRPr="00000000">
        <w:rPr>
          <w:rtl w:val="0"/>
        </w:rPr>
        <w:t xml:space="preserve">Distributions: Age, Limit Balance, Education, etc.</w:t>
        <w:br w:type="textWrapping"/>
        <w:t xml:space="preserve">Insights:</w:t>
        <w:br w:type="textWrapping"/>
        <w:t xml:space="preserve">   - Younger age groups showed higher default rates.</w:t>
        <w:br w:type="textWrapping"/>
        <w:t xml:space="preserve">   - Higher limit balances were associated with lower default probabilities.</w:t>
        <w:br w:type="textWrapping"/>
        <w:t xml:space="preserve">   - Past payment behavior is a strong indicator of future default.</w:t>
      </w:r>
    </w:p>
    <w:p w:rsidR="00000000" w:rsidDel="00000000" w:rsidP="00000000" w:rsidRDefault="00000000" w:rsidRPr="00000000" w14:paraId="00000017">
      <w:pPr>
        <w:pStyle w:val="Heading1"/>
        <w:spacing w:after="240" w:before="240" w:lineRule="auto"/>
        <w:rPr/>
      </w:pPr>
      <w:bookmarkStart w:colFirst="0" w:colLast="0" w:name="_4ywlcwfvfm81" w:id="6"/>
      <w:bookmarkEnd w:id="6"/>
      <w:r w:rsidDel="00000000" w:rsidR="00000000" w:rsidRPr="00000000">
        <w:rPr>
          <w:rtl w:val="0"/>
        </w:rPr>
        <w:t xml:space="preserve">Age Distribution</w:t>
      </w:r>
    </w:p>
    <w:p w:rsidR="00000000" w:rsidDel="00000000" w:rsidP="00000000" w:rsidRDefault="00000000" w:rsidRPr="00000000" w14:paraId="00000018">
      <w:pPr>
        <w:pStyle w:val="Heading1"/>
        <w:spacing w:after="240" w:before="240" w:lineRule="auto"/>
        <w:rPr/>
      </w:pPr>
      <w:bookmarkStart w:colFirst="0" w:colLast="0" w:name="_4ywlcwfvfm81" w:id="6"/>
      <w:bookmarkEnd w:id="6"/>
      <w:r w:rsidDel="00000000" w:rsidR="00000000" w:rsidRPr="00000000">
        <w:rPr/>
        <w:drawing>
          <wp:inline distB="114300" distT="114300" distL="114300" distR="114300">
            <wp:extent cx="5029200" cy="3644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240" w:before="240" w:lineRule="auto"/>
        <w:rPr/>
      </w:pPr>
      <w:bookmarkStart w:colFirst="0" w:colLast="0" w:name="_4ywlcwfvfm81" w:id="6"/>
      <w:bookmarkEnd w:id="6"/>
      <w:r w:rsidDel="00000000" w:rsidR="00000000" w:rsidRPr="00000000">
        <w:rPr>
          <w:rtl w:val="0"/>
        </w:rPr>
        <w:t xml:space="preserve">Limit Bal Distribution</w:t>
      </w:r>
    </w:p>
    <w:p w:rsidR="00000000" w:rsidDel="00000000" w:rsidP="00000000" w:rsidRDefault="00000000" w:rsidRPr="00000000" w14:paraId="0000001A">
      <w:pPr>
        <w:pStyle w:val="Heading1"/>
        <w:spacing w:after="240" w:before="240" w:lineRule="auto"/>
        <w:rPr/>
      </w:pPr>
      <w:bookmarkStart w:colFirst="0" w:colLast="0" w:name="_4ywlcwfvfm81" w:id="6"/>
      <w:bookmarkEnd w:id="6"/>
      <w:r w:rsidDel="00000000" w:rsidR="00000000" w:rsidRPr="00000000">
        <w:rPr/>
        <w:drawing>
          <wp:inline distB="114300" distT="114300" distL="114300" distR="114300">
            <wp:extent cx="5029200" cy="3949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240" w:before="240" w:lineRule="auto"/>
        <w:rPr/>
      </w:pPr>
      <w:bookmarkStart w:colFirst="0" w:colLast="0" w:name="_4ywlcwfvfm81" w:id="6"/>
      <w:bookmarkEnd w:id="6"/>
      <w:r w:rsidDel="00000000" w:rsidR="00000000" w:rsidRPr="00000000">
        <w:rPr>
          <w:rtl w:val="0"/>
        </w:rPr>
        <w:t xml:space="preserve">Correlation Matrix</w:t>
      </w:r>
    </w:p>
    <w:p w:rsidR="00000000" w:rsidDel="00000000" w:rsidP="00000000" w:rsidRDefault="00000000" w:rsidRPr="00000000" w14:paraId="0000001C">
      <w:pPr>
        <w:pStyle w:val="Heading1"/>
        <w:spacing w:after="240" w:before="240" w:lineRule="auto"/>
        <w:rPr/>
      </w:pPr>
      <w:bookmarkStart w:colFirst="0" w:colLast="0" w:name="_4ywlcwfvfm81" w:id="6"/>
      <w:bookmarkEnd w:id="6"/>
      <w:r w:rsidDel="00000000" w:rsidR="00000000" w:rsidRPr="00000000">
        <w:rPr/>
        <w:drawing>
          <wp:inline distB="114300" distT="114300" distL="114300" distR="114300">
            <wp:extent cx="5029200" cy="4610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240" w:before="240" w:lineRule="auto"/>
        <w:rPr/>
      </w:pPr>
      <w:bookmarkStart w:colFirst="0" w:colLast="0" w:name="_4ywlcwfvfm81" w:id="6"/>
      <w:bookmarkEnd w:id="6"/>
      <w:r w:rsidDel="00000000" w:rsidR="00000000" w:rsidRPr="00000000">
        <w:rPr>
          <w:rtl w:val="0"/>
        </w:rPr>
        <w:t xml:space="preserve">Target Value Distribution</w:t>
      </w:r>
    </w:p>
    <w:p w:rsidR="00000000" w:rsidDel="00000000" w:rsidP="00000000" w:rsidRDefault="00000000" w:rsidRPr="00000000" w14:paraId="0000001E">
      <w:pPr>
        <w:pStyle w:val="Heading1"/>
        <w:spacing w:after="240" w:before="240" w:lineRule="auto"/>
        <w:rPr/>
      </w:pPr>
      <w:bookmarkStart w:colFirst="0" w:colLast="0" w:name="_4ywlcwfvfm81" w:id="6"/>
      <w:bookmarkEnd w:id="6"/>
      <w:r w:rsidDel="00000000" w:rsidR="00000000" w:rsidRPr="00000000">
        <w:rPr/>
        <w:drawing>
          <wp:inline distB="114300" distT="114300" distL="114300" distR="114300">
            <wp:extent cx="5029200" cy="3759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120" w:lineRule="auto"/>
        <w:rPr>
          <w:sz w:val="46"/>
          <w:szCs w:val="46"/>
        </w:rPr>
      </w:pPr>
      <w:bookmarkStart w:colFirst="0" w:colLast="0" w:name="_cmifgxjnh1qx" w:id="10"/>
      <w:bookmarkEnd w:id="10"/>
      <w:r w:rsidDel="00000000" w:rsidR="00000000" w:rsidRPr="00000000">
        <w:rPr>
          <w:sz w:val="46"/>
          <w:szCs w:val="46"/>
          <w:rtl w:val="0"/>
        </w:rPr>
        <w:t xml:space="preserve">5. Inferential Techniques</w:t>
      </w:r>
    </w:p>
    <w:p w:rsidR="00000000" w:rsidDel="00000000" w:rsidP="00000000" w:rsidRDefault="00000000" w:rsidRPr="00000000" w14:paraId="00000020">
      <w:pPr>
        <w:pStyle w:val="Heading1"/>
        <w:spacing w:after="240" w:before="240" w:lineRule="auto"/>
        <w:rPr/>
      </w:pPr>
      <w:bookmarkStart w:colFirst="0" w:colLast="0" w:name="_4ywlcwfvfm81" w:id="6"/>
      <w:bookmarkEnd w:id="6"/>
      <w:r w:rsidDel="00000000" w:rsidR="00000000" w:rsidRPr="00000000">
        <w:rPr>
          <w:rtl w:val="0"/>
        </w:rPr>
        <w:t xml:space="preserve">Logistic Regression: Used for estimating probabilities of default.</w:t>
        <w:br w:type="textWrapping"/>
        <w:t xml:space="preserve">   - Significant predictors: PAY_0, PAY_2, LIMIT_BAL (p-values &lt; 0.05)</w:t>
        <w:br w:type="textWrapping"/>
        <w:t xml:space="preserve">   - Odds Interpretation: Delay in payment (PAY_X) significantly increases odds of default.</w:t>
        <w:br w:type="textWrapping"/>
        <w:t xml:space="preserve">Random Forest:</w:t>
        <w:br w:type="textWrapping"/>
        <w:t xml:space="preserve">   - Used for both prediction and feature importance inference.</w:t>
        <w:br w:type="textWrapping"/>
        <w:t xml:space="preserve">   - Top predictors: PAY_0, LIMIT_BAL, BILL_AMT1, AGE</w:t>
      </w:r>
    </w:p>
    <w:p w:rsidR="00000000" w:rsidDel="00000000" w:rsidP="00000000" w:rsidRDefault="00000000" w:rsidRPr="00000000" w14:paraId="00000021">
      <w:pPr>
        <w:pStyle w:val="Heading1"/>
        <w:spacing w:after="120" w:lineRule="auto"/>
        <w:rPr>
          <w:sz w:val="46"/>
          <w:szCs w:val="46"/>
        </w:rPr>
      </w:pPr>
      <w:bookmarkStart w:colFirst="0" w:colLast="0" w:name="_dco1uygpw933" w:id="11"/>
      <w:bookmarkEnd w:id="11"/>
      <w:r w:rsidDel="00000000" w:rsidR="00000000" w:rsidRPr="00000000">
        <w:rPr>
          <w:sz w:val="46"/>
          <w:szCs w:val="46"/>
          <w:rtl w:val="0"/>
        </w:rPr>
        <w:t xml:space="preserve">6. Model Evaluation</w:t>
      </w:r>
    </w:p>
    <w:p w:rsidR="00000000" w:rsidDel="00000000" w:rsidP="00000000" w:rsidRDefault="00000000" w:rsidRPr="00000000" w14:paraId="00000022">
      <w:pPr>
        <w:pStyle w:val="Heading1"/>
        <w:spacing w:after="240" w:before="240" w:lineRule="auto"/>
        <w:rPr/>
      </w:pPr>
      <w:bookmarkStart w:colFirst="0" w:colLast="0" w:name="_4ywlcwfvfm81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Logistic Regression Accuracy: ~81%</w:t>
        <w:br w:type="textWrapping"/>
        <w:t xml:space="preserve">Random Forest Accuracy: ~83%</w:t>
        <w:br w:type="textWrapping"/>
        <w:t xml:space="preserve">ROC-AUC: Random Forest slightly better (AUC ≈ 0.85)</w:t>
        <w:br w:type="textWrapping"/>
        <w:t xml:space="preserve">Conclusion: AI models can reliably predict credit card default risk, with payment history being the strongest signal.</w:t>
      </w:r>
    </w:p>
    <w:p w:rsidR="00000000" w:rsidDel="00000000" w:rsidP="00000000" w:rsidRDefault="00000000" w:rsidRPr="00000000" w14:paraId="00000023">
      <w:pPr>
        <w:pStyle w:val="Heading1"/>
        <w:spacing w:after="120" w:lineRule="auto"/>
        <w:rPr>
          <w:sz w:val="46"/>
          <w:szCs w:val="46"/>
        </w:rPr>
      </w:pPr>
      <w:bookmarkStart w:colFirst="0" w:colLast="0" w:name="_qazlh5qk1o2a" w:id="12"/>
      <w:bookmarkEnd w:id="12"/>
      <w:r w:rsidDel="00000000" w:rsidR="00000000" w:rsidRPr="00000000">
        <w:rPr>
          <w:sz w:val="46"/>
          <w:szCs w:val="46"/>
          <w:rtl w:val="0"/>
        </w:rPr>
        <w:t xml:space="preserve">7. Recommendations</w:t>
      </w:r>
    </w:p>
    <w:p w:rsidR="00000000" w:rsidDel="00000000" w:rsidP="00000000" w:rsidRDefault="00000000" w:rsidRPr="00000000" w14:paraId="00000024">
      <w:pPr>
        <w:pStyle w:val="Heading1"/>
        <w:spacing w:after="240" w:before="240" w:lineRule="auto"/>
        <w:rPr/>
      </w:pPr>
      <w:bookmarkStart w:colFirst="0" w:colLast="0" w:name="_ddiu47a2bpl7" w:id="13"/>
      <w:bookmarkEnd w:id="13"/>
      <w:r w:rsidDel="00000000" w:rsidR="00000000" w:rsidRPr="00000000">
        <w:rPr>
          <w:rtl w:val="0"/>
        </w:rPr>
        <w:t xml:space="preserve">Financial institutions should integrate predictive analytics in credit risk assessment.</w:t>
        <w:br w:type="textWrapping"/>
        <w:t xml:space="preserve">Periodic model retraining is necessary to reflect changing financial behavior.</w:t>
      </w:r>
    </w:p>
    <w:sectPr>
      <w:headerReference r:id="rId11" w:type="default"/>
      <w:headerReference r:id="rId12" w:type="first"/>
      <w:footerReference r:id="rId13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4"/>
    <w:bookmarkEnd w:id="14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