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SWTID-2026-6276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AI StudyBuddy API – Deliver Intelligent, Personalized Study Assistance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jc w:val="center"/>
        <w:rPr>
          <w:rFonts w:ascii="Arial" w:cs="Arial" w:eastAsia="Arial" w:hAnsi="Arial"/>
          <w:b w:val="1"/>
        </w:rPr>
      </w:pPr>
      <w:r w:rsidDel="00000000" w:rsidR="00000000" w:rsidRPr="00000000">
        <w:rPr>
          <w:rtl w:val="0"/>
        </w:rPr>
      </w:r>
      <w:r>
        <w:drawing>
          <wp:inline>
            <wp:extent cx="5486400" cy="2545275"/>
            <wp:docPr id="11" name="Picture 11"/>
            <wp:cNvGraphicFramePr>
              <a:graphicFrameLocks noChangeAspect="1"/>
            </wp:cNvGraphicFramePr>
            <a:graphic>
              <a:graphicData uri="http://schemas.openxmlformats.org/drawingml/2006/picture">
                <pic:pic>
                  <pic:nvPicPr>
                    <pic:cNvPr id="0" name="dfd0.png"/>
                    <pic:cNvPicPr/>
                  </pic:nvPicPr>
                  <pic:blipFill>
                    <a:blip r:embed="rId12"/>
                    <a:stretch>
                      <a:fillRect/>
                    </a:stretch>
                  </pic:blipFill>
                  <pic:spPr>
                    <a:xfrm>
                      <a:off x="0" y="0"/>
                      <a:ext cx="5486400" cy="2545275"/>
                    </a:xfrm>
                    <a:prstGeom prst="rect"/>
                  </pic:spPr>
                </pic:pic>
              </a:graphicData>
            </a:graphic>
          </wp:inline>
        </w:drawing>
      </w:r>
    </w:p>
    <w:p w:rsidR="00000000" w:rsidDel="00000000" w:rsidP="00000000" w:rsidRDefault="00000000" w:rsidRPr="00000000" w14:paraId="00000011">
      <w:pPr>
        <w:jc w:val="center"/>
        <w:rPr>
          <w:rFonts w:ascii="Arial" w:cs="Arial" w:eastAsia="Arial" w:hAnsi="Arial"/>
          <w:b w:val="1"/>
        </w:rPr>
      </w:pPr>
      <w:r w:rsidDel="00000000" w:rsidR="00000000" w:rsidRPr="00000000">
        <w:rPr>
          <w:rtl w:val="0"/>
        </w:rPr>
      </w:r>
      <w:r>
        <w:drawing>
          <wp:inline>
            <wp:extent cx="5120640" cy="4001903"/>
            <wp:docPr id="12" name="Picture 12"/>
            <wp:cNvGraphicFramePr>
              <a:graphicFrameLocks noChangeAspect="1"/>
            </wp:cNvGraphicFramePr>
            <a:graphic>
              <a:graphicData uri="http://schemas.openxmlformats.org/drawingml/2006/picture">
                <pic:pic>
                  <pic:nvPicPr>
                    <pic:cNvPr id="0" name="dfd1.png"/>
                    <pic:cNvPicPr/>
                  </pic:nvPicPr>
                  <pic:blipFill>
                    <a:blip r:embed="rId13"/>
                    <a:stretch>
                      <a:fillRect/>
                    </a:stretch>
                  </pic:blipFill>
                  <pic:spPr>
                    <a:xfrm>
                      <a:off x="0" y="0"/>
                      <a:ext cx="5120640" cy="4001903"/>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Student (Registered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User 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register by entering my name, email and password so that I can use the application.</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Account is created and a 201 response is returned; password is stored hashed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log in with my email and password to receive a JWT token.</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Valid credentials return a JWT with 200; invalid password returns 401</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Subject &amp; Topic Management</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USN-7</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create a subject and a study topic so that my material is organised.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Topic is saved against my user and returns 201</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USN-8</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view, update and delete my topics.</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Only my topics are listed; updates and deletions persist correctly</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Study Notes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save and retrieve notes and progress for a topic.</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Notes and progress are stored and returned for that topic</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AI Study Aids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USN-15</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request an AI summary of my topic notes to understand them quickly.</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Gemini-generated summary is returned in plain language</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USN-16</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can get practice questions and revision recommendations for a topic.</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Quiz questions and a personalised revision plan are returned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USN-18</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student, I still receive a study response even if the AI key is missing or fails.</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Fallback text response is returned instead of an error</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Admin</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Admin Management</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USN-20</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 I can view all registered users.</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Admin token returns the user list; non-admin token is refused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 I can delete or suspend a user account.</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User is removed / suspended and confirmation is returned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USN-22</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admin, I can check API and service health.</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Health status of API, database and AI service is returned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Guest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Public Access</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USN-23</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 guest, I can access public endpoints for general study tips and API information without an account.</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Public endpoints respond without a token</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Low</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