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607FAA"/>
          <w:sz w:val="48"/>
        </w:rPr>
        <w:t>HISTORICAL:</w:t>
      </w:r>
    </w:p>
    <w:p>
      <w:pPr>
        <w:jc w:val="center"/>
      </w:pPr>
      <w:r>
        <w:rPr>
          <w:rFonts w:ascii="Aptos Display" w:hAnsi="Aptos Display"/>
          <w:b/>
          <w:color w:val="213854"/>
          <w:sz w:val="62"/>
        </w:rPr>
        <w:t>BATTLE OF TUKAYYID</w:t>
      </w:r>
    </w:p>
    <w:p>
      <w:pPr>
        <w:spacing w:before="240"/>
        <w:jc w:val="center"/>
      </w:pPr>
      <w:r>
        <w:rPr>
          <w:i/>
          <w:color w:val="566273"/>
          <w:sz w:val="24"/>
        </w:rPr>
        <w:t>Version 0.1 Playtest</w:t>
      </w:r>
    </w:p>
    <w:p>
      <w:pPr>
        <w:spacing w:after="360"/>
      </w:pPr>
    </w:p>
    <w:p>
      <w:pPr>
        <w:jc w:val="center"/>
      </w:pPr>
      <w:r>
        <w:t>This is a work-in-progress update to the Battle of Tukayyid campaign system. It retains the original campaign's structure and character while incorporating selected rules and concepts from the BattleTech Core Rulebook and Hot Spots: Draconis Reach.</w:t>
      </w:r>
    </w:p>
    <w:p>
      <w:pPr>
        <w:jc w:val="center"/>
      </w:pPr>
      <w:r>
        <w:t>Only changed or additional rules are presented below. Unless specifically stated otherwise, continue using the published Battle of Tukayyid and Hot Spots: Draconis Reach rules, together with the rules publication selected below.</w:t>
      </w:r>
    </w:p>
    <w:p>
      <w:pPr>
        <w:spacing w:after="360"/>
        <w:jc w:val="center"/>
      </w:pPr>
      <w:r>
        <w:t>All feedback is welcome, whether based on actual play or simply reviewing the rules. Feedback on balance, campaign pacing, clarity, Track objectives, and the campaign economy would be especially helpful.</w:t>
      </w:r>
    </w:p>
    <w:p>
      <w:pPr>
        <w:spacing w:before="140" w:after="220" w:line="247" w:lineRule="auto"/>
        <w:ind w:left="259" w:right="259"/>
        <w:shd w:fill="EEF2F7"/>
        <w:pBdr>
          <w:left w:val="single" w:sz="20" w:space="8" w:color="607FAA"/>
        </w:pBdr>
      </w:pPr>
      <w:r>
        <w:rPr>
          <w:sz w:val="17"/>
        </w:rPr>
        <w:t>In May 3052, the armies of ComStar met the invading Clans on Tukayyid. For twenty-one days, they fought across seven campaign regions to decide whether the Clan advance toward Terra would continue. ComStar prevailed, and the resulting truce halted the invasion for fifteen years.</w:t>
        <w:br/>
        <w:br/>
      </w:r>
      <w:r>
        <w:rPr>
          <w:sz w:val="17"/>
        </w:rPr>
        <w:t>At the time, Tukayyid was celebrated as the battle that saved the Inner Sphere. Its defenders had denied the Clans their ultimate prize and given the Great Houses time to recover, rearm, and prepare for the conflicts that followed.</w:t>
        <w:br/>
        <w:br/>
      </w:r>
      <w:r>
        <w:rPr>
          <w:sz w:val="17"/>
        </w:rPr>
        <w:t>Yet, as the battle's centennial approaches, Terra rests in Clan hands and an ilClan rules from humanity's birthplace. Tukayyid unquestionably changed the course of history, but its victory came at a terrible price.</w:t>
        <w:br/>
        <w:br/>
      </w:r>
      <w:r>
        <w:rPr>
          <w:i/>
          <w:sz w:val="17"/>
        </w:rPr>
        <w:t>Was the time purchased on Tukayyid worth its cost—and what did the Inner Sphere ultimately do with it?</w:t>
        <w:br/>
      </w:r>
      <w:r>
        <w:rPr>
          <w:b/>
          <w:i/>
          <w:color w:val="213854"/>
          <w:sz w:val="17"/>
        </w:rPr>
        <w:t>—Dr. Elara Venn, Tukayyid: A Century Later, Tukayyid Memorial Institute, 3151</w:t>
      </w:r>
    </w:p>
    <w:tbl>
      <w:tblPr>
        <w:tblStyle w:val="TableGrid"/>
        <w:tblW w:type="dxa" w:w="10040"/>
        <w:jc w:val="left"/>
        <w:tblLayout w:type="fixed"/>
        <w:tblLook w:firstColumn="1" w:firstRow="1" w:lastColumn="0" w:lastRow="0" w:noHBand="0" w:noVBand="1" w:val="04A0"/>
        <w:tblInd w:type="dxa" w:w="120"/>
        <w:tblLayout w:type="fixed"/>
      </w:tblPr>
      <w:tblGrid>
        <w:gridCol w:w="3426"/>
        <w:gridCol w:w="6614"/>
      </w:tblGrid>
      <w:tr>
        <w:trPr>
          <w:tblHeader w:val="true"/>
        </w:trPr>
        <w:tc>
          <w:tcPr>
            <w:tcW w:type="dxa" w:w="3426"/>
            <w:shd w:fill="DCE3EE"/>
            <w:tcMar>
              <w:top w:w="80" w:type="dxa"/>
              <w:start w:w="120" w:type="dxa"/>
              <w:bottom w:w="80" w:type="dxa"/>
              <w:end w:w="120" w:type="dxa"/>
            </w:tcMar>
            <w:vAlign w:val="center"/>
          </w:tcPr>
          <w:p>
            <w:r>
              <w:rPr>
                <w:b/>
                <w:color w:val="213854"/>
              </w:rPr>
              <w:t>Rules Path</w:t>
            </w:r>
          </w:p>
        </w:tc>
        <w:tc>
          <w:tcPr>
            <w:tcW w:type="dxa" w:w="6614"/>
            <w:shd w:fill="DCE3EE"/>
            <w:tcMar>
              <w:top w:w="80" w:type="dxa"/>
              <w:start w:w="120" w:type="dxa"/>
              <w:bottom w:w="80" w:type="dxa"/>
              <w:end w:w="120" w:type="dxa"/>
            </w:tcMar>
            <w:vAlign w:val="center"/>
          </w:tcPr>
          <w:p>
            <w:r>
              <w:rPr>
                <w:b/>
                <w:color w:val="213854"/>
              </w:rPr>
              <w:t>Required Publications</w:t>
            </w:r>
          </w:p>
        </w:tc>
      </w:tr>
      <w:tr>
        <w:trPr>
          <w:cantSplit/>
        </w:trPr>
        <w:tc>
          <w:tcPr>
            <w:tcW w:type="dxa" w:w="3426"/>
            <w:tcMar>
              <w:top w:w="80" w:type="dxa"/>
              <w:start w:w="120" w:type="dxa"/>
              <w:bottom w:w="80" w:type="dxa"/>
              <w:end w:w="120" w:type="dxa"/>
            </w:tcMar>
            <w:vAlign w:val="top"/>
          </w:tcPr>
          <w:p>
            <w:pPr>
              <w:spacing w:after="0"/>
            </w:pPr>
            <w:r>
              <w:t>Classic - new core rules</w:t>
            </w:r>
          </w:p>
        </w:tc>
        <w:tc>
          <w:tcPr>
            <w:tcW w:type="dxa" w:w="6614"/>
            <w:tcMar>
              <w:top w:w="80" w:type="dxa"/>
              <w:start w:w="120" w:type="dxa"/>
              <w:bottom w:w="80" w:type="dxa"/>
              <w:end w:w="120" w:type="dxa"/>
            </w:tcMar>
            <w:vAlign w:val="top"/>
          </w:tcPr>
          <w:p>
            <w:pPr>
              <w:spacing w:after="0"/>
            </w:pPr>
            <w:r>
              <w:t>BattleTech Core Rulebook</w:t>
            </w:r>
          </w:p>
        </w:tc>
      </w:tr>
      <w:tr>
        <w:trPr>
          <w:cantSplit/>
        </w:trPr>
        <w:tc>
          <w:tcPr>
            <w:tcW w:type="dxa" w:w="3426"/>
            <w:tcMar>
              <w:top w:w="80" w:type="dxa"/>
              <w:start w:w="120" w:type="dxa"/>
              <w:bottom w:w="80" w:type="dxa"/>
              <w:end w:w="120" w:type="dxa"/>
            </w:tcMar>
            <w:vAlign w:val="top"/>
          </w:tcPr>
          <w:p>
            <w:pPr>
              <w:spacing w:after="0"/>
            </w:pPr>
            <w:r>
              <w:t>Classic - alternative older rules</w:t>
            </w:r>
          </w:p>
        </w:tc>
        <w:tc>
          <w:tcPr>
            <w:tcW w:type="dxa" w:w="6614"/>
            <w:tcMar>
              <w:top w:w="80" w:type="dxa"/>
              <w:start w:w="120" w:type="dxa"/>
              <w:bottom w:w="80" w:type="dxa"/>
              <w:end w:w="120" w:type="dxa"/>
            </w:tcMar>
            <w:vAlign w:val="top"/>
          </w:tcPr>
          <w:p>
            <w:pPr>
              <w:spacing w:after="0"/>
            </w:pPr>
            <w:r>
              <w:t>Total Warfare and BattleTech: Mercenaries</w:t>
            </w:r>
          </w:p>
        </w:tc>
      </w:tr>
      <w:tr>
        <w:trPr>
          <w:cantSplit/>
        </w:trPr>
        <w:tc>
          <w:tcPr>
            <w:tcW w:type="dxa" w:w="3426"/>
            <w:tcMar>
              <w:top w:w="80" w:type="dxa"/>
              <w:start w:w="120" w:type="dxa"/>
              <w:bottom w:w="80" w:type="dxa"/>
              <w:end w:w="120" w:type="dxa"/>
            </w:tcMar>
            <w:vAlign w:val="top"/>
          </w:tcPr>
          <w:p>
            <w:pPr>
              <w:spacing w:after="0"/>
            </w:pPr>
            <w:r>
              <w:t>Alpha Strike</w:t>
            </w:r>
          </w:p>
        </w:tc>
        <w:tc>
          <w:tcPr>
            <w:tcW w:type="dxa" w:w="6614"/>
            <w:tcMar>
              <w:top w:w="80" w:type="dxa"/>
              <w:start w:w="120" w:type="dxa"/>
              <w:bottom w:w="80" w:type="dxa"/>
              <w:end w:w="120" w:type="dxa"/>
            </w:tcMar>
            <w:vAlign w:val="top"/>
          </w:tcPr>
          <w:p>
            <w:pPr>
              <w:spacing w:after="0"/>
            </w:pPr>
            <w:r>
              <w:t>Alpha Strike: Commander's Edition</w:t>
            </w:r>
          </w:p>
        </w:tc>
      </w:tr>
      <w:tr>
        <w:trPr>
          <w:cantSplit/>
        </w:trPr>
        <w:tc>
          <w:tcPr>
            <w:tcW w:type="dxa" w:w="3426"/>
            <w:tcMar>
              <w:top w:w="80" w:type="dxa"/>
              <w:start w:w="120" w:type="dxa"/>
              <w:bottom w:w="80" w:type="dxa"/>
              <w:end w:w="120" w:type="dxa"/>
            </w:tcMar>
            <w:vAlign w:val="top"/>
          </w:tcPr>
          <w:p>
            <w:pPr>
              <w:spacing w:after="0"/>
            </w:pPr>
            <w:r>
              <w:t>Required with every path</w:t>
            </w:r>
          </w:p>
        </w:tc>
        <w:tc>
          <w:tcPr>
            <w:tcW w:type="dxa" w:w="6614"/>
            <w:tcMar>
              <w:top w:w="80" w:type="dxa"/>
              <w:start w:w="120" w:type="dxa"/>
              <w:bottom w:w="80" w:type="dxa"/>
              <w:end w:w="120" w:type="dxa"/>
            </w:tcMar>
            <w:vAlign w:val="top"/>
          </w:tcPr>
          <w:p>
            <w:pPr>
              <w:spacing w:after="0"/>
            </w:pPr>
            <w:r>
              <w:t>Battle of Tukayyid and Hot Spots: Draconis Reach</w:t>
            </w:r>
          </w:p>
        </w:tc>
      </w:tr>
    </w:tbl>
    <w:p>
      <w:pPr>
        <w:spacing w:after="40"/>
      </w:pPr>
    </w:p>
    <w:p/>
    <w:p>
      <w:r>
        <w:rPr>
          <w:b/>
        </w:rPr>
        <w:t xml:space="preserve">Using These Rules. </w:t>
      </w:r>
      <w:r>
        <w:t>This document changes, replaces, or adds to the published campaign rules. For Classic BattleTech, use either the BattleTech Core Rulebook or the combination of Total Warfare and BattleTech: Mercenaries. For Alpha Strike, use Alpha Strike: Commander's Edition. Battle of Tukayyid and Hot Spots: Draconis Reach are required with every rules path. Any applicable published rule not addressed here remains in effect.</w:t>
      </w:r>
    </w:p>
    <w:p>
      <w:r>
        <w:rPr>
          <w:b/>
        </w:rPr>
        <w:t xml:space="preserve">Rules Priority. </w:t>
      </w:r>
      <w:r>
        <w:t>If two rules conflict, use this document. A Track rule always overrides a general campaign rule.</w:t>
      </w:r>
    </w:p>
    <w:p>
      <w:r>
        <w:br w:type="page"/>
      </w:r>
    </w:p>
    <w:p>
      <w:pPr>
        <w:keepNext/>
        <w:spacing w:before="200" w:after="160"/>
        <w:shd w:fill="213854"/>
      </w:pPr>
      <w:r>
        <w:rPr>
          <w:rFonts w:ascii="Aptos Display" w:hAnsi="Aptos Display"/>
          <w:b/>
          <w:color w:val="FFFFFF"/>
          <w:sz w:val="30"/>
        </w:rPr>
        <w:t>1  CAMPAIGN FRAMEWORK</w:t>
      </w:r>
    </w:p>
    <w:p>
      <w:r>
        <w:rPr>
          <w:b/>
        </w:rPr>
        <w:t xml:space="preserve">Campaign Structure. </w:t>
      </w:r>
      <w:r>
        <w:t>Retain the Battle of Tukayyid Regions, force construction, campaign sequence, and original-owner recovery framework.</w:t>
      </w:r>
    </w:p>
    <w:p>
      <w:r>
        <w:rPr>
          <w:b/>
        </w:rPr>
        <w:t xml:space="preserve">Orders. </w:t>
      </w:r>
      <w:r>
        <w:t>Orders objectives are not used in this campaign.</w:t>
      </w:r>
    </w:p>
    <w:p>
      <w:r>
        <w:rPr>
          <w:b/>
        </w:rPr>
        <w:t xml:space="preserve">Objective Points. </w:t>
      </w:r>
      <w:r>
        <w:t>Objectives award Objective Points (OP). OP determine the winner of the current Track and are then discarded; they never carry into another Track.</w:t>
      </w:r>
    </w:p>
    <w:p>
      <w:r>
        <w:rPr>
          <w:b/>
        </w:rPr>
        <w:t xml:space="preserve">Strategic Points. </w:t>
      </w:r>
      <w:r>
        <w:t>Strategic Points (SP) are the campaign's only persistent resource. Warchest Points are not used. The side that wins the most Regions wins the campaign.</w:t>
      </w:r>
    </w:p>
    <w:p>
      <w:pPr>
        <w:pStyle w:val="Heading2"/>
      </w:pPr>
      <w:r>
        <w:t>Campaign Scale</w:t>
      </w:r>
    </w:p>
    <w:tbl>
      <w:tblPr>
        <w:tblStyle w:val="TableGrid"/>
        <w:tblW w:type="dxa" w:w="10040"/>
        <w:jc w:val="left"/>
        <w:tblLayout w:type="fixed"/>
        <w:tblLook w:firstColumn="1" w:firstRow="1" w:lastColumn="0" w:lastRow="0" w:noHBand="0" w:noVBand="1" w:val="04A0"/>
        <w:tblInd w:type="dxa" w:w="120"/>
        <w:tblLayout w:type="fixed"/>
      </w:tblPr>
      <w:tblGrid>
        <w:gridCol w:w="2267"/>
        <w:gridCol w:w="1943"/>
        <w:gridCol w:w="1943"/>
        <w:gridCol w:w="1943"/>
        <w:gridCol w:w="1944"/>
      </w:tblGrid>
      <w:tr>
        <w:trPr>
          <w:tblHeader w:val="true"/>
        </w:trPr>
        <w:tc>
          <w:tcPr>
            <w:tcW w:type="dxa" w:w="2267"/>
            <w:shd w:fill="DCE3EE"/>
            <w:tcMar>
              <w:top w:w="80" w:type="dxa"/>
              <w:start w:w="120" w:type="dxa"/>
              <w:bottom w:w="80" w:type="dxa"/>
              <w:end w:w="120" w:type="dxa"/>
            </w:tcMar>
            <w:vAlign w:val="center"/>
          </w:tcPr>
          <w:p>
            <w:r>
              <w:rPr>
                <w:b/>
                <w:color w:val="213854"/>
              </w:rPr>
              <w:t>Campaign Size</w:t>
            </w:r>
          </w:p>
        </w:tc>
        <w:tc>
          <w:tcPr>
            <w:tcW w:type="dxa" w:w="1943"/>
            <w:shd w:fill="DCE3EE"/>
            <w:tcMar>
              <w:top w:w="80" w:type="dxa"/>
              <w:start w:w="120" w:type="dxa"/>
              <w:bottom w:w="80" w:type="dxa"/>
              <w:end w:w="120" w:type="dxa"/>
            </w:tcMar>
            <w:vAlign w:val="center"/>
          </w:tcPr>
          <w:p>
            <w:r>
              <w:rPr>
                <w:b/>
                <w:color w:val="213854"/>
              </w:rPr>
              <w:t>Campaign BV</w:t>
            </w:r>
          </w:p>
        </w:tc>
        <w:tc>
          <w:tcPr>
            <w:tcW w:type="dxa" w:w="1943"/>
            <w:shd w:fill="DCE3EE"/>
            <w:tcMar>
              <w:top w:w="80" w:type="dxa"/>
              <w:start w:w="120" w:type="dxa"/>
              <w:bottom w:w="80" w:type="dxa"/>
              <w:end w:w="120" w:type="dxa"/>
            </w:tcMar>
            <w:vAlign w:val="center"/>
          </w:tcPr>
          <w:p>
            <w:r>
              <w:rPr>
                <w:b/>
                <w:color w:val="213854"/>
              </w:rPr>
              <w:t>33%</w:t>
            </w:r>
          </w:p>
        </w:tc>
        <w:tc>
          <w:tcPr>
            <w:tcW w:type="dxa" w:w="1943"/>
            <w:shd w:fill="DCE3EE"/>
            <w:tcMar>
              <w:top w:w="80" w:type="dxa"/>
              <w:start w:w="120" w:type="dxa"/>
              <w:bottom w:w="80" w:type="dxa"/>
              <w:end w:w="120" w:type="dxa"/>
            </w:tcMar>
            <w:vAlign w:val="center"/>
          </w:tcPr>
          <w:p>
            <w:r>
              <w:rPr>
                <w:b/>
                <w:color w:val="213854"/>
              </w:rPr>
              <w:t>25%</w:t>
            </w:r>
          </w:p>
        </w:tc>
        <w:tc>
          <w:tcPr>
            <w:tcW w:type="dxa" w:w="1944"/>
            <w:shd w:fill="DCE3EE"/>
            <w:tcMar>
              <w:top w:w="80" w:type="dxa"/>
              <w:start w:w="120" w:type="dxa"/>
              <w:bottom w:w="80" w:type="dxa"/>
              <w:end w:w="120" w:type="dxa"/>
            </w:tcMar>
            <w:vAlign w:val="center"/>
          </w:tcPr>
          <w:p>
            <w:r>
              <w:rPr>
                <w:b/>
                <w:color w:val="213854"/>
              </w:rPr>
              <w:t>50%</w:t>
            </w:r>
          </w:p>
        </w:tc>
      </w:tr>
      <w:tr>
        <w:trPr>
          <w:cantSplit/>
        </w:trPr>
        <w:tc>
          <w:tcPr>
            <w:tcW w:type="dxa" w:w="2267"/>
            <w:tcMar>
              <w:top w:w="80" w:type="dxa"/>
              <w:start w:w="120" w:type="dxa"/>
              <w:bottom w:w="80" w:type="dxa"/>
              <w:end w:w="120" w:type="dxa"/>
            </w:tcMar>
            <w:vAlign w:val="top"/>
          </w:tcPr>
          <w:p>
            <w:pPr>
              <w:spacing w:after="0"/>
            </w:pPr>
            <w:r>
              <w:t>Star</w:t>
            </w:r>
          </w:p>
        </w:tc>
        <w:tc>
          <w:tcPr>
            <w:tcW w:type="dxa" w:w="1943"/>
            <w:tcMar>
              <w:top w:w="80" w:type="dxa"/>
              <w:start w:w="120" w:type="dxa"/>
              <w:bottom w:w="80" w:type="dxa"/>
              <w:end w:w="120" w:type="dxa"/>
            </w:tcMar>
            <w:vAlign w:val="top"/>
          </w:tcPr>
          <w:p>
            <w:pPr>
              <w:spacing w:after="0"/>
            </w:pPr>
            <w:r>
              <w:t>40,000</w:t>
            </w:r>
          </w:p>
        </w:tc>
        <w:tc>
          <w:tcPr>
            <w:tcW w:type="dxa" w:w="1943"/>
            <w:tcMar>
              <w:top w:w="80" w:type="dxa"/>
              <w:start w:w="120" w:type="dxa"/>
              <w:bottom w:w="80" w:type="dxa"/>
              <w:end w:w="120" w:type="dxa"/>
            </w:tcMar>
            <w:vAlign w:val="top"/>
          </w:tcPr>
          <w:p>
            <w:pPr>
              <w:spacing w:after="0"/>
            </w:pPr>
            <w:r>
              <w:t>13,200</w:t>
            </w:r>
          </w:p>
        </w:tc>
        <w:tc>
          <w:tcPr>
            <w:tcW w:type="dxa" w:w="1943"/>
            <w:tcMar>
              <w:top w:w="80" w:type="dxa"/>
              <w:start w:w="120" w:type="dxa"/>
              <w:bottom w:w="80" w:type="dxa"/>
              <w:end w:w="120" w:type="dxa"/>
            </w:tcMar>
            <w:vAlign w:val="top"/>
          </w:tcPr>
          <w:p>
            <w:pPr>
              <w:spacing w:after="0"/>
            </w:pPr>
            <w:r>
              <w:t>10,000</w:t>
            </w:r>
          </w:p>
        </w:tc>
        <w:tc>
          <w:tcPr>
            <w:tcW w:type="dxa" w:w="1944"/>
            <w:tcMar>
              <w:top w:w="80" w:type="dxa"/>
              <w:start w:w="120" w:type="dxa"/>
              <w:bottom w:w="80" w:type="dxa"/>
              <w:end w:w="120" w:type="dxa"/>
            </w:tcMar>
            <w:vAlign w:val="top"/>
          </w:tcPr>
          <w:p>
            <w:pPr>
              <w:spacing w:after="0"/>
            </w:pPr>
            <w:r>
              <w:t>20,000</w:t>
            </w:r>
          </w:p>
        </w:tc>
      </w:tr>
      <w:tr>
        <w:trPr>
          <w:cantSplit/>
        </w:trPr>
        <w:tc>
          <w:tcPr>
            <w:tcW w:type="dxa" w:w="2267"/>
            <w:tcMar>
              <w:top w:w="80" w:type="dxa"/>
              <w:start w:w="120" w:type="dxa"/>
              <w:bottom w:w="80" w:type="dxa"/>
              <w:end w:w="120" w:type="dxa"/>
            </w:tcMar>
            <w:vAlign w:val="top"/>
          </w:tcPr>
          <w:p>
            <w:pPr>
              <w:spacing w:after="0"/>
            </w:pPr>
            <w:r>
              <w:t>Binary</w:t>
            </w:r>
          </w:p>
        </w:tc>
        <w:tc>
          <w:tcPr>
            <w:tcW w:type="dxa" w:w="1943"/>
            <w:tcMar>
              <w:top w:w="80" w:type="dxa"/>
              <w:start w:w="120" w:type="dxa"/>
              <w:bottom w:w="80" w:type="dxa"/>
              <w:end w:w="120" w:type="dxa"/>
            </w:tcMar>
            <w:vAlign w:val="top"/>
          </w:tcPr>
          <w:p>
            <w:pPr>
              <w:spacing w:after="0"/>
            </w:pPr>
            <w:r>
              <w:t>80,000</w:t>
            </w:r>
          </w:p>
        </w:tc>
        <w:tc>
          <w:tcPr>
            <w:tcW w:type="dxa" w:w="1943"/>
            <w:tcMar>
              <w:top w:w="80" w:type="dxa"/>
              <w:start w:w="120" w:type="dxa"/>
              <w:bottom w:w="80" w:type="dxa"/>
              <w:end w:w="120" w:type="dxa"/>
            </w:tcMar>
            <w:vAlign w:val="top"/>
          </w:tcPr>
          <w:p>
            <w:pPr>
              <w:spacing w:after="0"/>
            </w:pPr>
            <w:r>
              <w:t>26,400</w:t>
            </w:r>
          </w:p>
        </w:tc>
        <w:tc>
          <w:tcPr>
            <w:tcW w:type="dxa" w:w="1943"/>
            <w:tcMar>
              <w:top w:w="80" w:type="dxa"/>
              <w:start w:w="120" w:type="dxa"/>
              <w:bottom w:w="80" w:type="dxa"/>
              <w:end w:w="120" w:type="dxa"/>
            </w:tcMar>
            <w:vAlign w:val="top"/>
          </w:tcPr>
          <w:p>
            <w:pPr>
              <w:spacing w:after="0"/>
            </w:pPr>
            <w:r>
              <w:t>20,000</w:t>
            </w:r>
          </w:p>
        </w:tc>
        <w:tc>
          <w:tcPr>
            <w:tcW w:type="dxa" w:w="1944"/>
            <w:tcMar>
              <w:top w:w="80" w:type="dxa"/>
              <w:start w:w="120" w:type="dxa"/>
              <w:bottom w:w="80" w:type="dxa"/>
              <w:end w:w="120" w:type="dxa"/>
            </w:tcMar>
            <w:vAlign w:val="top"/>
          </w:tcPr>
          <w:p>
            <w:pPr>
              <w:spacing w:after="0"/>
            </w:pPr>
            <w:r>
              <w:t>40,000</w:t>
            </w:r>
          </w:p>
        </w:tc>
      </w:tr>
      <w:tr>
        <w:trPr>
          <w:cantSplit/>
        </w:trPr>
        <w:tc>
          <w:tcPr>
            <w:tcW w:type="dxa" w:w="2267"/>
            <w:tcMar>
              <w:top w:w="80" w:type="dxa"/>
              <w:start w:w="120" w:type="dxa"/>
              <w:bottom w:w="80" w:type="dxa"/>
              <w:end w:w="120" w:type="dxa"/>
            </w:tcMar>
            <w:vAlign w:val="top"/>
          </w:tcPr>
          <w:p>
            <w:pPr>
              <w:spacing w:after="0"/>
            </w:pPr>
            <w:r>
              <w:t>Trinary</w:t>
            </w:r>
          </w:p>
        </w:tc>
        <w:tc>
          <w:tcPr>
            <w:tcW w:type="dxa" w:w="1943"/>
            <w:tcMar>
              <w:top w:w="80" w:type="dxa"/>
              <w:start w:w="120" w:type="dxa"/>
              <w:bottom w:w="80" w:type="dxa"/>
              <w:end w:w="120" w:type="dxa"/>
            </w:tcMar>
            <w:vAlign w:val="top"/>
          </w:tcPr>
          <w:p>
            <w:pPr>
              <w:spacing w:after="0"/>
            </w:pPr>
            <w:r>
              <w:t>120,000</w:t>
            </w:r>
          </w:p>
        </w:tc>
        <w:tc>
          <w:tcPr>
            <w:tcW w:type="dxa" w:w="1943"/>
            <w:tcMar>
              <w:top w:w="80" w:type="dxa"/>
              <w:start w:w="120" w:type="dxa"/>
              <w:bottom w:w="80" w:type="dxa"/>
              <w:end w:w="120" w:type="dxa"/>
            </w:tcMar>
            <w:vAlign w:val="top"/>
          </w:tcPr>
          <w:p>
            <w:pPr>
              <w:spacing w:after="0"/>
            </w:pPr>
            <w:r>
              <w:t>39,600</w:t>
            </w:r>
          </w:p>
        </w:tc>
        <w:tc>
          <w:tcPr>
            <w:tcW w:type="dxa" w:w="1943"/>
            <w:tcMar>
              <w:top w:w="80" w:type="dxa"/>
              <w:start w:w="120" w:type="dxa"/>
              <w:bottom w:w="80" w:type="dxa"/>
              <w:end w:w="120" w:type="dxa"/>
            </w:tcMar>
            <w:vAlign w:val="top"/>
          </w:tcPr>
          <w:p>
            <w:pPr>
              <w:spacing w:after="0"/>
            </w:pPr>
            <w:r>
              <w:t>30,000</w:t>
            </w:r>
          </w:p>
        </w:tc>
        <w:tc>
          <w:tcPr>
            <w:tcW w:type="dxa" w:w="1944"/>
            <w:tcMar>
              <w:top w:w="80" w:type="dxa"/>
              <w:start w:w="120" w:type="dxa"/>
              <w:bottom w:w="80" w:type="dxa"/>
              <w:end w:w="120" w:type="dxa"/>
            </w:tcMar>
            <w:vAlign w:val="top"/>
          </w:tcPr>
          <w:p>
            <w:pPr>
              <w:spacing w:after="0"/>
            </w:pPr>
            <w:r>
              <w:t>60,000</w:t>
            </w:r>
          </w:p>
        </w:tc>
      </w:tr>
    </w:tbl>
    <w:p>
      <w:pPr>
        <w:spacing w:after="40"/>
      </w:pPr>
    </w:p>
    <w:tbl>
      <w:tblPr>
        <w:tblStyle w:val="TableGrid"/>
        <w:tblW w:type="dxa" w:w="10040"/>
        <w:jc w:val="left"/>
        <w:tblLayout w:type="fixed"/>
        <w:tblLook w:firstColumn="1" w:firstRow="1" w:lastColumn="0" w:lastRow="0" w:noHBand="0" w:noVBand="1" w:val="04A0"/>
        <w:tblInd w:type="dxa" w:w="120"/>
        <w:tblLayout w:type="fixed"/>
      </w:tblPr>
      <w:tblGrid>
        <w:gridCol w:w="2267"/>
        <w:gridCol w:w="1943"/>
        <w:gridCol w:w="1943"/>
        <w:gridCol w:w="1943"/>
        <w:gridCol w:w="1944"/>
      </w:tblGrid>
      <w:tr>
        <w:trPr>
          <w:tblHeader w:val="true"/>
        </w:trPr>
        <w:tc>
          <w:tcPr>
            <w:tcW w:type="dxa" w:w="2267"/>
            <w:shd w:fill="DCE3EE"/>
            <w:tcMar>
              <w:top w:w="80" w:type="dxa"/>
              <w:start w:w="120" w:type="dxa"/>
              <w:bottom w:w="80" w:type="dxa"/>
              <w:end w:w="120" w:type="dxa"/>
            </w:tcMar>
            <w:vAlign w:val="center"/>
          </w:tcPr>
          <w:p>
            <w:r>
              <w:rPr>
                <w:b/>
                <w:color w:val="213854"/>
              </w:rPr>
              <w:t>Campaign Size</w:t>
            </w:r>
          </w:p>
        </w:tc>
        <w:tc>
          <w:tcPr>
            <w:tcW w:type="dxa" w:w="1943"/>
            <w:shd w:fill="DCE3EE"/>
            <w:tcMar>
              <w:top w:w="80" w:type="dxa"/>
              <w:start w:w="120" w:type="dxa"/>
              <w:bottom w:w="80" w:type="dxa"/>
              <w:end w:w="120" w:type="dxa"/>
            </w:tcMar>
            <w:vAlign w:val="center"/>
          </w:tcPr>
          <w:p>
            <w:r>
              <w:rPr>
                <w:b/>
                <w:color w:val="213854"/>
              </w:rPr>
              <w:t>Campaign PV</w:t>
            </w:r>
          </w:p>
        </w:tc>
        <w:tc>
          <w:tcPr>
            <w:tcW w:type="dxa" w:w="1943"/>
            <w:shd w:fill="DCE3EE"/>
            <w:tcMar>
              <w:top w:w="80" w:type="dxa"/>
              <w:start w:w="120" w:type="dxa"/>
              <w:bottom w:w="80" w:type="dxa"/>
              <w:end w:w="120" w:type="dxa"/>
            </w:tcMar>
            <w:vAlign w:val="center"/>
          </w:tcPr>
          <w:p>
            <w:r>
              <w:rPr>
                <w:b/>
                <w:color w:val="213854"/>
              </w:rPr>
              <w:t>33%</w:t>
            </w:r>
          </w:p>
        </w:tc>
        <w:tc>
          <w:tcPr>
            <w:tcW w:type="dxa" w:w="1943"/>
            <w:shd w:fill="DCE3EE"/>
            <w:tcMar>
              <w:top w:w="80" w:type="dxa"/>
              <w:start w:w="120" w:type="dxa"/>
              <w:bottom w:w="80" w:type="dxa"/>
              <w:end w:w="120" w:type="dxa"/>
            </w:tcMar>
            <w:vAlign w:val="center"/>
          </w:tcPr>
          <w:p>
            <w:r>
              <w:rPr>
                <w:b/>
                <w:color w:val="213854"/>
              </w:rPr>
              <w:t>25%</w:t>
            </w:r>
          </w:p>
        </w:tc>
        <w:tc>
          <w:tcPr>
            <w:tcW w:type="dxa" w:w="1944"/>
            <w:shd w:fill="DCE3EE"/>
            <w:tcMar>
              <w:top w:w="80" w:type="dxa"/>
              <w:start w:w="120" w:type="dxa"/>
              <w:bottom w:w="80" w:type="dxa"/>
              <w:end w:w="120" w:type="dxa"/>
            </w:tcMar>
            <w:vAlign w:val="center"/>
          </w:tcPr>
          <w:p>
            <w:r>
              <w:rPr>
                <w:b/>
                <w:color w:val="213854"/>
              </w:rPr>
              <w:t>50%</w:t>
            </w:r>
          </w:p>
        </w:tc>
      </w:tr>
      <w:tr>
        <w:trPr>
          <w:cantSplit/>
        </w:trPr>
        <w:tc>
          <w:tcPr>
            <w:tcW w:type="dxa" w:w="2267"/>
            <w:tcMar>
              <w:top w:w="80" w:type="dxa"/>
              <w:start w:w="120" w:type="dxa"/>
              <w:bottom w:w="80" w:type="dxa"/>
              <w:end w:w="120" w:type="dxa"/>
            </w:tcMar>
            <w:vAlign w:val="top"/>
          </w:tcPr>
          <w:p>
            <w:pPr>
              <w:spacing w:after="0"/>
            </w:pPr>
            <w:r>
              <w:t>Star</w:t>
            </w:r>
          </w:p>
        </w:tc>
        <w:tc>
          <w:tcPr>
            <w:tcW w:type="dxa" w:w="1943"/>
            <w:tcMar>
              <w:top w:w="80" w:type="dxa"/>
              <w:start w:w="120" w:type="dxa"/>
              <w:bottom w:w="80" w:type="dxa"/>
              <w:end w:w="120" w:type="dxa"/>
            </w:tcMar>
            <w:vAlign w:val="top"/>
          </w:tcPr>
          <w:p>
            <w:pPr>
              <w:spacing w:after="0"/>
            </w:pPr>
            <w:r>
              <w:t>600</w:t>
            </w:r>
          </w:p>
        </w:tc>
        <w:tc>
          <w:tcPr>
            <w:tcW w:type="dxa" w:w="1943"/>
            <w:tcMar>
              <w:top w:w="80" w:type="dxa"/>
              <w:start w:w="120" w:type="dxa"/>
              <w:bottom w:w="80" w:type="dxa"/>
              <w:end w:w="120" w:type="dxa"/>
            </w:tcMar>
            <w:vAlign w:val="top"/>
          </w:tcPr>
          <w:p>
            <w:pPr>
              <w:spacing w:after="0"/>
            </w:pPr>
            <w:r>
              <w:t>198</w:t>
            </w:r>
          </w:p>
        </w:tc>
        <w:tc>
          <w:tcPr>
            <w:tcW w:type="dxa" w:w="1943"/>
            <w:tcMar>
              <w:top w:w="80" w:type="dxa"/>
              <w:start w:w="120" w:type="dxa"/>
              <w:bottom w:w="80" w:type="dxa"/>
              <w:end w:w="120" w:type="dxa"/>
            </w:tcMar>
            <w:vAlign w:val="top"/>
          </w:tcPr>
          <w:p>
            <w:pPr>
              <w:spacing w:after="0"/>
            </w:pPr>
            <w:r>
              <w:t>150</w:t>
            </w:r>
          </w:p>
        </w:tc>
        <w:tc>
          <w:tcPr>
            <w:tcW w:type="dxa" w:w="1944"/>
            <w:tcMar>
              <w:top w:w="80" w:type="dxa"/>
              <w:start w:w="120" w:type="dxa"/>
              <w:bottom w:w="80" w:type="dxa"/>
              <w:end w:w="120" w:type="dxa"/>
            </w:tcMar>
            <w:vAlign w:val="top"/>
          </w:tcPr>
          <w:p>
            <w:pPr>
              <w:spacing w:after="0"/>
            </w:pPr>
            <w:r>
              <w:t>300</w:t>
            </w:r>
          </w:p>
        </w:tc>
      </w:tr>
      <w:tr>
        <w:trPr>
          <w:cantSplit/>
        </w:trPr>
        <w:tc>
          <w:tcPr>
            <w:tcW w:type="dxa" w:w="2267"/>
            <w:tcMar>
              <w:top w:w="80" w:type="dxa"/>
              <w:start w:w="120" w:type="dxa"/>
              <w:bottom w:w="80" w:type="dxa"/>
              <w:end w:w="120" w:type="dxa"/>
            </w:tcMar>
            <w:vAlign w:val="top"/>
          </w:tcPr>
          <w:p>
            <w:pPr>
              <w:spacing w:after="0"/>
            </w:pPr>
            <w:r>
              <w:t>Binary</w:t>
            </w:r>
          </w:p>
        </w:tc>
        <w:tc>
          <w:tcPr>
            <w:tcW w:type="dxa" w:w="1943"/>
            <w:tcMar>
              <w:top w:w="80" w:type="dxa"/>
              <w:start w:w="120" w:type="dxa"/>
              <w:bottom w:w="80" w:type="dxa"/>
              <w:end w:w="120" w:type="dxa"/>
            </w:tcMar>
            <w:vAlign w:val="top"/>
          </w:tcPr>
          <w:p>
            <w:pPr>
              <w:spacing w:after="0"/>
            </w:pPr>
            <w:r>
              <w:t>1,200</w:t>
            </w:r>
          </w:p>
        </w:tc>
        <w:tc>
          <w:tcPr>
            <w:tcW w:type="dxa" w:w="1943"/>
            <w:tcMar>
              <w:top w:w="80" w:type="dxa"/>
              <w:start w:w="120" w:type="dxa"/>
              <w:bottom w:w="80" w:type="dxa"/>
              <w:end w:w="120" w:type="dxa"/>
            </w:tcMar>
            <w:vAlign w:val="top"/>
          </w:tcPr>
          <w:p>
            <w:pPr>
              <w:spacing w:after="0"/>
            </w:pPr>
            <w:r>
              <w:t>396</w:t>
            </w:r>
          </w:p>
        </w:tc>
        <w:tc>
          <w:tcPr>
            <w:tcW w:type="dxa" w:w="1943"/>
            <w:tcMar>
              <w:top w:w="80" w:type="dxa"/>
              <w:start w:w="120" w:type="dxa"/>
              <w:bottom w:w="80" w:type="dxa"/>
              <w:end w:w="120" w:type="dxa"/>
            </w:tcMar>
            <w:vAlign w:val="top"/>
          </w:tcPr>
          <w:p>
            <w:pPr>
              <w:spacing w:after="0"/>
            </w:pPr>
            <w:r>
              <w:t>300</w:t>
            </w:r>
          </w:p>
        </w:tc>
        <w:tc>
          <w:tcPr>
            <w:tcW w:type="dxa" w:w="1944"/>
            <w:tcMar>
              <w:top w:w="80" w:type="dxa"/>
              <w:start w:w="120" w:type="dxa"/>
              <w:bottom w:w="80" w:type="dxa"/>
              <w:end w:w="120" w:type="dxa"/>
            </w:tcMar>
            <w:vAlign w:val="top"/>
          </w:tcPr>
          <w:p>
            <w:pPr>
              <w:spacing w:after="0"/>
            </w:pPr>
            <w:r>
              <w:t>600</w:t>
            </w:r>
          </w:p>
        </w:tc>
      </w:tr>
      <w:tr>
        <w:trPr>
          <w:cantSplit/>
        </w:trPr>
        <w:tc>
          <w:tcPr>
            <w:tcW w:type="dxa" w:w="2267"/>
            <w:tcMar>
              <w:top w:w="80" w:type="dxa"/>
              <w:start w:w="120" w:type="dxa"/>
              <w:bottom w:w="80" w:type="dxa"/>
              <w:end w:w="120" w:type="dxa"/>
            </w:tcMar>
            <w:vAlign w:val="top"/>
          </w:tcPr>
          <w:p>
            <w:pPr>
              <w:spacing w:after="0"/>
            </w:pPr>
            <w:r>
              <w:t>Trinary</w:t>
            </w:r>
          </w:p>
        </w:tc>
        <w:tc>
          <w:tcPr>
            <w:tcW w:type="dxa" w:w="1943"/>
            <w:tcMar>
              <w:top w:w="80" w:type="dxa"/>
              <w:start w:w="120" w:type="dxa"/>
              <w:bottom w:w="80" w:type="dxa"/>
              <w:end w:w="120" w:type="dxa"/>
            </w:tcMar>
            <w:vAlign w:val="top"/>
          </w:tcPr>
          <w:p>
            <w:pPr>
              <w:spacing w:after="0"/>
            </w:pPr>
            <w:r>
              <w:t>1,800</w:t>
            </w:r>
          </w:p>
        </w:tc>
        <w:tc>
          <w:tcPr>
            <w:tcW w:type="dxa" w:w="1943"/>
            <w:tcMar>
              <w:top w:w="80" w:type="dxa"/>
              <w:start w:w="120" w:type="dxa"/>
              <w:bottom w:w="80" w:type="dxa"/>
              <w:end w:w="120" w:type="dxa"/>
            </w:tcMar>
            <w:vAlign w:val="top"/>
          </w:tcPr>
          <w:p>
            <w:pPr>
              <w:spacing w:after="0"/>
            </w:pPr>
            <w:r>
              <w:t>594</w:t>
            </w:r>
          </w:p>
        </w:tc>
        <w:tc>
          <w:tcPr>
            <w:tcW w:type="dxa" w:w="1943"/>
            <w:tcMar>
              <w:top w:w="80" w:type="dxa"/>
              <w:start w:w="120" w:type="dxa"/>
              <w:bottom w:w="80" w:type="dxa"/>
              <w:end w:w="120" w:type="dxa"/>
            </w:tcMar>
            <w:vAlign w:val="top"/>
          </w:tcPr>
          <w:p>
            <w:pPr>
              <w:spacing w:after="0"/>
            </w:pPr>
            <w:r>
              <w:t>450</w:t>
            </w:r>
          </w:p>
        </w:tc>
        <w:tc>
          <w:tcPr>
            <w:tcW w:type="dxa" w:w="1944"/>
            <w:tcMar>
              <w:top w:w="80" w:type="dxa"/>
              <w:start w:w="120" w:type="dxa"/>
              <w:bottom w:w="80" w:type="dxa"/>
              <w:end w:w="120" w:type="dxa"/>
            </w:tcMar>
            <w:vAlign w:val="top"/>
          </w:tcPr>
          <w:p>
            <w:pPr>
              <w:spacing w:after="0"/>
            </w:pPr>
            <w:r>
              <w:t>900</w:t>
            </w:r>
          </w:p>
        </w:tc>
      </w:tr>
    </w:tbl>
    <w:p>
      <w:pPr>
        <w:spacing w:after="40"/>
      </w:pPr>
    </w:p>
    <w:p>
      <w:r>
        <w:rPr>
          <w:b/>
        </w:rPr>
        <w:t xml:space="preserve">Fixed Denominator. </w:t>
      </w:r>
      <w:r>
        <w:t>All Track percentages use the original Campaign BV or PV allowance shown above. Losses, repairs, and replacements do not change that denominator.</w:t>
      </w:r>
    </w:p>
    <w:p>
      <w:r>
        <w:rPr>
          <w:b/>
        </w:rPr>
        <w:t xml:space="preserve">Skill Adjustment. </w:t>
      </w:r>
      <w:r>
        <w:t>Use the deployed pilot's actual skills when calculating a unit's BV or PV.</w:t>
      </w:r>
    </w:p>
    <w:p>
      <w:r>
        <w:rPr>
          <w:b/>
        </w:rPr>
        <w:t xml:space="preserve">Clan Advantage. </w:t>
      </w:r>
      <w:r>
        <w:t>For Campaign Force construction and Track deployment limits only, treat each Clan pilot as one Experience Rating worse when accounting for BV or one Skill rating worse when accounting for PV. Actual skills do not change. This adjustment does not reduce SP purchase or repair costs.</w:t>
      </w:r>
    </w:p>
    <w:p>
      <w:pPr>
        <w:pStyle w:val="Heading2"/>
      </w:pPr>
      <w:r>
        <w:t>Starting SP and Support Allocation</w:t>
      </w:r>
    </w:p>
    <w:p>
      <w:pPr>
        <w:pStyle w:val="Heading3"/>
      </w:pPr>
      <w:r>
        <w:t>Classic BattleTech Starting SP</w:t>
      </w:r>
    </w:p>
    <w:tbl>
      <w:tblPr>
        <w:tblStyle w:val="TableGrid"/>
        <w:tblW w:type="dxa" w:w="10040"/>
        <w:jc w:val="left"/>
        <w:tblLayout w:type="fixed"/>
        <w:tblLook w:firstColumn="1" w:firstRow="1" w:lastColumn="0" w:lastRow="0" w:noHBand="0" w:noVBand="1" w:val="04A0"/>
        <w:tblInd w:type="dxa" w:w="120"/>
        <w:tblLayout w:type="fixed"/>
      </w:tblPr>
      <w:tblGrid>
        <w:gridCol w:w="3347"/>
        <w:gridCol w:w="3347"/>
        <w:gridCol w:w="3346"/>
      </w:tblGrid>
      <w:tr>
        <w:trPr>
          <w:tblHeader w:val="true"/>
        </w:trPr>
        <w:tc>
          <w:tcPr>
            <w:tcW w:type="dxa" w:w="3347"/>
            <w:shd w:fill="DCE3EE"/>
            <w:tcMar>
              <w:top w:w="80" w:type="dxa"/>
              <w:start w:w="120" w:type="dxa"/>
              <w:bottom w:w="80" w:type="dxa"/>
              <w:end w:w="120" w:type="dxa"/>
            </w:tcMar>
            <w:vAlign w:val="center"/>
          </w:tcPr>
          <w:p>
            <w:r>
              <w:rPr>
                <w:b/>
                <w:color w:val="213854"/>
              </w:rPr>
              <w:t>Campaign Size</w:t>
            </w:r>
          </w:p>
        </w:tc>
        <w:tc>
          <w:tcPr>
            <w:tcW w:type="dxa" w:w="3347"/>
            <w:shd w:fill="DCE3EE"/>
            <w:tcMar>
              <w:top w:w="80" w:type="dxa"/>
              <w:start w:w="120" w:type="dxa"/>
              <w:bottom w:w="80" w:type="dxa"/>
              <w:end w:w="120" w:type="dxa"/>
            </w:tcMar>
            <w:vAlign w:val="center"/>
          </w:tcPr>
          <w:p>
            <w:r>
              <w:rPr>
                <w:b/>
                <w:color w:val="213854"/>
              </w:rPr>
              <w:t>Clan Starting SP</w:t>
            </w:r>
          </w:p>
        </w:tc>
        <w:tc>
          <w:tcPr>
            <w:tcW w:type="dxa" w:w="3346"/>
            <w:shd w:fill="DCE3EE"/>
            <w:tcMar>
              <w:top w:w="80" w:type="dxa"/>
              <w:start w:w="120" w:type="dxa"/>
              <w:bottom w:w="80" w:type="dxa"/>
              <w:end w:w="120" w:type="dxa"/>
            </w:tcMar>
            <w:vAlign w:val="center"/>
          </w:tcPr>
          <w:p>
            <w:r>
              <w:rPr>
                <w:b/>
                <w:color w:val="213854"/>
              </w:rPr>
              <w:t>ComStar Starting SP</w:t>
            </w:r>
          </w:p>
        </w:tc>
      </w:tr>
      <w:tr>
        <w:trPr>
          <w:cantSplit/>
        </w:trPr>
        <w:tc>
          <w:tcPr>
            <w:tcW w:type="dxa" w:w="3347"/>
            <w:tcMar>
              <w:top w:w="80" w:type="dxa"/>
              <w:start w:w="120" w:type="dxa"/>
              <w:bottom w:w="80" w:type="dxa"/>
              <w:end w:w="120" w:type="dxa"/>
            </w:tcMar>
            <w:vAlign w:val="top"/>
          </w:tcPr>
          <w:p>
            <w:pPr>
              <w:spacing w:after="0"/>
            </w:pPr>
            <w:r>
              <w:t>Star</w:t>
            </w:r>
          </w:p>
        </w:tc>
        <w:tc>
          <w:tcPr>
            <w:tcW w:type="dxa" w:w="3347"/>
            <w:tcMar>
              <w:top w:w="80" w:type="dxa"/>
              <w:start w:w="120" w:type="dxa"/>
              <w:bottom w:w="80" w:type="dxa"/>
              <w:end w:w="120" w:type="dxa"/>
            </w:tcMar>
            <w:vAlign w:val="top"/>
          </w:tcPr>
          <w:p>
            <w:pPr>
              <w:spacing w:after="0"/>
            </w:pPr>
            <w:r>
              <w:t>13,200</w:t>
            </w:r>
          </w:p>
        </w:tc>
        <w:tc>
          <w:tcPr>
            <w:tcW w:type="dxa" w:w="3346"/>
            <w:tcMar>
              <w:top w:w="80" w:type="dxa"/>
              <w:start w:w="120" w:type="dxa"/>
              <w:bottom w:w="80" w:type="dxa"/>
              <w:end w:w="120" w:type="dxa"/>
            </w:tcMar>
            <w:vAlign w:val="top"/>
          </w:tcPr>
          <w:p>
            <w:pPr>
              <w:spacing w:after="0"/>
            </w:pPr>
            <w:r>
              <w:t>26,400</w:t>
            </w:r>
          </w:p>
        </w:tc>
      </w:tr>
      <w:tr>
        <w:trPr>
          <w:cantSplit/>
        </w:trPr>
        <w:tc>
          <w:tcPr>
            <w:tcW w:type="dxa" w:w="3347"/>
            <w:tcMar>
              <w:top w:w="80" w:type="dxa"/>
              <w:start w:w="120" w:type="dxa"/>
              <w:bottom w:w="80" w:type="dxa"/>
              <w:end w:w="120" w:type="dxa"/>
            </w:tcMar>
            <w:vAlign w:val="top"/>
          </w:tcPr>
          <w:p>
            <w:pPr>
              <w:spacing w:after="0"/>
            </w:pPr>
            <w:r>
              <w:t>Binary</w:t>
            </w:r>
          </w:p>
        </w:tc>
        <w:tc>
          <w:tcPr>
            <w:tcW w:type="dxa" w:w="3347"/>
            <w:tcMar>
              <w:top w:w="80" w:type="dxa"/>
              <w:start w:w="120" w:type="dxa"/>
              <w:bottom w:w="80" w:type="dxa"/>
              <w:end w:w="120" w:type="dxa"/>
            </w:tcMar>
            <w:vAlign w:val="top"/>
          </w:tcPr>
          <w:p>
            <w:pPr>
              <w:spacing w:after="0"/>
            </w:pPr>
            <w:r>
              <w:t>26,400</w:t>
            </w:r>
          </w:p>
        </w:tc>
        <w:tc>
          <w:tcPr>
            <w:tcW w:type="dxa" w:w="3346"/>
            <w:tcMar>
              <w:top w:w="80" w:type="dxa"/>
              <w:start w:w="120" w:type="dxa"/>
              <w:bottom w:w="80" w:type="dxa"/>
              <w:end w:w="120" w:type="dxa"/>
            </w:tcMar>
            <w:vAlign w:val="top"/>
          </w:tcPr>
          <w:p>
            <w:pPr>
              <w:spacing w:after="0"/>
            </w:pPr>
            <w:r>
              <w:t>52,800</w:t>
            </w:r>
          </w:p>
        </w:tc>
      </w:tr>
      <w:tr>
        <w:trPr>
          <w:cantSplit/>
        </w:trPr>
        <w:tc>
          <w:tcPr>
            <w:tcW w:type="dxa" w:w="3347"/>
            <w:tcMar>
              <w:top w:w="80" w:type="dxa"/>
              <w:start w:w="120" w:type="dxa"/>
              <w:bottom w:w="80" w:type="dxa"/>
              <w:end w:w="120" w:type="dxa"/>
            </w:tcMar>
            <w:vAlign w:val="top"/>
          </w:tcPr>
          <w:p>
            <w:pPr>
              <w:spacing w:after="0"/>
            </w:pPr>
            <w:r>
              <w:t>Trinary</w:t>
            </w:r>
          </w:p>
        </w:tc>
        <w:tc>
          <w:tcPr>
            <w:tcW w:type="dxa" w:w="3347"/>
            <w:tcMar>
              <w:top w:w="80" w:type="dxa"/>
              <w:start w:w="120" w:type="dxa"/>
              <w:bottom w:w="80" w:type="dxa"/>
              <w:end w:w="120" w:type="dxa"/>
            </w:tcMar>
            <w:vAlign w:val="top"/>
          </w:tcPr>
          <w:p>
            <w:pPr>
              <w:spacing w:after="0"/>
            </w:pPr>
            <w:r>
              <w:t>39,600</w:t>
            </w:r>
          </w:p>
        </w:tc>
        <w:tc>
          <w:tcPr>
            <w:tcW w:type="dxa" w:w="3346"/>
            <w:tcMar>
              <w:top w:w="80" w:type="dxa"/>
              <w:start w:w="120" w:type="dxa"/>
              <w:bottom w:w="80" w:type="dxa"/>
              <w:end w:w="120" w:type="dxa"/>
            </w:tcMar>
            <w:vAlign w:val="top"/>
          </w:tcPr>
          <w:p>
            <w:pPr>
              <w:spacing w:after="0"/>
            </w:pPr>
            <w:r>
              <w:t>79,200</w:t>
            </w:r>
          </w:p>
        </w:tc>
      </w:tr>
    </w:tbl>
    <w:p>
      <w:pPr>
        <w:spacing w:after="40"/>
      </w:pPr>
    </w:p>
    <w:p>
      <w:pPr>
        <w:pStyle w:val="Heading3"/>
      </w:pPr>
      <w:r>
        <w:t>Alpha Strike Starting SP</w:t>
      </w:r>
    </w:p>
    <w:tbl>
      <w:tblPr>
        <w:tblStyle w:val="TableGrid"/>
        <w:tblW w:type="dxa" w:w="10040"/>
        <w:jc w:val="left"/>
        <w:tblLayout w:type="fixed"/>
        <w:tblLook w:firstColumn="1" w:firstRow="1" w:lastColumn="0" w:lastRow="0" w:noHBand="0" w:noVBand="1" w:val="04A0"/>
        <w:tblInd w:type="dxa" w:w="120"/>
        <w:tblLayout w:type="fixed"/>
      </w:tblPr>
      <w:tblGrid>
        <w:gridCol w:w="3347"/>
        <w:gridCol w:w="3347"/>
        <w:gridCol w:w="3346"/>
      </w:tblGrid>
      <w:tr>
        <w:trPr>
          <w:tblHeader w:val="true"/>
        </w:trPr>
        <w:tc>
          <w:tcPr>
            <w:tcW w:type="dxa" w:w="3347"/>
            <w:shd w:fill="DCE3EE"/>
            <w:tcMar>
              <w:top w:w="80" w:type="dxa"/>
              <w:start w:w="120" w:type="dxa"/>
              <w:bottom w:w="80" w:type="dxa"/>
              <w:end w:w="120" w:type="dxa"/>
            </w:tcMar>
            <w:vAlign w:val="center"/>
          </w:tcPr>
          <w:p>
            <w:r>
              <w:rPr>
                <w:b/>
                <w:color w:val="213854"/>
              </w:rPr>
              <w:t>Campaign Size</w:t>
            </w:r>
          </w:p>
        </w:tc>
        <w:tc>
          <w:tcPr>
            <w:tcW w:type="dxa" w:w="3347"/>
            <w:shd w:fill="DCE3EE"/>
            <w:tcMar>
              <w:top w:w="80" w:type="dxa"/>
              <w:start w:w="120" w:type="dxa"/>
              <w:bottom w:w="80" w:type="dxa"/>
              <w:end w:w="120" w:type="dxa"/>
            </w:tcMar>
            <w:vAlign w:val="center"/>
          </w:tcPr>
          <w:p>
            <w:r>
              <w:rPr>
                <w:b/>
                <w:color w:val="213854"/>
              </w:rPr>
              <w:t>Clan Starting SP</w:t>
            </w:r>
          </w:p>
        </w:tc>
        <w:tc>
          <w:tcPr>
            <w:tcW w:type="dxa" w:w="3346"/>
            <w:shd w:fill="DCE3EE"/>
            <w:tcMar>
              <w:top w:w="80" w:type="dxa"/>
              <w:start w:w="120" w:type="dxa"/>
              <w:bottom w:w="80" w:type="dxa"/>
              <w:end w:w="120" w:type="dxa"/>
            </w:tcMar>
            <w:vAlign w:val="center"/>
          </w:tcPr>
          <w:p>
            <w:r>
              <w:rPr>
                <w:b/>
                <w:color w:val="213854"/>
              </w:rPr>
              <w:t>ComStar Starting SP</w:t>
            </w:r>
          </w:p>
        </w:tc>
      </w:tr>
      <w:tr>
        <w:trPr>
          <w:cantSplit/>
        </w:trPr>
        <w:tc>
          <w:tcPr>
            <w:tcW w:type="dxa" w:w="3347"/>
            <w:tcMar>
              <w:top w:w="80" w:type="dxa"/>
              <w:start w:w="120" w:type="dxa"/>
              <w:bottom w:w="80" w:type="dxa"/>
              <w:end w:w="120" w:type="dxa"/>
            </w:tcMar>
            <w:vAlign w:val="top"/>
          </w:tcPr>
          <w:p>
            <w:pPr>
              <w:spacing w:after="0"/>
            </w:pPr>
            <w:r>
              <w:t>Star</w:t>
            </w:r>
          </w:p>
        </w:tc>
        <w:tc>
          <w:tcPr>
            <w:tcW w:type="dxa" w:w="3347"/>
            <w:tcMar>
              <w:top w:w="80" w:type="dxa"/>
              <w:start w:w="120" w:type="dxa"/>
              <w:bottom w:w="80" w:type="dxa"/>
              <w:end w:w="120" w:type="dxa"/>
            </w:tcMar>
            <w:vAlign w:val="top"/>
          </w:tcPr>
          <w:p>
            <w:pPr>
              <w:spacing w:after="0"/>
            </w:pPr>
            <w:r>
              <w:t>7,920</w:t>
            </w:r>
          </w:p>
        </w:tc>
        <w:tc>
          <w:tcPr>
            <w:tcW w:type="dxa" w:w="3346"/>
            <w:tcMar>
              <w:top w:w="80" w:type="dxa"/>
              <w:start w:w="120" w:type="dxa"/>
              <w:bottom w:w="80" w:type="dxa"/>
              <w:end w:w="120" w:type="dxa"/>
            </w:tcMar>
            <w:vAlign w:val="top"/>
          </w:tcPr>
          <w:p>
            <w:pPr>
              <w:spacing w:after="0"/>
            </w:pPr>
            <w:r>
              <w:t>15,840</w:t>
            </w:r>
          </w:p>
        </w:tc>
      </w:tr>
      <w:tr>
        <w:trPr>
          <w:cantSplit/>
        </w:trPr>
        <w:tc>
          <w:tcPr>
            <w:tcW w:type="dxa" w:w="3347"/>
            <w:tcMar>
              <w:top w:w="80" w:type="dxa"/>
              <w:start w:w="120" w:type="dxa"/>
              <w:bottom w:w="80" w:type="dxa"/>
              <w:end w:w="120" w:type="dxa"/>
            </w:tcMar>
            <w:vAlign w:val="top"/>
          </w:tcPr>
          <w:p>
            <w:pPr>
              <w:spacing w:after="0"/>
            </w:pPr>
            <w:r>
              <w:t>Binary</w:t>
            </w:r>
          </w:p>
        </w:tc>
        <w:tc>
          <w:tcPr>
            <w:tcW w:type="dxa" w:w="3347"/>
            <w:tcMar>
              <w:top w:w="80" w:type="dxa"/>
              <w:start w:w="120" w:type="dxa"/>
              <w:bottom w:w="80" w:type="dxa"/>
              <w:end w:w="120" w:type="dxa"/>
            </w:tcMar>
            <w:vAlign w:val="top"/>
          </w:tcPr>
          <w:p>
            <w:pPr>
              <w:spacing w:after="0"/>
            </w:pPr>
            <w:r>
              <w:t>15,840</w:t>
            </w:r>
          </w:p>
        </w:tc>
        <w:tc>
          <w:tcPr>
            <w:tcW w:type="dxa" w:w="3346"/>
            <w:tcMar>
              <w:top w:w="80" w:type="dxa"/>
              <w:start w:w="120" w:type="dxa"/>
              <w:bottom w:w="80" w:type="dxa"/>
              <w:end w:w="120" w:type="dxa"/>
            </w:tcMar>
            <w:vAlign w:val="top"/>
          </w:tcPr>
          <w:p>
            <w:pPr>
              <w:spacing w:after="0"/>
            </w:pPr>
            <w:r>
              <w:t>31,680</w:t>
            </w:r>
          </w:p>
        </w:tc>
      </w:tr>
      <w:tr>
        <w:trPr>
          <w:cantSplit/>
        </w:trPr>
        <w:tc>
          <w:tcPr>
            <w:tcW w:type="dxa" w:w="3347"/>
            <w:tcMar>
              <w:top w:w="80" w:type="dxa"/>
              <w:start w:w="120" w:type="dxa"/>
              <w:bottom w:w="80" w:type="dxa"/>
              <w:end w:w="120" w:type="dxa"/>
            </w:tcMar>
            <w:vAlign w:val="top"/>
          </w:tcPr>
          <w:p>
            <w:pPr>
              <w:spacing w:after="0"/>
            </w:pPr>
            <w:r>
              <w:t>Trinary</w:t>
            </w:r>
          </w:p>
        </w:tc>
        <w:tc>
          <w:tcPr>
            <w:tcW w:type="dxa" w:w="3347"/>
            <w:tcMar>
              <w:top w:w="80" w:type="dxa"/>
              <w:start w:w="120" w:type="dxa"/>
              <w:bottom w:w="80" w:type="dxa"/>
              <w:end w:w="120" w:type="dxa"/>
            </w:tcMar>
            <w:vAlign w:val="top"/>
          </w:tcPr>
          <w:p>
            <w:pPr>
              <w:spacing w:after="0"/>
            </w:pPr>
            <w:r>
              <w:t>23,760</w:t>
            </w:r>
          </w:p>
        </w:tc>
        <w:tc>
          <w:tcPr>
            <w:tcW w:type="dxa" w:w="3346"/>
            <w:tcMar>
              <w:top w:w="80" w:type="dxa"/>
              <w:start w:w="120" w:type="dxa"/>
              <w:bottom w:w="80" w:type="dxa"/>
              <w:end w:w="120" w:type="dxa"/>
            </w:tcMar>
            <w:vAlign w:val="top"/>
          </w:tcPr>
          <w:p>
            <w:pPr>
              <w:spacing w:after="0"/>
            </w:pPr>
            <w:r>
              <w:t>47,520</w:t>
            </w:r>
          </w:p>
        </w:tc>
      </w:tr>
    </w:tbl>
    <w:p>
      <w:pPr>
        <w:spacing w:after="40"/>
      </w:pPr>
    </w:p>
    <w:p>
      <w:pPr>
        <w:pStyle w:val="Heading2"/>
      </w:pPr>
      <w:r>
        <w:t>Classic BattleTech Support Allocation</w:t>
      </w:r>
    </w:p>
    <w:tbl>
      <w:tblPr>
        <w:tblStyle w:val="TableGrid"/>
        <w:tblW w:type="dxa" w:w="10040"/>
        <w:jc w:val="left"/>
        <w:tblLayout w:type="fixed"/>
        <w:tblLook w:firstColumn="1" w:firstRow="1" w:lastColumn="0" w:lastRow="0" w:noHBand="0" w:noVBand="1" w:val="04A0"/>
        <w:tblInd w:type="dxa" w:w="120"/>
        <w:tblLayout w:type="fixed"/>
      </w:tblPr>
      <w:tblGrid>
        <w:gridCol w:w="1513"/>
        <w:gridCol w:w="3026"/>
        <w:gridCol w:w="2751"/>
        <w:gridCol w:w="2750"/>
      </w:tblGrid>
      <w:tr>
        <w:trPr>
          <w:tblHeader w:val="true"/>
        </w:trPr>
        <w:tc>
          <w:tcPr>
            <w:tcW w:type="dxa" w:w="1513"/>
            <w:shd w:fill="DCE3EE"/>
            <w:tcMar>
              <w:top w:w="80" w:type="dxa"/>
              <w:start w:w="120" w:type="dxa"/>
              <w:bottom w:w="80" w:type="dxa"/>
              <w:end w:w="120" w:type="dxa"/>
            </w:tcMar>
            <w:vAlign w:val="center"/>
          </w:tcPr>
          <w:p>
            <w:r>
              <w:rPr>
                <w:b/>
                <w:color w:val="213854"/>
              </w:rPr>
              <w:t>Campaign Size</w:t>
            </w:r>
          </w:p>
        </w:tc>
        <w:tc>
          <w:tcPr>
            <w:tcW w:type="dxa" w:w="3026"/>
            <w:shd w:fill="DCE3EE"/>
            <w:tcMar>
              <w:top w:w="80" w:type="dxa"/>
              <w:start w:w="120" w:type="dxa"/>
              <w:bottom w:w="80" w:type="dxa"/>
              <w:end w:w="120" w:type="dxa"/>
            </w:tcMar>
            <w:vAlign w:val="center"/>
          </w:tcPr>
          <w:p>
            <w:r>
              <w:rPr>
                <w:b/>
                <w:color w:val="213854"/>
              </w:rPr>
              <w:t>Result</w:t>
            </w:r>
          </w:p>
        </w:tc>
        <w:tc>
          <w:tcPr>
            <w:tcW w:type="dxa" w:w="2751"/>
            <w:shd w:fill="DCE3EE"/>
            <w:tcMar>
              <w:top w:w="80" w:type="dxa"/>
              <w:start w:w="120" w:type="dxa"/>
              <w:bottom w:w="80" w:type="dxa"/>
              <w:end w:w="120" w:type="dxa"/>
            </w:tcMar>
            <w:vAlign w:val="center"/>
          </w:tcPr>
          <w:p>
            <w:r>
              <w:rPr>
                <w:b/>
                <w:color w:val="213854"/>
              </w:rPr>
              <w:t>Clan</w:t>
            </w:r>
          </w:p>
        </w:tc>
        <w:tc>
          <w:tcPr>
            <w:tcW w:type="dxa" w:w="2750"/>
            <w:shd w:fill="DCE3EE"/>
            <w:tcMar>
              <w:top w:w="80" w:type="dxa"/>
              <w:start w:w="120" w:type="dxa"/>
              <w:bottom w:w="80" w:type="dxa"/>
              <w:end w:w="120" w:type="dxa"/>
            </w:tcMar>
            <w:vAlign w:val="center"/>
          </w:tcPr>
          <w:p>
            <w:r>
              <w:rPr>
                <w:b/>
                <w:color w:val="213854"/>
              </w:rPr>
              <w:t>ComStar</w:t>
            </w:r>
          </w:p>
        </w:tc>
      </w:tr>
      <w:tr>
        <w:trPr>
          <w:cantSplit/>
        </w:trPr>
        <w:tc>
          <w:tcPr>
            <w:tcW w:type="dxa" w:w="1513"/>
            <w:tcMar>
              <w:top w:w="80" w:type="dxa"/>
              <w:start w:w="120" w:type="dxa"/>
              <w:bottom w:w="80" w:type="dxa"/>
              <w:end w:w="120" w:type="dxa"/>
            </w:tcMar>
            <w:vAlign w:val="top"/>
          </w:tcPr>
          <w:p>
            <w:pPr>
              <w:spacing w:after="0"/>
            </w:pPr>
            <w:r>
              <w:t>Star</w:t>
            </w:r>
          </w:p>
        </w:tc>
        <w:tc>
          <w:tcPr>
            <w:tcW w:type="dxa" w:w="3026"/>
            <w:tcMar>
              <w:top w:w="80" w:type="dxa"/>
              <w:start w:w="120" w:type="dxa"/>
              <w:bottom w:w="80" w:type="dxa"/>
              <w:end w:w="120" w:type="dxa"/>
            </w:tcMar>
            <w:vAlign w:val="top"/>
          </w:tcPr>
          <w:p>
            <w:pPr>
              <w:spacing w:after="0"/>
            </w:pPr>
            <w:r>
              <w:t>Unsuccessful / Successful / Complete</w:t>
            </w:r>
          </w:p>
        </w:tc>
        <w:tc>
          <w:tcPr>
            <w:tcW w:type="dxa" w:w="2751"/>
            <w:tcMar>
              <w:top w:w="80" w:type="dxa"/>
              <w:start w:w="120" w:type="dxa"/>
              <w:bottom w:w="80" w:type="dxa"/>
              <w:end w:w="120" w:type="dxa"/>
            </w:tcMar>
            <w:vAlign w:val="top"/>
          </w:tcPr>
          <w:p>
            <w:pPr>
              <w:spacing w:after="0"/>
            </w:pPr>
            <w:r>
              <w:t>1,100 / 2,200 / 3,300</w:t>
            </w:r>
          </w:p>
        </w:tc>
        <w:tc>
          <w:tcPr>
            <w:tcW w:type="dxa" w:w="2750"/>
            <w:tcMar>
              <w:top w:w="80" w:type="dxa"/>
              <w:start w:w="120" w:type="dxa"/>
              <w:bottom w:w="80" w:type="dxa"/>
              <w:end w:w="120" w:type="dxa"/>
            </w:tcMar>
            <w:vAlign w:val="top"/>
          </w:tcPr>
          <w:p>
            <w:pPr>
              <w:spacing w:after="0"/>
            </w:pPr>
            <w:r>
              <w:t>2,200 / 4,400 / 6,600</w:t>
            </w:r>
          </w:p>
        </w:tc>
      </w:tr>
      <w:tr>
        <w:trPr>
          <w:cantSplit/>
        </w:trPr>
        <w:tc>
          <w:tcPr>
            <w:tcW w:type="dxa" w:w="1513"/>
            <w:tcMar>
              <w:top w:w="80" w:type="dxa"/>
              <w:start w:w="120" w:type="dxa"/>
              <w:bottom w:w="80" w:type="dxa"/>
              <w:end w:w="120" w:type="dxa"/>
            </w:tcMar>
            <w:vAlign w:val="top"/>
          </w:tcPr>
          <w:p>
            <w:pPr>
              <w:spacing w:after="0"/>
            </w:pPr>
            <w:r>
              <w:t>Binary</w:t>
            </w:r>
          </w:p>
        </w:tc>
        <w:tc>
          <w:tcPr>
            <w:tcW w:type="dxa" w:w="3026"/>
            <w:tcMar>
              <w:top w:w="80" w:type="dxa"/>
              <w:start w:w="120" w:type="dxa"/>
              <w:bottom w:w="80" w:type="dxa"/>
              <w:end w:w="120" w:type="dxa"/>
            </w:tcMar>
            <w:vAlign w:val="top"/>
          </w:tcPr>
          <w:p>
            <w:pPr>
              <w:spacing w:after="0"/>
            </w:pPr>
            <w:r>
              <w:t>Unsuccessful / Successful / Complete</w:t>
            </w:r>
          </w:p>
        </w:tc>
        <w:tc>
          <w:tcPr>
            <w:tcW w:type="dxa" w:w="2751"/>
            <w:tcMar>
              <w:top w:w="80" w:type="dxa"/>
              <w:start w:w="120" w:type="dxa"/>
              <w:bottom w:w="80" w:type="dxa"/>
              <w:end w:w="120" w:type="dxa"/>
            </w:tcMar>
            <w:vAlign w:val="top"/>
          </w:tcPr>
          <w:p>
            <w:pPr>
              <w:spacing w:after="0"/>
            </w:pPr>
            <w:r>
              <w:t>2,200 / 4,400 / 6,600</w:t>
            </w:r>
          </w:p>
        </w:tc>
        <w:tc>
          <w:tcPr>
            <w:tcW w:type="dxa" w:w="2750"/>
            <w:tcMar>
              <w:top w:w="80" w:type="dxa"/>
              <w:start w:w="120" w:type="dxa"/>
              <w:bottom w:w="80" w:type="dxa"/>
              <w:end w:w="120" w:type="dxa"/>
            </w:tcMar>
            <w:vAlign w:val="top"/>
          </w:tcPr>
          <w:p>
            <w:pPr>
              <w:spacing w:after="0"/>
            </w:pPr>
            <w:r>
              <w:t>4,400 / 8,800 / 13,200</w:t>
            </w:r>
          </w:p>
        </w:tc>
      </w:tr>
      <w:tr>
        <w:trPr>
          <w:cantSplit/>
        </w:trPr>
        <w:tc>
          <w:tcPr>
            <w:tcW w:type="dxa" w:w="1513"/>
            <w:tcMar>
              <w:top w:w="80" w:type="dxa"/>
              <w:start w:w="120" w:type="dxa"/>
              <w:bottom w:w="80" w:type="dxa"/>
              <w:end w:w="120" w:type="dxa"/>
            </w:tcMar>
            <w:vAlign w:val="top"/>
          </w:tcPr>
          <w:p>
            <w:pPr>
              <w:spacing w:after="0"/>
            </w:pPr>
            <w:r>
              <w:t>Trinary</w:t>
            </w:r>
          </w:p>
        </w:tc>
        <w:tc>
          <w:tcPr>
            <w:tcW w:type="dxa" w:w="3026"/>
            <w:tcMar>
              <w:top w:w="80" w:type="dxa"/>
              <w:start w:w="120" w:type="dxa"/>
              <w:bottom w:w="80" w:type="dxa"/>
              <w:end w:w="120" w:type="dxa"/>
            </w:tcMar>
            <w:vAlign w:val="top"/>
          </w:tcPr>
          <w:p>
            <w:pPr>
              <w:spacing w:after="0"/>
            </w:pPr>
            <w:r>
              <w:t>Unsuccessful / Successful / Complete</w:t>
            </w:r>
          </w:p>
        </w:tc>
        <w:tc>
          <w:tcPr>
            <w:tcW w:type="dxa" w:w="2751"/>
            <w:tcMar>
              <w:top w:w="80" w:type="dxa"/>
              <w:start w:w="120" w:type="dxa"/>
              <w:bottom w:w="80" w:type="dxa"/>
              <w:end w:w="120" w:type="dxa"/>
            </w:tcMar>
            <w:vAlign w:val="top"/>
          </w:tcPr>
          <w:p>
            <w:pPr>
              <w:spacing w:after="0"/>
            </w:pPr>
            <w:r>
              <w:t>3,300 / 6,600 / 9,900</w:t>
            </w:r>
          </w:p>
        </w:tc>
        <w:tc>
          <w:tcPr>
            <w:tcW w:type="dxa" w:w="2750"/>
            <w:tcMar>
              <w:top w:w="80" w:type="dxa"/>
              <w:start w:w="120" w:type="dxa"/>
              <w:bottom w:w="80" w:type="dxa"/>
              <w:end w:w="120" w:type="dxa"/>
            </w:tcMar>
            <w:vAlign w:val="top"/>
          </w:tcPr>
          <w:p>
            <w:pPr>
              <w:spacing w:after="0"/>
            </w:pPr>
            <w:r>
              <w:t>6,600 / 13,200 / 19,800</w:t>
            </w:r>
          </w:p>
        </w:tc>
      </w:tr>
    </w:tbl>
    <w:p>
      <w:pPr>
        <w:spacing w:after="40"/>
      </w:pPr>
    </w:p>
    <w:p>
      <w:pPr>
        <w:pStyle w:val="Heading2"/>
      </w:pPr>
      <w:r>
        <w:t>Alpha Strike Support Allocation</w:t>
      </w:r>
    </w:p>
    <w:tbl>
      <w:tblPr>
        <w:tblStyle w:val="TableGrid"/>
        <w:tblW w:type="dxa" w:w="10040"/>
        <w:jc w:val="left"/>
        <w:tblLayout w:type="fixed"/>
        <w:tblLook w:firstColumn="1" w:firstRow="1" w:lastColumn="0" w:lastRow="0" w:noHBand="0" w:noVBand="1" w:val="04A0"/>
        <w:tblInd w:type="dxa" w:w="120"/>
        <w:tblLayout w:type="fixed"/>
      </w:tblPr>
      <w:tblGrid>
        <w:gridCol w:w="1513"/>
        <w:gridCol w:w="3026"/>
        <w:gridCol w:w="2751"/>
        <w:gridCol w:w="2750"/>
      </w:tblGrid>
      <w:tr>
        <w:trPr>
          <w:tblHeader w:val="true"/>
        </w:trPr>
        <w:tc>
          <w:tcPr>
            <w:tcW w:type="dxa" w:w="1513"/>
            <w:shd w:fill="DCE3EE"/>
            <w:tcMar>
              <w:top w:w="80" w:type="dxa"/>
              <w:start w:w="120" w:type="dxa"/>
              <w:bottom w:w="80" w:type="dxa"/>
              <w:end w:w="120" w:type="dxa"/>
            </w:tcMar>
            <w:vAlign w:val="center"/>
          </w:tcPr>
          <w:p>
            <w:r>
              <w:rPr>
                <w:b/>
                <w:color w:val="213854"/>
              </w:rPr>
              <w:t>Campaign Size</w:t>
            </w:r>
          </w:p>
        </w:tc>
        <w:tc>
          <w:tcPr>
            <w:tcW w:type="dxa" w:w="3026"/>
            <w:shd w:fill="DCE3EE"/>
            <w:tcMar>
              <w:top w:w="80" w:type="dxa"/>
              <w:start w:w="120" w:type="dxa"/>
              <w:bottom w:w="80" w:type="dxa"/>
              <w:end w:w="120" w:type="dxa"/>
            </w:tcMar>
            <w:vAlign w:val="center"/>
          </w:tcPr>
          <w:p>
            <w:r>
              <w:rPr>
                <w:b/>
                <w:color w:val="213854"/>
              </w:rPr>
              <w:t>Result</w:t>
            </w:r>
          </w:p>
        </w:tc>
        <w:tc>
          <w:tcPr>
            <w:tcW w:type="dxa" w:w="2751"/>
            <w:shd w:fill="DCE3EE"/>
            <w:tcMar>
              <w:top w:w="80" w:type="dxa"/>
              <w:start w:w="120" w:type="dxa"/>
              <w:bottom w:w="80" w:type="dxa"/>
              <w:end w:w="120" w:type="dxa"/>
            </w:tcMar>
            <w:vAlign w:val="center"/>
          </w:tcPr>
          <w:p>
            <w:r>
              <w:rPr>
                <w:b/>
                <w:color w:val="213854"/>
              </w:rPr>
              <w:t>Clan</w:t>
            </w:r>
          </w:p>
        </w:tc>
        <w:tc>
          <w:tcPr>
            <w:tcW w:type="dxa" w:w="2750"/>
            <w:shd w:fill="DCE3EE"/>
            <w:tcMar>
              <w:top w:w="80" w:type="dxa"/>
              <w:start w:w="120" w:type="dxa"/>
              <w:bottom w:w="80" w:type="dxa"/>
              <w:end w:w="120" w:type="dxa"/>
            </w:tcMar>
            <w:vAlign w:val="center"/>
          </w:tcPr>
          <w:p>
            <w:r>
              <w:rPr>
                <w:b/>
                <w:color w:val="213854"/>
              </w:rPr>
              <w:t>ComStar</w:t>
            </w:r>
          </w:p>
        </w:tc>
      </w:tr>
      <w:tr>
        <w:trPr>
          <w:cantSplit/>
        </w:trPr>
        <w:tc>
          <w:tcPr>
            <w:tcW w:type="dxa" w:w="1513"/>
            <w:tcMar>
              <w:top w:w="80" w:type="dxa"/>
              <w:start w:w="120" w:type="dxa"/>
              <w:bottom w:w="80" w:type="dxa"/>
              <w:end w:w="120" w:type="dxa"/>
            </w:tcMar>
            <w:vAlign w:val="top"/>
          </w:tcPr>
          <w:p>
            <w:pPr>
              <w:spacing w:after="0"/>
            </w:pPr>
            <w:r>
              <w:t>Star</w:t>
            </w:r>
          </w:p>
        </w:tc>
        <w:tc>
          <w:tcPr>
            <w:tcW w:type="dxa" w:w="3026"/>
            <w:tcMar>
              <w:top w:w="80" w:type="dxa"/>
              <w:start w:w="120" w:type="dxa"/>
              <w:bottom w:w="80" w:type="dxa"/>
              <w:end w:w="120" w:type="dxa"/>
            </w:tcMar>
            <w:vAlign w:val="top"/>
          </w:tcPr>
          <w:p>
            <w:pPr>
              <w:spacing w:after="0"/>
            </w:pPr>
            <w:r>
              <w:t>Unsuccessful / Successful / Complete</w:t>
            </w:r>
          </w:p>
        </w:tc>
        <w:tc>
          <w:tcPr>
            <w:tcW w:type="dxa" w:w="2751"/>
            <w:tcMar>
              <w:top w:w="80" w:type="dxa"/>
              <w:start w:w="120" w:type="dxa"/>
              <w:bottom w:w="80" w:type="dxa"/>
              <w:end w:w="120" w:type="dxa"/>
            </w:tcMar>
            <w:vAlign w:val="top"/>
          </w:tcPr>
          <w:p>
            <w:pPr>
              <w:spacing w:after="0"/>
            </w:pPr>
            <w:r>
              <w:t>660 / 1,320 / 1,980</w:t>
            </w:r>
          </w:p>
        </w:tc>
        <w:tc>
          <w:tcPr>
            <w:tcW w:type="dxa" w:w="2750"/>
            <w:tcMar>
              <w:top w:w="80" w:type="dxa"/>
              <w:start w:w="120" w:type="dxa"/>
              <w:bottom w:w="80" w:type="dxa"/>
              <w:end w:w="120" w:type="dxa"/>
            </w:tcMar>
            <w:vAlign w:val="top"/>
          </w:tcPr>
          <w:p>
            <w:pPr>
              <w:spacing w:after="0"/>
            </w:pPr>
            <w:r>
              <w:t>1,320 / 2,640 / 3,960</w:t>
            </w:r>
          </w:p>
        </w:tc>
      </w:tr>
      <w:tr>
        <w:trPr>
          <w:cantSplit/>
        </w:trPr>
        <w:tc>
          <w:tcPr>
            <w:tcW w:type="dxa" w:w="1513"/>
            <w:tcMar>
              <w:top w:w="80" w:type="dxa"/>
              <w:start w:w="120" w:type="dxa"/>
              <w:bottom w:w="80" w:type="dxa"/>
              <w:end w:w="120" w:type="dxa"/>
            </w:tcMar>
            <w:vAlign w:val="top"/>
          </w:tcPr>
          <w:p>
            <w:pPr>
              <w:spacing w:after="0"/>
            </w:pPr>
            <w:r>
              <w:t>Binary</w:t>
            </w:r>
          </w:p>
        </w:tc>
        <w:tc>
          <w:tcPr>
            <w:tcW w:type="dxa" w:w="3026"/>
            <w:tcMar>
              <w:top w:w="80" w:type="dxa"/>
              <w:start w:w="120" w:type="dxa"/>
              <w:bottom w:w="80" w:type="dxa"/>
              <w:end w:w="120" w:type="dxa"/>
            </w:tcMar>
            <w:vAlign w:val="top"/>
          </w:tcPr>
          <w:p>
            <w:pPr>
              <w:spacing w:after="0"/>
            </w:pPr>
            <w:r>
              <w:t>Unsuccessful / Successful / Complete</w:t>
            </w:r>
          </w:p>
        </w:tc>
        <w:tc>
          <w:tcPr>
            <w:tcW w:type="dxa" w:w="2751"/>
            <w:tcMar>
              <w:top w:w="80" w:type="dxa"/>
              <w:start w:w="120" w:type="dxa"/>
              <w:bottom w:w="80" w:type="dxa"/>
              <w:end w:w="120" w:type="dxa"/>
            </w:tcMar>
            <w:vAlign w:val="top"/>
          </w:tcPr>
          <w:p>
            <w:pPr>
              <w:spacing w:after="0"/>
            </w:pPr>
            <w:r>
              <w:t>1,320 / 2,640 / 3,960</w:t>
            </w:r>
          </w:p>
        </w:tc>
        <w:tc>
          <w:tcPr>
            <w:tcW w:type="dxa" w:w="2750"/>
            <w:tcMar>
              <w:top w:w="80" w:type="dxa"/>
              <w:start w:w="120" w:type="dxa"/>
              <w:bottom w:w="80" w:type="dxa"/>
              <w:end w:w="120" w:type="dxa"/>
            </w:tcMar>
            <w:vAlign w:val="top"/>
          </w:tcPr>
          <w:p>
            <w:pPr>
              <w:spacing w:after="0"/>
            </w:pPr>
            <w:r>
              <w:t>2,640 / 5,280 / 7,920</w:t>
            </w:r>
          </w:p>
        </w:tc>
      </w:tr>
      <w:tr>
        <w:trPr>
          <w:cantSplit/>
        </w:trPr>
        <w:tc>
          <w:tcPr>
            <w:tcW w:type="dxa" w:w="1513"/>
            <w:tcMar>
              <w:top w:w="80" w:type="dxa"/>
              <w:start w:w="120" w:type="dxa"/>
              <w:bottom w:w="80" w:type="dxa"/>
              <w:end w:w="120" w:type="dxa"/>
            </w:tcMar>
            <w:vAlign w:val="top"/>
          </w:tcPr>
          <w:p>
            <w:pPr>
              <w:spacing w:after="0"/>
            </w:pPr>
            <w:r>
              <w:t>Trinary</w:t>
            </w:r>
          </w:p>
        </w:tc>
        <w:tc>
          <w:tcPr>
            <w:tcW w:type="dxa" w:w="3026"/>
            <w:tcMar>
              <w:top w:w="80" w:type="dxa"/>
              <w:start w:w="120" w:type="dxa"/>
              <w:bottom w:w="80" w:type="dxa"/>
              <w:end w:w="120" w:type="dxa"/>
            </w:tcMar>
            <w:vAlign w:val="top"/>
          </w:tcPr>
          <w:p>
            <w:pPr>
              <w:spacing w:after="0"/>
            </w:pPr>
            <w:r>
              <w:t>Unsuccessful / Successful / Complete</w:t>
            </w:r>
          </w:p>
        </w:tc>
        <w:tc>
          <w:tcPr>
            <w:tcW w:type="dxa" w:w="2751"/>
            <w:tcMar>
              <w:top w:w="80" w:type="dxa"/>
              <w:start w:w="120" w:type="dxa"/>
              <w:bottom w:w="80" w:type="dxa"/>
              <w:end w:w="120" w:type="dxa"/>
            </w:tcMar>
            <w:vAlign w:val="top"/>
          </w:tcPr>
          <w:p>
            <w:pPr>
              <w:spacing w:after="0"/>
            </w:pPr>
            <w:r>
              <w:t>1,980 / 3,960 / 5,940</w:t>
            </w:r>
          </w:p>
        </w:tc>
        <w:tc>
          <w:tcPr>
            <w:tcW w:type="dxa" w:w="2750"/>
            <w:tcMar>
              <w:top w:w="80" w:type="dxa"/>
              <w:start w:w="120" w:type="dxa"/>
              <w:bottom w:w="80" w:type="dxa"/>
              <w:end w:w="120" w:type="dxa"/>
            </w:tcMar>
            <w:vAlign w:val="top"/>
          </w:tcPr>
          <w:p>
            <w:pPr>
              <w:spacing w:after="0"/>
            </w:pPr>
            <w:r>
              <w:t>3,960 / 7,920 / 11,880</w:t>
            </w:r>
          </w:p>
        </w:tc>
      </w:tr>
    </w:tbl>
    <w:p>
      <w:pPr>
        <w:spacing w:after="40"/>
      </w:pPr>
    </w:p>
    <w:p>
      <w:r>
        <w:rPr>
          <w:b/>
        </w:rPr>
        <w:t xml:space="preserve">Economic Scale. </w:t>
      </w:r>
      <w:r>
        <w:t>The Alpha Strike amounts preserve the same percentage of total Campaign Force value and the same two-to-one ComStar logistical advantage as the Classic BattleTech amounts. Alpha Strike unit value is calculated at PV x 40 SP.</w:t>
      </w:r>
    </w:p>
    <w:p>
      <w:pPr>
        <w:pStyle w:val="ListBullet"/>
      </w:pPr>
      <w:r>
        <w:t>Award Support Allocation after every completed Track. Unspent SP carries forward.</w:t>
      </w:r>
    </w:p>
    <w:p>
      <w:pPr>
        <w:pStyle w:val="ListBullet"/>
      </w:pPr>
      <w:r>
        <w:t>Unsuccessful: the force completed at least one objective but scored fewer Objective Points.</w:t>
      </w:r>
    </w:p>
    <w:p>
      <w:pPr>
        <w:pStyle w:val="ListBullet"/>
      </w:pPr>
      <w:r>
        <w:t>Successful: the force scored more Objective Points.</w:t>
      </w:r>
    </w:p>
    <w:p>
      <w:pPr>
        <w:pStyle w:val="ListBullet"/>
      </w:pPr>
      <w:r>
        <w:t>Complete Success: the force won the Track and completed every available objective.</w:t>
      </w:r>
    </w:p>
    <w:p>
      <w:pPr>
        <w:pStyle w:val="ListBullet"/>
      </w:pPr>
      <w:r>
        <w:t>Tie: both forces receive the Unsuccessful allocation.</w:t>
      </w:r>
    </w:p>
    <w:p>
      <w:pPr>
        <w:pStyle w:val="ListBullet"/>
      </w:pPr>
      <w:r>
        <w:t>A force that refuses a Track or withdraws without completing an objective receives no allocation.</w:t>
      </w:r>
    </w:p>
    <w:p>
      <w:pPr>
        <w:pStyle w:val="ListBullet"/>
      </w:pPr>
      <w:r>
        <w:t>Only the single highest applicable tier is awarded.</w:t>
      </w:r>
    </w:p>
    <w:p>
      <w:r>
        <w:br w:type="page"/>
      </w:r>
    </w:p>
    <w:p>
      <w:pPr>
        <w:keepNext/>
        <w:spacing w:before="200" w:after="160"/>
        <w:shd w:fill="213854"/>
      </w:pPr>
      <w:r>
        <w:rPr>
          <w:rFonts w:ascii="Aptos Display" w:hAnsi="Aptos Display"/>
          <w:b/>
          <w:color w:val="FFFFFF"/>
          <w:sz w:val="30"/>
        </w:rPr>
        <w:t>2  BETWEEN TRACKS</w:t>
      </w:r>
    </w:p>
    <w:p>
      <w:pPr>
        <w:pStyle w:val="Heading2"/>
      </w:pPr>
      <w:r>
        <w:t>SP Activities</w:t>
      </w:r>
    </w:p>
    <w:tbl>
      <w:tblPr>
        <w:tblStyle w:val="TableGrid"/>
        <w:tblW w:type="dxa" w:w="10040"/>
        <w:jc w:val="left"/>
        <w:tblLayout w:type="fixed"/>
        <w:tblLook w:firstColumn="1" w:firstRow="1" w:lastColumn="0" w:lastRow="0" w:noHBand="0" w:noVBand="1" w:val="04A0"/>
        <w:tblInd w:type="dxa" w:w="120"/>
        <w:tblLayout w:type="fixed"/>
      </w:tblPr>
      <w:tblGrid>
        <w:gridCol w:w="4126"/>
        <w:gridCol w:w="2957"/>
        <w:gridCol w:w="2957"/>
      </w:tblGrid>
      <w:tr>
        <w:trPr>
          <w:tblHeader w:val="true"/>
        </w:trPr>
        <w:tc>
          <w:tcPr>
            <w:tcW w:type="dxa" w:w="4126"/>
            <w:shd w:fill="DCE3EE"/>
            <w:tcMar>
              <w:top w:w="80" w:type="dxa"/>
              <w:start w:w="120" w:type="dxa"/>
              <w:bottom w:w="80" w:type="dxa"/>
              <w:end w:w="120" w:type="dxa"/>
            </w:tcMar>
            <w:vAlign w:val="center"/>
          </w:tcPr>
          <w:p>
            <w:r>
              <w:rPr>
                <w:b/>
                <w:color w:val="213854"/>
              </w:rPr>
              <w:t>Activity</w:t>
            </w:r>
          </w:p>
        </w:tc>
        <w:tc>
          <w:tcPr>
            <w:tcW w:type="dxa" w:w="2957"/>
            <w:shd w:fill="DCE3EE"/>
            <w:tcMar>
              <w:top w:w="80" w:type="dxa"/>
              <w:start w:w="120" w:type="dxa"/>
              <w:bottom w:w="80" w:type="dxa"/>
              <w:end w:w="120" w:type="dxa"/>
            </w:tcMar>
            <w:vAlign w:val="center"/>
          </w:tcPr>
          <w:p>
            <w:r>
              <w:rPr>
                <w:b/>
                <w:color w:val="213854"/>
              </w:rPr>
              <w:t>Classic BattleTech</w:t>
            </w:r>
          </w:p>
        </w:tc>
        <w:tc>
          <w:tcPr>
            <w:tcW w:type="dxa" w:w="2957"/>
            <w:shd w:fill="DCE3EE"/>
            <w:tcMar>
              <w:top w:w="80" w:type="dxa"/>
              <w:start w:w="120" w:type="dxa"/>
              <w:bottom w:w="80" w:type="dxa"/>
              <w:end w:w="120" w:type="dxa"/>
            </w:tcMar>
            <w:vAlign w:val="center"/>
          </w:tcPr>
          <w:p>
            <w:r>
              <w:rPr>
                <w:b/>
                <w:color w:val="213854"/>
              </w:rPr>
              <w:t>Alpha Strike</w:t>
            </w:r>
          </w:p>
        </w:tc>
      </w:tr>
      <w:tr>
        <w:trPr>
          <w:cantSplit/>
        </w:trPr>
        <w:tc>
          <w:tcPr>
            <w:tcW w:type="dxa" w:w="4126"/>
            <w:tcMar>
              <w:top w:w="80" w:type="dxa"/>
              <w:start w:w="120" w:type="dxa"/>
              <w:bottom w:w="80" w:type="dxa"/>
              <w:end w:w="120" w:type="dxa"/>
            </w:tcMar>
            <w:vAlign w:val="top"/>
          </w:tcPr>
          <w:p>
            <w:pPr>
              <w:spacing w:after="0"/>
            </w:pPr>
            <w:r>
              <w:t>Repair armor only</w:t>
            </w:r>
          </w:p>
        </w:tc>
        <w:tc>
          <w:tcPr>
            <w:tcW w:type="dxa" w:w="2957"/>
            <w:tcMar>
              <w:top w:w="80" w:type="dxa"/>
              <w:start w:w="120" w:type="dxa"/>
              <w:bottom w:w="80" w:type="dxa"/>
              <w:end w:w="120" w:type="dxa"/>
            </w:tcMar>
            <w:vAlign w:val="top"/>
          </w:tcPr>
          <w:p>
            <w:pPr>
              <w:spacing w:after="0"/>
            </w:pPr>
            <w:r>
              <w:t>Unit tonnage ÷ 2</w:t>
            </w:r>
          </w:p>
        </w:tc>
        <w:tc>
          <w:tcPr>
            <w:tcW w:type="dxa" w:w="2957"/>
            <w:tcMar>
              <w:top w:w="80" w:type="dxa"/>
              <w:start w:w="120" w:type="dxa"/>
              <w:bottom w:w="80" w:type="dxa"/>
              <w:end w:w="120" w:type="dxa"/>
            </w:tcMar>
            <w:vAlign w:val="top"/>
          </w:tcPr>
          <w:p>
            <w:pPr>
              <w:spacing w:after="0"/>
            </w:pPr>
            <w:r>
              <w:t>Size × 20</w:t>
            </w:r>
          </w:p>
        </w:tc>
      </w:tr>
      <w:tr>
        <w:trPr>
          <w:cantSplit/>
        </w:trPr>
        <w:tc>
          <w:tcPr>
            <w:tcW w:type="dxa" w:w="4126"/>
            <w:tcMar>
              <w:top w:w="80" w:type="dxa"/>
              <w:start w:w="120" w:type="dxa"/>
              <w:bottom w:w="80" w:type="dxa"/>
              <w:end w:w="120" w:type="dxa"/>
            </w:tcMar>
            <w:vAlign w:val="top"/>
          </w:tcPr>
          <w:p>
            <w:pPr>
              <w:spacing w:after="0"/>
            </w:pPr>
            <w:r>
              <w:t>Repair structure or critical damage</w:t>
            </w:r>
          </w:p>
        </w:tc>
        <w:tc>
          <w:tcPr>
            <w:tcW w:type="dxa" w:w="2957"/>
            <w:tcMar>
              <w:top w:w="80" w:type="dxa"/>
              <w:start w:w="120" w:type="dxa"/>
              <w:bottom w:w="80" w:type="dxa"/>
              <w:end w:w="120" w:type="dxa"/>
            </w:tcMar>
            <w:vAlign w:val="top"/>
          </w:tcPr>
          <w:p>
            <w:pPr>
              <w:spacing w:after="0"/>
            </w:pPr>
            <w:r>
              <w:t>Unit tonnage × 2</w:t>
            </w:r>
          </w:p>
        </w:tc>
        <w:tc>
          <w:tcPr>
            <w:tcW w:type="dxa" w:w="2957"/>
            <w:tcMar>
              <w:top w:w="80" w:type="dxa"/>
              <w:start w:w="120" w:type="dxa"/>
              <w:bottom w:w="80" w:type="dxa"/>
              <w:end w:w="120" w:type="dxa"/>
            </w:tcMar>
            <w:vAlign w:val="top"/>
          </w:tcPr>
          <w:p>
            <w:pPr>
              <w:spacing w:after="0"/>
            </w:pPr>
            <w:r>
              <w:t>Size × 40</w:t>
            </w:r>
          </w:p>
        </w:tc>
      </w:tr>
      <w:tr>
        <w:trPr>
          <w:cantSplit/>
        </w:trPr>
        <w:tc>
          <w:tcPr>
            <w:tcW w:type="dxa" w:w="4126"/>
            <w:tcMar>
              <w:top w:w="80" w:type="dxa"/>
              <w:start w:w="120" w:type="dxa"/>
              <w:bottom w:w="80" w:type="dxa"/>
              <w:end w:w="120" w:type="dxa"/>
            </w:tcMar>
            <w:vAlign w:val="top"/>
          </w:tcPr>
          <w:p>
            <w:pPr>
              <w:spacing w:after="0"/>
            </w:pPr>
            <w:r>
              <w:t>Repair a crippled unit</w:t>
            </w:r>
          </w:p>
        </w:tc>
        <w:tc>
          <w:tcPr>
            <w:tcW w:type="dxa" w:w="2957"/>
            <w:tcMar>
              <w:top w:w="80" w:type="dxa"/>
              <w:start w:w="120" w:type="dxa"/>
              <w:bottom w:w="80" w:type="dxa"/>
              <w:end w:w="120" w:type="dxa"/>
            </w:tcMar>
            <w:vAlign w:val="top"/>
          </w:tcPr>
          <w:p>
            <w:pPr>
              <w:spacing w:after="0"/>
            </w:pPr>
            <w:r>
              <w:t>Unit tonnage × 3</w:t>
            </w:r>
          </w:p>
        </w:tc>
        <w:tc>
          <w:tcPr>
            <w:tcW w:type="dxa" w:w="2957"/>
            <w:tcMar>
              <w:top w:w="80" w:type="dxa"/>
              <w:start w:w="120" w:type="dxa"/>
              <w:bottom w:w="80" w:type="dxa"/>
              <w:end w:w="120" w:type="dxa"/>
            </w:tcMar>
            <w:vAlign w:val="top"/>
          </w:tcPr>
          <w:p>
            <w:pPr>
              <w:spacing w:after="0"/>
            </w:pPr>
            <w:r>
              <w:t>Size × 60</w:t>
            </w:r>
          </w:p>
        </w:tc>
      </w:tr>
      <w:tr>
        <w:trPr>
          <w:cantSplit/>
        </w:trPr>
        <w:tc>
          <w:tcPr>
            <w:tcW w:type="dxa" w:w="4126"/>
            <w:tcMar>
              <w:top w:w="80" w:type="dxa"/>
              <w:start w:w="120" w:type="dxa"/>
              <w:bottom w:w="80" w:type="dxa"/>
              <w:end w:w="120" w:type="dxa"/>
            </w:tcMar>
            <w:vAlign w:val="top"/>
          </w:tcPr>
          <w:p>
            <w:pPr>
              <w:spacing w:after="0"/>
            </w:pPr>
            <w:r>
              <w:t>Repair a destroyed, recoverable unit</w:t>
            </w:r>
          </w:p>
        </w:tc>
        <w:tc>
          <w:tcPr>
            <w:tcW w:type="dxa" w:w="2957"/>
            <w:tcMar>
              <w:top w:w="80" w:type="dxa"/>
              <w:start w:w="120" w:type="dxa"/>
              <w:bottom w:w="80" w:type="dxa"/>
              <w:end w:w="120" w:type="dxa"/>
            </w:tcMar>
            <w:vAlign w:val="top"/>
          </w:tcPr>
          <w:p>
            <w:pPr>
              <w:spacing w:after="0"/>
            </w:pPr>
            <w:r>
              <w:t>Unit tonnage × 5</w:t>
            </w:r>
          </w:p>
        </w:tc>
        <w:tc>
          <w:tcPr>
            <w:tcW w:type="dxa" w:w="2957"/>
            <w:tcMar>
              <w:top w:w="80" w:type="dxa"/>
              <w:start w:w="120" w:type="dxa"/>
              <w:bottom w:w="80" w:type="dxa"/>
              <w:end w:w="120" w:type="dxa"/>
            </w:tcMar>
            <w:vAlign w:val="top"/>
          </w:tcPr>
          <w:p>
            <w:pPr>
              <w:spacing w:after="0"/>
            </w:pPr>
            <w:r>
              <w:t>Size × 100</w:t>
            </w:r>
          </w:p>
        </w:tc>
      </w:tr>
      <w:tr>
        <w:trPr>
          <w:cantSplit/>
        </w:trPr>
        <w:tc>
          <w:tcPr>
            <w:tcW w:type="dxa" w:w="4126"/>
            <w:tcMar>
              <w:top w:w="80" w:type="dxa"/>
              <w:start w:w="120" w:type="dxa"/>
              <w:bottom w:w="80" w:type="dxa"/>
              <w:end w:w="120" w:type="dxa"/>
            </w:tcMar>
            <w:vAlign w:val="top"/>
          </w:tcPr>
          <w:p>
            <w:pPr>
              <w:spacing w:after="0"/>
            </w:pPr>
            <w:r>
              <w:t>Clan or Mixed Technology repair</w:t>
            </w:r>
          </w:p>
        </w:tc>
        <w:tc>
          <w:tcPr>
            <w:tcW w:type="dxa" w:w="2957"/>
            <w:tcMar>
              <w:top w:w="80" w:type="dxa"/>
              <w:start w:w="120" w:type="dxa"/>
              <w:bottom w:w="80" w:type="dxa"/>
              <w:end w:w="120" w:type="dxa"/>
            </w:tcMar>
            <w:vAlign w:val="top"/>
          </w:tcPr>
          <w:p>
            <w:pPr>
              <w:spacing w:after="0"/>
            </w:pPr>
            <w:r>
              <w:t>Multiply repair cost by 1.5; round up</w:t>
            </w:r>
          </w:p>
        </w:tc>
        <w:tc>
          <w:tcPr>
            <w:tcW w:type="dxa" w:w="2957"/>
            <w:tcMar>
              <w:top w:w="80" w:type="dxa"/>
              <w:start w:w="120" w:type="dxa"/>
              <w:bottom w:w="80" w:type="dxa"/>
              <w:end w:w="120" w:type="dxa"/>
            </w:tcMar>
            <w:vAlign w:val="top"/>
          </w:tcPr>
          <w:p>
            <w:pPr>
              <w:spacing w:after="0"/>
            </w:pPr>
            <w:r>
              <w:t>Multiply repair cost by 1.5; round up</w:t>
            </w:r>
          </w:p>
        </w:tc>
      </w:tr>
      <w:tr>
        <w:trPr>
          <w:cantSplit/>
        </w:trPr>
        <w:tc>
          <w:tcPr>
            <w:tcW w:type="dxa" w:w="4126"/>
            <w:tcMar>
              <w:top w:w="80" w:type="dxa"/>
              <w:start w:w="120" w:type="dxa"/>
              <w:bottom w:w="80" w:type="dxa"/>
              <w:end w:w="120" w:type="dxa"/>
            </w:tcMar>
            <w:vAlign w:val="top"/>
          </w:tcPr>
          <w:p>
            <w:pPr>
              <w:spacing w:after="0"/>
            </w:pPr>
            <w:r>
              <w:t>Combat vehicle or battle armor repair</w:t>
            </w:r>
          </w:p>
        </w:tc>
        <w:tc>
          <w:tcPr>
            <w:tcW w:type="dxa" w:w="2957"/>
            <w:tcMar>
              <w:top w:w="80" w:type="dxa"/>
              <w:start w:w="120" w:type="dxa"/>
              <w:bottom w:w="80" w:type="dxa"/>
              <w:end w:w="120" w:type="dxa"/>
            </w:tcMar>
            <w:vAlign w:val="top"/>
          </w:tcPr>
          <w:p>
            <w:pPr>
              <w:spacing w:after="0"/>
            </w:pPr>
            <w:r>
              <w:t>Halve repair cost; round up</w:t>
            </w:r>
          </w:p>
        </w:tc>
        <w:tc>
          <w:tcPr>
            <w:tcW w:type="dxa" w:w="2957"/>
            <w:tcMar>
              <w:top w:w="80" w:type="dxa"/>
              <w:start w:w="120" w:type="dxa"/>
              <w:bottom w:w="80" w:type="dxa"/>
              <w:end w:w="120" w:type="dxa"/>
            </w:tcMar>
            <w:vAlign w:val="top"/>
          </w:tcPr>
          <w:p>
            <w:pPr>
              <w:spacing w:after="0"/>
            </w:pPr>
            <w:r>
              <w:t>Halve repair cost; round up</w:t>
            </w:r>
          </w:p>
        </w:tc>
      </w:tr>
      <w:tr>
        <w:trPr>
          <w:cantSplit/>
        </w:trPr>
        <w:tc>
          <w:tcPr>
            <w:tcW w:type="dxa" w:w="4126"/>
            <w:tcMar>
              <w:top w:w="80" w:type="dxa"/>
              <w:start w:w="120" w:type="dxa"/>
              <w:bottom w:w="80" w:type="dxa"/>
              <w:end w:w="120" w:type="dxa"/>
            </w:tcMar>
            <w:vAlign w:val="top"/>
          </w:tcPr>
          <w:p>
            <w:pPr>
              <w:spacing w:after="0"/>
            </w:pPr>
            <w:r>
              <w:t>Purchase replacement unit</w:t>
            </w:r>
          </w:p>
        </w:tc>
        <w:tc>
          <w:tcPr>
            <w:tcW w:type="dxa" w:w="2957"/>
            <w:tcMar>
              <w:top w:w="80" w:type="dxa"/>
              <w:start w:w="120" w:type="dxa"/>
              <w:bottom w:w="80" w:type="dxa"/>
              <w:end w:w="120" w:type="dxa"/>
            </w:tcMar>
            <w:vAlign w:val="top"/>
          </w:tcPr>
          <w:p>
            <w:pPr>
              <w:spacing w:after="0"/>
            </w:pPr>
            <w:r>
              <w:t>Actual pilot-adjusted BV</w:t>
            </w:r>
          </w:p>
        </w:tc>
        <w:tc>
          <w:tcPr>
            <w:tcW w:type="dxa" w:w="2957"/>
            <w:tcMar>
              <w:top w:w="80" w:type="dxa"/>
              <w:start w:w="120" w:type="dxa"/>
              <w:bottom w:w="80" w:type="dxa"/>
              <w:end w:w="120" w:type="dxa"/>
            </w:tcMar>
            <w:vAlign w:val="top"/>
          </w:tcPr>
          <w:p>
            <w:pPr>
              <w:spacing w:after="0"/>
            </w:pPr>
            <w:r>
              <w:t>Actual Skill-adjusted PV × 40</w:t>
            </w:r>
          </w:p>
        </w:tc>
      </w:tr>
      <w:tr>
        <w:trPr>
          <w:cantSplit/>
        </w:trPr>
        <w:tc>
          <w:tcPr>
            <w:tcW w:type="dxa" w:w="4126"/>
            <w:tcMar>
              <w:top w:w="80" w:type="dxa"/>
              <w:start w:w="120" w:type="dxa"/>
              <w:bottom w:w="80" w:type="dxa"/>
              <w:end w:w="120" w:type="dxa"/>
            </w:tcMar>
            <w:vAlign w:val="top"/>
          </w:tcPr>
          <w:p>
            <w:pPr>
              <w:spacing w:after="0"/>
            </w:pPr>
            <w:r>
              <w:t>Sell fully repaired unit</w:t>
            </w:r>
          </w:p>
        </w:tc>
        <w:tc>
          <w:tcPr>
            <w:tcW w:type="dxa" w:w="2957"/>
            <w:tcMar>
              <w:top w:w="80" w:type="dxa"/>
              <w:start w:w="120" w:type="dxa"/>
              <w:bottom w:w="80" w:type="dxa"/>
              <w:end w:w="120" w:type="dxa"/>
            </w:tcMar>
            <w:vAlign w:val="top"/>
          </w:tcPr>
          <w:p>
            <w:pPr>
              <w:spacing w:after="0"/>
            </w:pPr>
            <w:r>
              <w:t>BV ÷ 2</w:t>
            </w:r>
          </w:p>
        </w:tc>
        <w:tc>
          <w:tcPr>
            <w:tcW w:type="dxa" w:w="2957"/>
            <w:tcMar>
              <w:top w:w="80" w:type="dxa"/>
              <w:start w:w="120" w:type="dxa"/>
              <w:bottom w:w="80" w:type="dxa"/>
              <w:end w:w="120" w:type="dxa"/>
            </w:tcMar>
            <w:vAlign w:val="top"/>
          </w:tcPr>
          <w:p>
            <w:pPr>
              <w:spacing w:after="0"/>
            </w:pPr>
            <w:r>
              <w:t>PV × 20</w:t>
            </w:r>
          </w:p>
        </w:tc>
      </w:tr>
      <w:tr>
        <w:trPr>
          <w:cantSplit/>
        </w:trPr>
        <w:tc>
          <w:tcPr>
            <w:tcW w:type="dxa" w:w="4126"/>
            <w:tcMar>
              <w:top w:w="80" w:type="dxa"/>
              <w:start w:w="120" w:type="dxa"/>
              <w:bottom w:w="80" w:type="dxa"/>
              <w:end w:w="120" w:type="dxa"/>
            </w:tcMar>
            <w:vAlign w:val="top"/>
          </w:tcPr>
          <w:p>
            <w:pPr>
              <w:spacing w:after="0"/>
            </w:pPr>
            <w:r>
              <w:t>Scrap recoverable destroyed unit</w:t>
            </w:r>
          </w:p>
        </w:tc>
        <w:tc>
          <w:tcPr>
            <w:tcW w:type="dxa" w:w="2957"/>
            <w:tcMar>
              <w:top w:w="80" w:type="dxa"/>
              <w:start w:w="120" w:type="dxa"/>
              <w:bottom w:w="80" w:type="dxa"/>
              <w:end w:w="120" w:type="dxa"/>
            </w:tcMar>
            <w:vAlign w:val="top"/>
          </w:tcPr>
          <w:p>
            <w:pPr>
              <w:spacing w:after="0"/>
            </w:pPr>
            <w:r>
              <w:t>BV ÷ 4</w:t>
            </w:r>
          </w:p>
        </w:tc>
        <w:tc>
          <w:tcPr>
            <w:tcW w:type="dxa" w:w="2957"/>
            <w:tcMar>
              <w:top w:w="80" w:type="dxa"/>
              <w:start w:w="120" w:type="dxa"/>
              <w:bottom w:w="80" w:type="dxa"/>
              <w:end w:w="120" w:type="dxa"/>
            </w:tcMar>
            <w:vAlign w:val="top"/>
          </w:tcPr>
          <w:p>
            <w:pPr>
              <w:spacing w:after="0"/>
            </w:pPr>
            <w:r>
              <w:t>PV × 10</w:t>
            </w:r>
          </w:p>
        </w:tc>
      </w:tr>
      <w:tr>
        <w:trPr>
          <w:cantSplit/>
        </w:trPr>
        <w:tc>
          <w:tcPr>
            <w:tcW w:type="dxa" w:w="4126"/>
            <w:tcMar>
              <w:top w:w="80" w:type="dxa"/>
              <w:start w:w="120" w:type="dxa"/>
              <w:bottom w:w="80" w:type="dxa"/>
              <w:end w:w="120" w:type="dxa"/>
            </w:tcMar>
            <w:vAlign w:val="top"/>
          </w:tcPr>
          <w:p>
            <w:pPr>
              <w:spacing w:after="0"/>
            </w:pPr>
            <w:r>
              <w:t>Standard ammunition</w:t>
            </w:r>
          </w:p>
        </w:tc>
        <w:tc>
          <w:tcPr>
            <w:tcW w:type="dxa" w:w="2957"/>
            <w:tcMar>
              <w:top w:w="80" w:type="dxa"/>
              <w:start w:w="120" w:type="dxa"/>
              <w:bottom w:w="80" w:type="dxa"/>
              <w:end w:w="120" w:type="dxa"/>
            </w:tcMar>
            <w:vAlign w:val="top"/>
          </w:tcPr>
          <w:p>
            <w:pPr>
              <w:spacing w:after="0"/>
            </w:pPr>
            <w:r>
              <w:t>10 SP per ton</w:t>
            </w:r>
          </w:p>
        </w:tc>
        <w:tc>
          <w:tcPr>
            <w:tcW w:type="dxa" w:w="2957"/>
            <w:tcMar>
              <w:top w:w="80" w:type="dxa"/>
              <w:start w:w="120" w:type="dxa"/>
              <w:bottom w:w="80" w:type="dxa"/>
              <w:end w:w="120" w:type="dxa"/>
            </w:tcMar>
            <w:vAlign w:val="top"/>
          </w:tcPr>
          <w:p>
            <w:pPr>
              <w:spacing w:after="0"/>
            </w:pPr>
            <w:r>
              <w:t>20 SP per unit without ENE</w:t>
            </w:r>
          </w:p>
        </w:tc>
      </w:tr>
      <w:tr>
        <w:trPr>
          <w:cantSplit/>
        </w:trPr>
        <w:tc>
          <w:tcPr>
            <w:tcW w:type="dxa" w:w="4126"/>
            <w:tcMar>
              <w:top w:w="80" w:type="dxa"/>
              <w:start w:w="120" w:type="dxa"/>
              <w:bottom w:w="80" w:type="dxa"/>
              <w:end w:w="120" w:type="dxa"/>
            </w:tcMar>
            <w:vAlign w:val="top"/>
          </w:tcPr>
          <w:p>
            <w:pPr>
              <w:spacing w:after="0"/>
            </w:pPr>
            <w:r>
              <w:t>Advanced or experimental ammunition</w:t>
            </w:r>
          </w:p>
        </w:tc>
        <w:tc>
          <w:tcPr>
            <w:tcW w:type="dxa" w:w="2957"/>
            <w:tcMar>
              <w:top w:w="80" w:type="dxa"/>
              <w:start w:w="120" w:type="dxa"/>
              <w:bottom w:w="80" w:type="dxa"/>
              <w:end w:w="120" w:type="dxa"/>
            </w:tcMar>
            <w:vAlign w:val="top"/>
          </w:tcPr>
          <w:p>
            <w:pPr>
              <w:spacing w:after="0"/>
            </w:pPr>
            <w:r>
              <w:t>100 SP per ton</w:t>
            </w:r>
          </w:p>
        </w:tc>
        <w:tc>
          <w:tcPr>
            <w:tcW w:type="dxa" w:w="2957"/>
            <w:tcMar>
              <w:top w:w="80" w:type="dxa"/>
              <w:start w:w="120" w:type="dxa"/>
              <w:bottom w:w="80" w:type="dxa"/>
              <w:end w:w="120" w:type="dxa"/>
            </w:tcMar>
            <w:vAlign w:val="top"/>
          </w:tcPr>
          <w:p>
            <w:pPr>
              <w:spacing w:after="0"/>
            </w:pPr>
            <w:r>
              <w:t>20 SP per available munition type</w:t>
            </w:r>
          </w:p>
        </w:tc>
      </w:tr>
      <w:tr>
        <w:trPr>
          <w:cantSplit/>
        </w:trPr>
        <w:tc>
          <w:tcPr>
            <w:tcW w:type="dxa" w:w="4126"/>
            <w:tcMar>
              <w:top w:w="80" w:type="dxa"/>
              <w:start w:w="120" w:type="dxa"/>
              <w:bottom w:w="80" w:type="dxa"/>
              <w:end w:w="120" w:type="dxa"/>
            </w:tcMar>
            <w:vAlign w:val="top"/>
          </w:tcPr>
          <w:p>
            <w:pPr>
              <w:spacing w:after="0"/>
            </w:pPr>
            <w:r>
              <w:t>Reconfigure OmniMech, OmniVehicle, or modular BA</w:t>
            </w:r>
          </w:p>
        </w:tc>
        <w:tc>
          <w:tcPr>
            <w:tcW w:type="dxa" w:w="2957"/>
            <w:tcMar>
              <w:top w:w="80" w:type="dxa"/>
              <w:start w:w="120" w:type="dxa"/>
              <w:bottom w:w="80" w:type="dxa"/>
              <w:end w:w="120" w:type="dxa"/>
            </w:tcMar>
            <w:vAlign w:val="top"/>
          </w:tcPr>
          <w:p>
            <w:pPr>
              <w:spacing w:after="0"/>
            </w:pPr>
            <w:r>
              <w:t>Unit tonnage ÷ 2</w:t>
            </w:r>
          </w:p>
        </w:tc>
        <w:tc>
          <w:tcPr>
            <w:tcW w:type="dxa" w:w="2957"/>
            <w:tcMar>
              <w:top w:w="80" w:type="dxa"/>
              <w:start w:w="120" w:type="dxa"/>
              <w:bottom w:w="80" w:type="dxa"/>
              <w:end w:w="120" w:type="dxa"/>
            </w:tcMar>
            <w:vAlign w:val="top"/>
          </w:tcPr>
          <w:p>
            <w:pPr>
              <w:spacing w:after="0"/>
            </w:pPr>
            <w:r>
              <w:t>Size × 10</w:t>
            </w:r>
          </w:p>
        </w:tc>
      </w:tr>
      <w:tr>
        <w:trPr>
          <w:cantSplit/>
        </w:trPr>
        <w:tc>
          <w:tcPr>
            <w:tcW w:type="dxa" w:w="4126"/>
            <w:tcMar>
              <w:top w:w="80" w:type="dxa"/>
              <w:start w:w="120" w:type="dxa"/>
              <w:bottom w:w="80" w:type="dxa"/>
              <w:end w:w="120" w:type="dxa"/>
            </w:tcMar>
            <w:vAlign w:val="top"/>
          </w:tcPr>
          <w:p>
            <w:pPr>
              <w:spacing w:after="0"/>
            </w:pPr>
            <w:r>
              <w:t>Heal MechWarrior or crew</w:t>
            </w:r>
          </w:p>
        </w:tc>
        <w:tc>
          <w:tcPr>
            <w:tcW w:type="dxa" w:w="2957"/>
            <w:tcMar>
              <w:top w:w="80" w:type="dxa"/>
              <w:start w:w="120" w:type="dxa"/>
              <w:bottom w:w="80" w:type="dxa"/>
              <w:end w:w="120" w:type="dxa"/>
            </w:tcMar>
            <w:vAlign w:val="top"/>
          </w:tcPr>
          <w:p>
            <w:pPr>
              <w:spacing w:after="0"/>
            </w:pPr>
            <w:r>
              <w:t>30 SP per wound; maximum one wound between Tracks</w:t>
            </w:r>
          </w:p>
        </w:tc>
        <w:tc>
          <w:tcPr>
            <w:tcW w:type="dxa" w:w="2957"/>
            <w:tcMar>
              <w:top w:w="80" w:type="dxa"/>
              <w:start w:w="120" w:type="dxa"/>
              <w:bottom w:w="80" w:type="dxa"/>
              <w:end w:w="120" w:type="dxa"/>
            </w:tcMar>
            <w:vAlign w:val="top"/>
          </w:tcPr>
          <w:p>
            <w:pPr>
              <w:spacing w:after="0"/>
            </w:pPr>
            <w:r>
              <w:t>30 SP per injury</w:t>
            </w:r>
          </w:p>
        </w:tc>
      </w:tr>
      <w:tr>
        <w:trPr>
          <w:cantSplit/>
        </w:trPr>
        <w:tc>
          <w:tcPr>
            <w:tcW w:type="dxa" w:w="4126"/>
            <w:tcMar>
              <w:top w:w="80" w:type="dxa"/>
              <w:start w:w="120" w:type="dxa"/>
              <w:bottom w:w="80" w:type="dxa"/>
              <w:end w:w="120" w:type="dxa"/>
            </w:tcMar>
            <w:vAlign w:val="top"/>
          </w:tcPr>
          <w:p>
            <w:pPr>
              <w:spacing w:after="0"/>
            </w:pPr>
            <w:r>
              <w:t>Heal battle armor trooper</w:t>
            </w:r>
          </w:p>
        </w:tc>
        <w:tc>
          <w:tcPr>
            <w:tcW w:type="dxa" w:w="2957"/>
            <w:tcMar>
              <w:top w:w="80" w:type="dxa"/>
              <w:start w:w="120" w:type="dxa"/>
              <w:bottom w:w="80" w:type="dxa"/>
              <w:end w:w="120" w:type="dxa"/>
            </w:tcMar>
            <w:vAlign w:val="top"/>
          </w:tcPr>
          <w:p>
            <w:pPr>
              <w:spacing w:after="0"/>
            </w:pPr>
            <w:r>
              <w:t>10 SP</w:t>
            </w:r>
          </w:p>
        </w:tc>
        <w:tc>
          <w:tcPr>
            <w:tcW w:type="dxa" w:w="2957"/>
            <w:tcMar>
              <w:top w:w="80" w:type="dxa"/>
              <w:start w:w="120" w:type="dxa"/>
              <w:bottom w:w="80" w:type="dxa"/>
              <w:end w:w="120" w:type="dxa"/>
            </w:tcMar>
            <w:vAlign w:val="top"/>
          </w:tcPr>
          <w:p>
            <w:pPr>
              <w:spacing w:after="0"/>
            </w:pPr>
            <w:r>
              <w:t>10 SP</w:t>
            </w:r>
          </w:p>
        </w:tc>
      </w:tr>
      <w:tr>
        <w:trPr>
          <w:cantSplit/>
        </w:trPr>
        <w:tc>
          <w:tcPr>
            <w:tcW w:type="dxa" w:w="4126"/>
            <w:tcMar>
              <w:top w:w="80" w:type="dxa"/>
              <w:start w:w="120" w:type="dxa"/>
              <w:bottom w:w="80" w:type="dxa"/>
              <w:end w:w="120" w:type="dxa"/>
            </w:tcMar>
            <w:vAlign w:val="top"/>
          </w:tcPr>
          <w:p>
            <w:pPr>
              <w:spacing w:after="0"/>
            </w:pPr>
            <w:r>
              <w:t>Replace killed battle armor trooper</w:t>
            </w:r>
          </w:p>
        </w:tc>
        <w:tc>
          <w:tcPr>
            <w:tcW w:type="dxa" w:w="2957"/>
            <w:tcMar>
              <w:top w:w="80" w:type="dxa"/>
              <w:start w:w="120" w:type="dxa"/>
              <w:bottom w:w="80" w:type="dxa"/>
              <w:end w:w="120" w:type="dxa"/>
            </w:tcMar>
            <w:vAlign w:val="top"/>
          </w:tcPr>
          <w:p>
            <w:pPr>
              <w:spacing w:after="0"/>
            </w:pPr>
            <w:r>
              <w:t>20 SP</w:t>
            </w:r>
          </w:p>
        </w:tc>
        <w:tc>
          <w:tcPr>
            <w:tcW w:type="dxa" w:w="2957"/>
            <w:tcMar>
              <w:top w:w="80" w:type="dxa"/>
              <w:start w:w="120" w:type="dxa"/>
              <w:bottom w:w="80" w:type="dxa"/>
              <w:end w:w="120" w:type="dxa"/>
            </w:tcMar>
            <w:vAlign w:val="top"/>
          </w:tcPr>
          <w:p>
            <w:pPr>
              <w:spacing w:after="0"/>
            </w:pPr>
            <w:r>
              <w:t>20 SP</w:t>
            </w:r>
          </w:p>
        </w:tc>
      </w:tr>
    </w:tbl>
    <w:p>
      <w:pPr>
        <w:spacing w:after="40"/>
      </w:pPr>
    </w:p>
    <w:p>
      <w:r>
        <w:rPr>
          <w:b/>
        </w:rPr>
        <w:t xml:space="preserve">Repair Category. </w:t>
      </w:r>
      <w:r>
        <w:t>Use only the highest repair category that applies to a unit. After determining that category, apply all Technology Base and unit-type modifiers, then round fractions up.</w:t>
      </w:r>
    </w:p>
    <w:p>
      <w:r>
        <w:rPr>
          <w:b/>
        </w:rPr>
        <w:t xml:space="preserve">Availability. </w:t>
      </w:r>
      <w:r>
        <w:t>Armor-only repairs, rearming, and reconfiguration are ready for the next Track. Structure, critical, crippled, and destroyed-unit repairs are unavailable until the next Region. Replacement units are also unavailable until the next Region.</w:t>
      </w:r>
    </w:p>
    <w:p>
      <w:r>
        <w:rPr>
          <w:b/>
        </w:rPr>
        <w:t xml:space="preserve">Reconfiguration. </w:t>
      </w:r>
      <w:r>
        <w:t>A unit must be fully repaired before reconfiguration.</w:t>
      </w:r>
    </w:p>
    <w:p>
      <w:r>
        <w:rPr>
          <w:b/>
        </w:rPr>
        <w:t xml:space="preserve">Alpha Strike Ammunition. </w:t>
      </w:r>
      <w:r>
        <w:t>Every participating Alpha Strike unit without ENE must be rearmed. Until then, reduce its weapon damage by 1 at every range, minimum 0, and it cannot use ammunition-dependent abilities, including ART, BOMB, FLK, HT, IF, LRM, MSL, SRM, TOR, AMS, C3RS, MDS, NARC, and RSD. An unrearmed ENE aerospace unit loses BOMB but is otherwise unaffected.</w:t>
      </w:r>
    </w:p>
    <w:p>
      <w:r>
        <w:rPr>
          <w:b/>
        </w:rPr>
        <w:t xml:space="preserve">Alternate Munitions. </w:t>
      </w:r>
      <w:r>
        <w:t>Pay 20 SP for each alternate munition type made available to an Alpha Strike unit; standard rearming provides none.</w:t>
      </w:r>
    </w:p>
    <w:p>
      <w:pPr>
        <w:pStyle w:val="Heading2"/>
      </w:pPr>
      <w:r>
        <w:t>Replacement and Recovery</w:t>
      </w:r>
    </w:p>
    <w:p>
      <w:r>
        <w:rPr>
          <w:b/>
        </w:rPr>
        <w:t xml:space="preserve">Replacement Slot. </w:t>
      </w:r>
      <w:r>
        <w:t>Only a destroyed unit creates a replacement slot. The replacement must be the same broad type: BattleMech, battle armor, combat vehicle, or conventional infantry. Weight class, model, and variant may change if the replacement is legal and affordable.</w:t>
      </w:r>
    </w:p>
    <w:p>
      <w:r>
        <w:rPr>
          <w:b/>
        </w:rPr>
        <w:t xml:space="preserve">Selection. </w:t>
      </w:r>
      <w:r>
        <w:t>Select a replacement from the relevant faction or Tukayyid Random Assignment Table. Its pilot uses the skill level purchased for that roster slot. A replacement begins with full standard ammunition.</w:t>
      </w:r>
    </w:p>
    <w:p>
      <w:r>
        <w:rPr>
          <w:b/>
        </w:rPr>
        <w:t xml:space="preserve">Recovery Roll. </w:t>
      </w:r>
      <w:r>
        <w:t>After a Track, the original owner rolls 2D6 for each eligible destroyed unit. On a result of 9+, the unit is recoverable. On a result of 8 or less, it is lost. Conventional infantry, crashed aerospace units, and units destroyed by the final damage from artillery or bombing cannot be recovered.</w:t>
      </w:r>
    </w:p>
    <w:p>
      <w:r>
        <w:rPr>
          <w:b/>
        </w:rPr>
        <w:t xml:space="preserve">Classic BattleTech Destruction. </w:t>
      </w:r>
      <w:r>
        <w:t>A BattleMech is truly destroyed when its center-torso structure is eliminated. A vehicle is truly destroyed by a fuel-tank explosion or loss of internal structure in a non-turret, non-rotor location. Battle armor uses a 7+ survival check. Truly destroyed units cannot be recovered or repaired.</w:t>
      </w:r>
    </w:p>
    <w:p>
      <w:r>
        <w:rPr>
          <w:b/>
        </w:rPr>
        <w:t xml:space="preserve">Alpha Strike Destruction. </w:t>
      </w:r>
      <w:r>
        <w:t>A unit destroyed by an Ammo Hit or Fuel Hit without CASE or CASEII, or in a crash, is truly destroyed. A ground unit destroyed by a Unit Destroyed or Crew Killed critical remains eligible for the Recovery Roll.</w:t>
      </w:r>
    </w:p>
    <w:p>
      <w:r>
        <w:rPr>
          <w:b/>
        </w:rPr>
        <w:t xml:space="preserve">Ownership. </w:t>
      </w:r>
      <w:r>
        <w:t>Enemy units are never captured. Every recoverable unit remains the property of its original owner.</w:t>
      </w:r>
    </w:p>
    <w:p>
      <w:pPr>
        <w:pStyle w:val="Heading2"/>
      </w:pPr>
      <w:r>
        <w:t>Personnel</w:t>
      </w:r>
    </w:p>
    <w:p>
      <w:r>
        <w:rPr>
          <w:b/>
        </w:rPr>
        <w:t xml:space="preserve">Classic BattleTech Personnel. </w:t>
      </w:r>
      <w:r>
        <w:t>A destroyed vehicle's crew is killed. Each Commander Hit or Crew Stunned result inflicts one wound. Each battle armor trooper survives destruction on 7+; Clan battle armor applies a −2 modifier.</w:t>
      </w:r>
    </w:p>
    <w:p>
      <w:r>
        <w:rPr>
          <w:b/>
        </w:rPr>
        <w:t xml:space="preserve">Alpha Strike Criticals. </w:t>
      </w:r>
      <w:r>
        <w:t>A Crew Killed or Unit Destroyed critical kills the pilot or crew. A Crew Stunned critical wounds the pilot or crew.</w:t>
      </w:r>
    </w:p>
    <w:p>
      <w:r>
        <w:rPr>
          <w:b/>
        </w:rPr>
        <w:t xml:space="preserve">Alpha Strike Destroyed Units. </w:t>
      </w:r>
      <w:r>
        <w:t>If a destroyed unit's personnel were not already killed, roll 2D6: on 6+ they are unharmed; on 4–5 they are wounded; on 2–3 they are killed. A wounded pilot or crew counts as three injuries for healing costs.</w:t>
      </w:r>
    </w:p>
    <w:p>
      <w:pPr>
        <w:keepNext/>
        <w:spacing w:before="200" w:after="160"/>
        <w:shd w:fill="213854"/>
      </w:pPr>
      <w:r>
        <w:rPr>
          <w:rFonts w:ascii="Aptos Display" w:hAnsi="Aptos Display"/>
          <w:b/>
          <w:color w:val="FFFFFF"/>
          <w:sz w:val="30"/>
        </w:rPr>
        <w:t>3  NAMED COMMANDERS</w:t>
      </w:r>
    </w:p>
    <w:tbl>
      <w:tblPr>
        <w:tblStyle w:val="TableGrid"/>
        <w:tblW w:type="dxa" w:w="10040"/>
        <w:jc w:val="left"/>
        <w:tblLayout w:type="fixed"/>
        <w:tblLook w:firstColumn="1" w:firstRow="1" w:lastColumn="0" w:lastRow="0" w:noHBand="0" w:noVBand="1" w:val="04A0"/>
        <w:tblInd w:type="dxa" w:w="120"/>
        <w:tblLayout w:type="fixed"/>
      </w:tblPr>
      <w:tblGrid>
        <w:gridCol w:w="3544"/>
        <w:gridCol w:w="3544"/>
        <w:gridCol w:w="2952"/>
      </w:tblGrid>
      <w:tr>
        <w:trPr>
          <w:tblHeader w:val="true"/>
        </w:trPr>
        <w:tc>
          <w:tcPr>
            <w:tcW w:type="dxa" w:w="3544"/>
            <w:shd w:fill="DCE3EE"/>
            <w:tcMar>
              <w:top w:w="80" w:type="dxa"/>
              <w:start w:w="120" w:type="dxa"/>
              <w:bottom w:w="80" w:type="dxa"/>
              <w:end w:w="120" w:type="dxa"/>
            </w:tcMar>
            <w:vAlign w:val="center"/>
          </w:tcPr>
          <w:p>
            <w:r>
              <w:rPr>
                <w:b/>
                <w:color w:val="213854"/>
              </w:rPr>
              <w:t>Campaign Size</w:t>
            </w:r>
          </w:p>
        </w:tc>
        <w:tc>
          <w:tcPr>
            <w:tcW w:type="dxa" w:w="3544"/>
            <w:shd w:fill="DCE3EE"/>
            <w:tcMar>
              <w:top w:w="80" w:type="dxa"/>
              <w:start w:w="120" w:type="dxa"/>
              <w:bottom w:w="80" w:type="dxa"/>
              <w:end w:w="120" w:type="dxa"/>
            </w:tcMar>
            <w:vAlign w:val="center"/>
          </w:tcPr>
          <w:p>
            <w:r>
              <w:rPr>
                <w:b/>
                <w:color w:val="213854"/>
              </w:rPr>
              <w:t>Starting Named Commanders</w:t>
            </w:r>
          </w:p>
        </w:tc>
        <w:tc>
          <w:tcPr>
            <w:tcW w:type="dxa" w:w="2952"/>
            <w:shd w:fill="DCE3EE"/>
            <w:tcMar>
              <w:top w:w="80" w:type="dxa"/>
              <w:start w:w="120" w:type="dxa"/>
              <w:bottom w:w="80" w:type="dxa"/>
              <w:end w:w="120" w:type="dxa"/>
            </w:tcMar>
            <w:vAlign w:val="center"/>
          </w:tcPr>
          <w:p>
            <w:r>
              <w:rPr>
                <w:b/>
                <w:color w:val="213854"/>
              </w:rPr>
              <w:t>Maximum</w:t>
            </w:r>
          </w:p>
        </w:tc>
      </w:tr>
      <w:tr>
        <w:trPr>
          <w:cantSplit/>
        </w:trPr>
        <w:tc>
          <w:tcPr>
            <w:tcW w:type="dxa" w:w="3544"/>
            <w:tcMar>
              <w:top w:w="80" w:type="dxa"/>
              <w:start w:w="120" w:type="dxa"/>
              <w:bottom w:w="80" w:type="dxa"/>
              <w:end w:w="120" w:type="dxa"/>
            </w:tcMar>
            <w:vAlign w:val="top"/>
          </w:tcPr>
          <w:p>
            <w:pPr>
              <w:spacing w:after="0"/>
            </w:pPr>
            <w:r>
              <w:t>Star</w:t>
            </w:r>
          </w:p>
        </w:tc>
        <w:tc>
          <w:tcPr>
            <w:tcW w:type="dxa" w:w="3544"/>
            <w:tcMar>
              <w:top w:w="80" w:type="dxa"/>
              <w:start w:w="120" w:type="dxa"/>
              <w:bottom w:w="80" w:type="dxa"/>
              <w:end w:w="120" w:type="dxa"/>
            </w:tcMar>
            <w:vAlign w:val="top"/>
          </w:tcPr>
          <w:p>
            <w:pPr>
              <w:spacing w:after="0"/>
            </w:pPr>
            <w:r>
              <w:t>2</w:t>
            </w:r>
          </w:p>
        </w:tc>
        <w:tc>
          <w:tcPr>
            <w:tcW w:type="dxa" w:w="2952"/>
            <w:tcMar>
              <w:top w:w="80" w:type="dxa"/>
              <w:start w:w="120" w:type="dxa"/>
              <w:bottom w:w="80" w:type="dxa"/>
              <w:end w:w="120" w:type="dxa"/>
            </w:tcMar>
            <w:vAlign w:val="top"/>
          </w:tcPr>
          <w:p>
            <w:pPr>
              <w:spacing w:after="0"/>
            </w:pPr>
            <w:r>
              <w:t>4</w:t>
            </w:r>
          </w:p>
        </w:tc>
      </w:tr>
      <w:tr>
        <w:trPr>
          <w:cantSplit/>
        </w:trPr>
        <w:tc>
          <w:tcPr>
            <w:tcW w:type="dxa" w:w="3544"/>
            <w:tcMar>
              <w:top w:w="80" w:type="dxa"/>
              <w:start w:w="120" w:type="dxa"/>
              <w:bottom w:w="80" w:type="dxa"/>
              <w:end w:w="120" w:type="dxa"/>
            </w:tcMar>
            <w:vAlign w:val="top"/>
          </w:tcPr>
          <w:p>
            <w:pPr>
              <w:spacing w:after="0"/>
            </w:pPr>
            <w:r>
              <w:t>Binary</w:t>
            </w:r>
          </w:p>
        </w:tc>
        <w:tc>
          <w:tcPr>
            <w:tcW w:type="dxa" w:w="3544"/>
            <w:tcMar>
              <w:top w:w="80" w:type="dxa"/>
              <w:start w:w="120" w:type="dxa"/>
              <w:bottom w:w="80" w:type="dxa"/>
              <w:end w:w="120" w:type="dxa"/>
            </w:tcMar>
            <w:vAlign w:val="top"/>
          </w:tcPr>
          <w:p>
            <w:pPr>
              <w:spacing w:after="0"/>
            </w:pPr>
            <w:r>
              <w:t>4</w:t>
            </w:r>
          </w:p>
        </w:tc>
        <w:tc>
          <w:tcPr>
            <w:tcW w:type="dxa" w:w="2952"/>
            <w:tcMar>
              <w:top w:w="80" w:type="dxa"/>
              <w:start w:w="120" w:type="dxa"/>
              <w:bottom w:w="80" w:type="dxa"/>
              <w:end w:w="120" w:type="dxa"/>
            </w:tcMar>
            <w:vAlign w:val="top"/>
          </w:tcPr>
          <w:p>
            <w:pPr>
              <w:spacing w:after="0"/>
            </w:pPr>
            <w:r>
              <w:t>8</w:t>
            </w:r>
          </w:p>
        </w:tc>
      </w:tr>
      <w:tr>
        <w:trPr>
          <w:cantSplit/>
        </w:trPr>
        <w:tc>
          <w:tcPr>
            <w:tcW w:type="dxa" w:w="3544"/>
            <w:tcMar>
              <w:top w:w="80" w:type="dxa"/>
              <w:start w:w="120" w:type="dxa"/>
              <w:bottom w:w="80" w:type="dxa"/>
              <w:end w:w="120" w:type="dxa"/>
            </w:tcMar>
            <w:vAlign w:val="top"/>
          </w:tcPr>
          <w:p>
            <w:pPr>
              <w:spacing w:after="0"/>
            </w:pPr>
            <w:r>
              <w:t>Trinary</w:t>
            </w:r>
          </w:p>
        </w:tc>
        <w:tc>
          <w:tcPr>
            <w:tcW w:type="dxa" w:w="3544"/>
            <w:tcMar>
              <w:top w:w="80" w:type="dxa"/>
              <w:start w:w="120" w:type="dxa"/>
              <w:bottom w:w="80" w:type="dxa"/>
              <w:end w:w="120" w:type="dxa"/>
            </w:tcMar>
            <w:vAlign w:val="top"/>
          </w:tcPr>
          <w:p>
            <w:pPr>
              <w:spacing w:after="0"/>
            </w:pPr>
            <w:r>
              <w:t>6</w:t>
            </w:r>
          </w:p>
        </w:tc>
        <w:tc>
          <w:tcPr>
            <w:tcW w:type="dxa" w:w="2952"/>
            <w:tcMar>
              <w:top w:w="80" w:type="dxa"/>
              <w:start w:w="120" w:type="dxa"/>
              <w:bottom w:w="80" w:type="dxa"/>
              <w:end w:w="120" w:type="dxa"/>
            </w:tcMar>
            <w:vAlign w:val="top"/>
          </w:tcPr>
          <w:p>
            <w:pPr>
              <w:spacing w:after="0"/>
            </w:pPr>
            <w:r>
              <w:t>12</w:t>
            </w:r>
          </w:p>
        </w:tc>
      </w:tr>
    </w:tbl>
    <w:p>
      <w:pPr>
        <w:spacing w:after="40"/>
      </w:pPr>
    </w:p>
    <w:p>
      <w:r>
        <w:rPr>
          <w:b/>
        </w:rPr>
        <w:t xml:space="preserve">Designation. </w:t>
      </w:r>
      <w:r>
        <w:t>Each Star or Level II may designate one named commander. Named status is permanent. Unnamed personnel may act as ordinary formation leaders but gain no named benefits.</w:t>
      </w:r>
    </w:p>
    <w:p>
      <w:r>
        <w:rPr>
          <w:b/>
        </w:rPr>
        <w:t xml:space="preserve">Initial Commander. </w:t>
      </w:r>
      <w:r>
        <w:t>An initial named commander uses the unit's purchased skill level, begins with Edge 1, and receives 150 advancement SP. The 150 SP may buy Gunnery, Piloting, Edge, or Edge Abilities, but not Special Command Abilities.</w:t>
      </w:r>
    </w:p>
    <w:p>
      <w:r>
        <w:rPr>
          <w:b/>
        </w:rPr>
        <w:t xml:space="preserve">Promotion. </w:t>
      </w:r>
      <w:r>
        <w:t>An eligible unnamed pilot may be formally promoted only between Tracks, after casualties are resolved and before the next Track force is selected. A promoted commander retains current skills, begins with Edge 1, receives no free advancement SP, and becomes permanently named.</w:t>
      </w:r>
    </w:p>
    <w:p>
      <w:r>
        <w:rPr>
          <w:b/>
        </w:rPr>
        <w:t xml:space="preserve">Unnamed Personnel. </w:t>
      </w:r>
      <w:r>
        <w:t>Unnamed pilots do not improve skills or Edge. They may record Commendations for promotion priority.</w:t>
      </w:r>
    </w:p>
    <w:p>
      <w:pPr>
        <w:pStyle w:val="Heading2"/>
      </w:pPr>
      <w:r>
        <w:t>Advancement</w:t>
      </w:r>
    </w:p>
    <w:p>
      <w:r>
        <w:rPr>
          <w:b/>
        </w:rPr>
        <w:t xml:space="preserve">Campaign Spending. </w:t>
      </w:r>
      <w:r>
        <w:t>After each Track, a force may divert up to 200 SP per Campaign Scale from its Support Allocation to participating named commanders, with a maximum of 100 SP assigned to any one commander.</w:t>
      </w:r>
    </w:p>
    <w:p>
      <w:r>
        <w:rPr>
          <w:b/>
        </w:rPr>
        <w:t xml:space="preserve">Commendation Bonus. </w:t>
      </w:r>
      <w:r>
        <w:t>A named commander who receives that Track's Commendation gains 20 additional advancement SP.</w:t>
      </w:r>
    </w:p>
    <w:tbl>
      <w:tblPr>
        <w:tblStyle w:val="TableGrid"/>
        <w:tblW w:type="dxa" w:w="10040"/>
        <w:jc w:val="left"/>
        <w:tblLayout w:type="fixed"/>
        <w:tblLook w:firstColumn="1" w:firstRow="1" w:lastColumn="0" w:lastRow="0" w:noHBand="0" w:noVBand="1" w:val="04A0"/>
        <w:tblInd w:type="dxa" w:w="120"/>
        <w:tblLayout w:type="fixed"/>
      </w:tblPr>
      <w:tblGrid>
        <w:gridCol w:w="2849"/>
        <w:gridCol w:w="3663"/>
        <w:gridCol w:w="3528"/>
      </w:tblGrid>
      <w:tr>
        <w:trPr>
          <w:tblHeader w:val="true"/>
        </w:trPr>
        <w:tc>
          <w:tcPr>
            <w:tcW w:type="dxa" w:w="2849"/>
            <w:shd w:fill="DCE3EE"/>
            <w:tcMar>
              <w:top w:w="80" w:type="dxa"/>
              <w:start w:w="120" w:type="dxa"/>
              <w:bottom w:w="80" w:type="dxa"/>
              <w:end w:w="120" w:type="dxa"/>
            </w:tcMar>
            <w:vAlign w:val="center"/>
          </w:tcPr>
          <w:p>
            <w:r>
              <w:rPr>
                <w:b/>
                <w:color w:val="213854"/>
              </w:rPr>
              <w:t>Improvement</w:t>
            </w:r>
          </w:p>
        </w:tc>
        <w:tc>
          <w:tcPr>
            <w:tcW w:type="dxa" w:w="3663"/>
            <w:shd w:fill="DCE3EE"/>
            <w:tcMar>
              <w:top w:w="80" w:type="dxa"/>
              <w:start w:w="120" w:type="dxa"/>
              <w:bottom w:w="80" w:type="dxa"/>
              <w:end w:w="120" w:type="dxa"/>
            </w:tcMar>
            <w:vAlign w:val="center"/>
          </w:tcPr>
          <w:p>
            <w:r>
              <w:rPr>
                <w:b/>
                <w:color w:val="213854"/>
              </w:rPr>
              <w:t>New Rating / Level</w:t>
            </w:r>
          </w:p>
        </w:tc>
        <w:tc>
          <w:tcPr>
            <w:tcW w:type="dxa" w:w="3528"/>
            <w:shd w:fill="DCE3EE"/>
            <w:tcMar>
              <w:top w:w="80" w:type="dxa"/>
              <w:start w:w="120" w:type="dxa"/>
              <w:bottom w:w="80" w:type="dxa"/>
              <w:end w:w="120" w:type="dxa"/>
            </w:tcMar>
            <w:vAlign w:val="center"/>
          </w:tcPr>
          <w:p>
            <w:r>
              <w:rPr>
                <w:b/>
                <w:color w:val="213854"/>
              </w:rPr>
              <w:t>Cumulative SP</w:t>
            </w:r>
          </w:p>
        </w:tc>
      </w:tr>
      <w:tr>
        <w:trPr>
          <w:cantSplit/>
        </w:trPr>
        <w:tc>
          <w:tcPr>
            <w:tcW w:type="dxa" w:w="2849"/>
            <w:tcMar>
              <w:top w:w="80" w:type="dxa"/>
              <w:start w:w="120" w:type="dxa"/>
              <w:bottom w:w="80" w:type="dxa"/>
              <w:end w:w="120" w:type="dxa"/>
            </w:tcMar>
            <w:vAlign w:val="top"/>
          </w:tcPr>
          <w:p>
            <w:pPr>
              <w:spacing w:after="0"/>
            </w:pPr>
            <w:r>
              <w:t>Gunnery</w:t>
            </w:r>
          </w:p>
        </w:tc>
        <w:tc>
          <w:tcPr>
            <w:tcW w:type="dxa" w:w="3663"/>
            <w:tcMar>
              <w:top w:w="80" w:type="dxa"/>
              <w:start w:w="120" w:type="dxa"/>
              <w:bottom w:w="80" w:type="dxa"/>
              <w:end w:w="120" w:type="dxa"/>
            </w:tcMar>
            <w:vAlign w:val="top"/>
          </w:tcPr>
          <w:p>
            <w:pPr>
              <w:spacing w:after="0"/>
            </w:pPr>
            <w:r>
              <w:t>3 / 2 / 1 / 0</w:t>
            </w:r>
          </w:p>
        </w:tc>
        <w:tc>
          <w:tcPr>
            <w:tcW w:type="dxa" w:w="3528"/>
            <w:tcMar>
              <w:top w:w="80" w:type="dxa"/>
              <w:start w:w="120" w:type="dxa"/>
              <w:bottom w:w="80" w:type="dxa"/>
              <w:end w:w="120" w:type="dxa"/>
            </w:tcMar>
            <w:vAlign w:val="top"/>
          </w:tcPr>
          <w:p>
            <w:pPr>
              <w:spacing w:after="0"/>
            </w:pPr>
            <w:r>
              <w:t>300 / 700 / 1,200 / 2,200</w:t>
            </w:r>
          </w:p>
        </w:tc>
      </w:tr>
      <w:tr>
        <w:trPr>
          <w:cantSplit/>
        </w:trPr>
        <w:tc>
          <w:tcPr>
            <w:tcW w:type="dxa" w:w="2849"/>
            <w:tcMar>
              <w:top w:w="80" w:type="dxa"/>
              <w:start w:w="120" w:type="dxa"/>
              <w:bottom w:w="80" w:type="dxa"/>
              <w:end w:w="120" w:type="dxa"/>
            </w:tcMar>
            <w:vAlign w:val="top"/>
          </w:tcPr>
          <w:p>
            <w:pPr>
              <w:spacing w:after="0"/>
            </w:pPr>
            <w:r>
              <w:t>Piloting</w:t>
            </w:r>
          </w:p>
        </w:tc>
        <w:tc>
          <w:tcPr>
            <w:tcW w:type="dxa" w:w="3663"/>
            <w:tcMar>
              <w:top w:w="80" w:type="dxa"/>
              <w:start w:w="120" w:type="dxa"/>
              <w:bottom w:w="80" w:type="dxa"/>
              <w:end w:w="120" w:type="dxa"/>
            </w:tcMar>
            <w:vAlign w:val="top"/>
          </w:tcPr>
          <w:p>
            <w:pPr>
              <w:spacing w:after="0"/>
            </w:pPr>
            <w:r>
              <w:t>4 / 3 / 2 / 1</w:t>
            </w:r>
          </w:p>
        </w:tc>
        <w:tc>
          <w:tcPr>
            <w:tcW w:type="dxa" w:w="3528"/>
            <w:tcMar>
              <w:top w:w="80" w:type="dxa"/>
              <w:start w:w="120" w:type="dxa"/>
              <w:bottom w:w="80" w:type="dxa"/>
              <w:end w:w="120" w:type="dxa"/>
            </w:tcMar>
            <w:vAlign w:val="top"/>
          </w:tcPr>
          <w:p>
            <w:pPr>
              <w:spacing w:after="0"/>
            </w:pPr>
            <w:r>
              <w:t>100 / 200 / 700 / 1,200</w:t>
            </w:r>
          </w:p>
        </w:tc>
      </w:tr>
      <w:tr>
        <w:trPr>
          <w:cantSplit/>
        </w:trPr>
        <w:tc>
          <w:tcPr>
            <w:tcW w:type="dxa" w:w="2849"/>
            <w:tcMar>
              <w:top w:w="80" w:type="dxa"/>
              <w:start w:w="120" w:type="dxa"/>
              <w:bottom w:w="80" w:type="dxa"/>
              <w:end w:w="120" w:type="dxa"/>
            </w:tcMar>
            <w:vAlign w:val="top"/>
          </w:tcPr>
          <w:p>
            <w:pPr>
              <w:spacing w:after="0"/>
            </w:pPr>
            <w:r>
              <w:t>Alpha Strike Skill</w:t>
            </w:r>
          </w:p>
        </w:tc>
        <w:tc>
          <w:tcPr>
            <w:tcW w:type="dxa" w:w="3663"/>
            <w:tcMar>
              <w:top w:w="80" w:type="dxa"/>
              <w:start w:w="120" w:type="dxa"/>
              <w:bottom w:w="80" w:type="dxa"/>
              <w:end w:w="120" w:type="dxa"/>
            </w:tcMar>
            <w:vAlign w:val="top"/>
          </w:tcPr>
          <w:p>
            <w:pPr>
              <w:spacing w:after="0"/>
            </w:pPr>
            <w:r>
              <w:t>3 / 2 / 1 / 0</w:t>
            </w:r>
          </w:p>
        </w:tc>
        <w:tc>
          <w:tcPr>
            <w:tcW w:type="dxa" w:w="3528"/>
            <w:tcMar>
              <w:top w:w="80" w:type="dxa"/>
              <w:start w:w="120" w:type="dxa"/>
              <w:bottom w:w="80" w:type="dxa"/>
              <w:end w:w="120" w:type="dxa"/>
            </w:tcMar>
            <w:vAlign w:val="top"/>
          </w:tcPr>
          <w:p>
            <w:pPr>
              <w:spacing w:after="0"/>
            </w:pPr>
            <w:r>
              <w:t>400 / 900 / 1,900 / 3,400</w:t>
            </w:r>
          </w:p>
        </w:tc>
      </w:tr>
      <w:tr>
        <w:trPr>
          <w:cantSplit/>
        </w:trPr>
        <w:tc>
          <w:tcPr>
            <w:tcW w:type="dxa" w:w="2849"/>
            <w:tcMar>
              <w:top w:w="80" w:type="dxa"/>
              <w:start w:w="120" w:type="dxa"/>
              <w:bottom w:w="80" w:type="dxa"/>
              <w:end w:w="120" w:type="dxa"/>
            </w:tcMar>
            <w:vAlign w:val="top"/>
          </w:tcPr>
          <w:p>
            <w:pPr>
              <w:spacing w:after="0"/>
            </w:pPr>
            <w:r>
              <w:t>Edge</w:t>
            </w:r>
          </w:p>
        </w:tc>
        <w:tc>
          <w:tcPr>
            <w:tcW w:type="dxa" w:w="3663"/>
            <w:tcMar>
              <w:top w:w="80" w:type="dxa"/>
              <w:start w:w="120" w:type="dxa"/>
              <w:bottom w:w="80" w:type="dxa"/>
              <w:end w:w="120" w:type="dxa"/>
            </w:tcMar>
            <w:vAlign w:val="top"/>
          </w:tcPr>
          <w:p>
            <w:pPr>
              <w:spacing w:after="0"/>
            </w:pPr>
            <w:r>
              <w:t>2 / 3 / 4 / 5 / 6</w:t>
            </w:r>
          </w:p>
        </w:tc>
        <w:tc>
          <w:tcPr>
            <w:tcW w:type="dxa" w:w="3528"/>
            <w:tcMar>
              <w:top w:w="80" w:type="dxa"/>
              <w:start w:w="120" w:type="dxa"/>
              <w:bottom w:w="80" w:type="dxa"/>
              <w:end w:w="120" w:type="dxa"/>
            </w:tcMar>
            <w:vAlign w:val="top"/>
          </w:tcPr>
          <w:p>
            <w:pPr>
              <w:spacing w:after="0"/>
            </w:pPr>
            <w:r>
              <w:t>60 / 120 / 200 / 300 / 420</w:t>
            </w:r>
          </w:p>
        </w:tc>
      </w:tr>
      <w:tr>
        <w:trPr>
          <w:cantSplit/>
        </w:trPr>
        <w:tc>
          <w:tcPr>
            <w:tcW w:type="dxa" w:w="2849"/>
            <w:tcMar>
              <w:top w:w="80" w:type="dxa"/>
              <w:start w:w="120" w:type="dxa"/>
              <w:bottom w:w="80" w:type="dxa"/>
              <w:end w:w="120" w:type="dxa"/>
            </w:tcMar>
            <w:vAlign w:val="top"/>
          </w:tcPr>
          <w:p>
            <w:pPr>
              <w:spacing w:after="0"/>
            </w:pPr>
            <w:r>
              <w:t>Edge</w:t>
            </w:r>
          </w:p>
        </w:tc>
        <w:tc>
          <w:tcPr>
            <w:tcW w:type="dxa" w:w="3663"/>
            <w:tcMar>
              <w:top w:w="80" w:type="dxa"/>
              <w:start w:w="120" w:type="dxa"/>
              <w:bottom w:w="80" w:type="dxa"/>
              <w:end w:w="120" w:type="dxa"/>
            </w:tcMar>
            <w:vAlign w:val="top"/>
          </w:tcPr>
          <w:p>
            <w:pPr>
              <w:spacing w:after="0"/>
            </w:pPr>
            <w:r>
              <w:t>7 / 8 / 9 / 10</w:t>
            </w:r>
          </w:p>
        </w:tc>
        <w:tc>
          <w:tcPr>
            <w:tcW w:type="dxa" w:w="3528"/>
            <w:tcMar>
              <w:top w:w="80" w:type="dxa"/>
              <w:start w:w="120" w:type="dxa"/>
              <w:bottom w:w="80" w:type="dxa"/>
              <w:end w:w="120" w:type="dxa"/>
            </w:tcMar>
            <w:vAlign w:val="top"/>
          </w:tcPr>
          <w:p>
            <w:pPr>
              <w:spacing w:after="0"/>
            </w:pPr>
            <w:r>
              <w:t>560 / 720 / 900 / 1,100</w:t>
            </w:r>
          </w:p>
        </w:tc>
      </w:tr>
      <w:tr>
        <w:trPr>
          <w:cantSplit/>
        </w:trPr>
        <w:tc>
          <w:tcPr>
            <w:tcW w:type="dxa" w:w="2849"/>
            <w:tcMar>
              <w:top w:w="80" w:type="dxa"/>
              <w:start w:w="120" w:type="dxa"/>
              <w:bottom w:w="80" w:type="dxa"/>
              <w:end w:w="120" w:type="dxa"/>
            </w:tcMar>
            <w:vAlign w:val="top"/>
          </w:tcPr>
          <w:p>
            <w:pPr>
              <w:spacing w:after="0"/>
            </w:pPr>
            <w:r>
              <w:t>Edge Abilities</w:t>
            </w:r>
          </w:p>
        </w:tc>
        <w:tc>
          <w:tcPr>
            <w:tcW w:type="dxa" w:w="3663"/>
            <w:tcMar>
              <w:top w:w="80" w:type="dxa"/>
              <w:start w:w="120" w:type="dxa"/>
              <w:bottom w:w="80" w:type="dxa"/>
              <w:end w:w="120" w:type="dxa"/>
            </w:tcMar>
            <w:vAlign w:val="top"/>
          </w:tcPr>
          <w:p>
            <w:pPr>
              <w:spacing w:after="0"/>
            </w:pPr>
            <w:r>
              <w:t>1 / 2 / 3 / 4 / 5</w:t>
            </w:r>
          </w:p>
        </w:tc>
        <w:tc>
          <w:tcPr>
            <w:tcW w:type="dxa" w:w="3528"/>
            <w:tcMar>
              <w:top w:w="80" w:type="dxa"/>
              <w:start w:w="120" w:type="dxa"/>
              <w:bottom w:w="80" w:type="dxa"/>
              <w:end w:w="120" w:type="dxa"/>
            </w:tcMar>
            <w:vAlign w:val="top"/>
          </w:tcPr>
          <w:p>
            <w:pPr>
              <w:spacing w:after="0"/>
            </w:pPr>
            <w:r>
              <w:t>60 / 180 / 360 / 600 / 900</w:t>
            </w:r>
          </w:p>
        </w:tc>
      </w:tr>
    </w:tbl>
    <w:p>
      <w:pPr>
        <w:spacing w:after="40"/>
      </w:pPr>
    </w:p>
    <w:p>
      <w:pPr>
        <w:keepLines/>
      </w:pPr>
      <w:r>
        <w:rPr>
          <w:b/>
        </w:rPr>
        <w:t xml:space="preserve">Edge. </w:t>
      </w:r>
      <w:r>
        <w:t>Each named commander's Edge refreshes at the start of a Track; unspent Edge does not carry over. After rolling, spend 1 Edge to add +1 to an attack roll, reroll Motive Systems Damage, or reroll a critical hit against that commander's unit. Accept the reroll; spend no more than 1 Edge per result. In Alpha Strike, increasing 11 to 12 does not cause a natural-12 critical. Edge and Edge Abilities cannot be transferred.</w:t>
      </w:r>
    </w:p>
    <w:p>
      <w:r>
        <w:rPr>
          <w:b/>
        </w:rPr>
        <w:t xml:space="preserve">Excluded Systems. </w:t>
      </w:r>
      <w:r>
        <w:t>Do not use the Draconis Reach handicap/BSP compensation system or unmatched Special Command Ability initiative rules.</w:t>
      </w:r>
    </w:p>
    <w:p>
      <w:pPr>
        <w:pStyle w:val="Heading2"/>
      </w:pPr>
      <w:r>
        <w:t>Formation and Command</w:t>
      </w:r>
    </w:p>
    <w:p>
      <w:r>
        <w:rPr>
          <w:b/>
        </w:rPr>
        <w:t xml:space="preserve">Formation Training. </w:t>
      </w:r>
      <w:r>
        <w:t>Formation training is organizational and free. Assign it through the parent Level III or IV, or the applicable Clan Binary, Trinary, or Cluster, based on formation type. It may change when assignments change between Tracks. It has no SP cost or delay.</w:t>
      </w:r>
    </w:p>
    <w:p>
      <w:r>
        <w:rPr>
          <w:b/>
        </w:rPr>
        <w:t xml:space="preserve">Special Command Abilities. </w:t>
      </w:r>
      <w:r>
        <w:t>Retain the existing Tukayyid Combatant Special Command Abilities. No commander may buy, learn, or replace an SCA during this campaign.</w:t>
      </w:r>
    </w:p>
    <w:p>
      <w:r>
        <w:rPr>
          <w:b/>
        </w:rPr>
        <w:t xml:space="preserve">Acting Leader. </w:t>
      </w:r>
      <w:r>
        <w:t>If a formation commander is killed, destroyed, or withdraws, appoint any surviving pilot or unit commander in that formation as Acting Leader. The Acting Leader does not inherit Edge, Edge Abilities, or training. A named Acting Leader retains only their own benefits.</w:t>
      </w:r>
    </w:p>
    <w:p>
      <w:pPr>
        <w:pStyle w:val="Heading2"/>
      </w:pPr>
      <w:r>
        <w:t>Commendations and Retirement</w:t>
      </w:r>
    </w:p>
    <w:p>
      <w:r>
        <w:rPr>
          <w:b/>
        </w:rPr>
        <w:t xml:space="preserve">Commendation. </w:t>
      </w:r>
      <w:r>
        <w:t>Each side awards one Commendation after every completed Track, regardless of result. The recipient must have participated and survived. A surviving pilot whose unit was destroyed or who ejected remains eligible. The player chooses the recipient.</w:t>
      </w:r>
    </w:p>
    <w:p>
      <w:r>
        <w:rPr>
          <w:b/>
        </w:rPr>
        <w:t xml:space="preserve">Promotion Priority. </w:t>
      </w:r>
      <w:r>
        <w:t>When a named slot is vacant, the eligible unnamed pilot with the most Commendations has priority. Break ties by player choice. If no eligible pilot has a Commendation, choose any eligible pilot. Commendations are permanent and are not spent.</w:t>
      </w:r>
    </w:p>
    <w:p>
      <w:r>
        <w:rPr>
          <w:b/>
        </w:rPr>
        <w:t xml:space="preserve">Retirement. </w:t>
      </w:r>
      <w:r>
        <w:t>Between Tracks, a player may permanently retire a pilot. Retirement is irreversible and all development is lost. Retiring a named commander grants a free new named commander with the retired unit slot's purchased skills and Edge 1, but no inherited Commendations, advancement, Edge Abilities, or starting 150 SP.</w:t>
      </w:r>
    </w:p>
    <w:p>
      <w:pPr>
        <w:keepNext/>
        <w:spacing w:before="200" w:after="160"/>
        <w:shd w:fill="213854"/>
      </w:pPr>
      <w:r>
        <w:rPr>
          <w:rFonts w:ascii="Aptos Display" w:hAnsi="Aptos Display"/>
          <w:b/>
          <w:color w:val="FFFFFF"/>
          <w:sz w:val="30"/>
        </w:rPr>
        <w:t>4  BATTLEFIELD SUPPORT</w:t>
      </w:r>
    </w:p>
    <w:tbl>
      <w:tblPr>
        <w:tblStyle w:val="TableGrid"/>
        <w:tblW w:type="dxa" w:w="10040"/>
        <w:jc w:val="left"/>
        <w:tblLayout w:type="fixed"/>
        <w:tblLook w:firstColumn="1" w:firstRow="1" w:lastColumn="0" w:lastRow="0" w:noHBand="0" w:noVBand="1" w:val="04A0"/>
        <w:tblInd w:type="dxa" w:w="120"/>
        <w:tblLayout w:type="fixed"/>
      </w:tblPr>
      <w:tblGrid>
        <w:gridCol w:w="3544"/>
        <w:gridCol w:w="3248"/>
        <w:gridCol w:w="3248"/>
      </w:tblGrid>
      <w:tr>
        <w:trPr>
          <w:tblHeader w:val="true"/>
        </w:trPr>
        <w:tc>
          <w:tcPr>
            <w:tcW w:type="dxa" w:w="3544"/>
            <w:shd w:fill="DCE3EE"/>
            <w:tcMar>
              <w:top w:w="80" w:type="dxa"/>
              <w:start w:w="120" w:type="dxa"/>
              <w:bottom w:w="80" w:type="dxa"/>
              <w:end w:w="120" w:type="dxa"/>
            </w:tcMar>
            <w:vAlign w:val="center"/>
          </w:tcPr>
          <w:p>
            <w:r>
              <w:rPr>
                <w:b/>
                <w:color w:val="213854"/>
              </w:rPr>
              <w:t>Campaign Size</w:t>
            </w:r>
          </w:p>
        </w:tc>
        <w:tc>
          <w:tcPr>
            <w:tcW w:type="dxa" w:w="3248"/>
            <w:shd w:fill="DCE3EE"/>
            <w:tcMar>
              <w:top w:w="80" w:type="dxa"/>
              <w:start w:w="120" w:type="dxa"/>
              <w:bottom w:w="80" w:type="dxa"/>
              <w:end w:w="120" w:type="dxa"/>
            </w:tcMar>
            <w:vAlign w:val="center"/>
          </w:tcPr>
          <w:p>
            <w:r>
              <w:rPr>
                <w:b/>
                <w:color w:val="213854"/>
              </w:rPr>
              <w:t>Original BSP</w:t>
            </w:r>
          </w:p>
        </w:tc>
        <w:tc>
          <w:tcPr>
            <w:tcW w:type="dxa" w:w="3248"/>
            <w:shd w:fill="DCE3EE"/>
            <w:tcMar>
              <w:top w:w="80" w:type="dxa"/>
              <w:start w:w="120" w:type="dxa"/>
              <w:bottom w:w="80" w:type="dxa"/>
              <w:end w:w="120" w:type="dxa"/>
            </w:tcMar>
            <w:vAlign w:val="center"/>
          </w:tcPr>
          <w:p>
            <w:r>
              <w:rPr>
                <w:b/>
                <w:color w:val="213854"/>
              </w:rPr>
              <w:t>Modern BSP</w:t>
            </w:r>
          </w:p>
        </w:tc>
      </w:tr>
      <w:tr>
        <w:trPr>
          <w:cantSplit/>
        </w:trPr>
        <w:tc>
          <w:tcPr>
            <w:tcW w:type="dxa" w:w="3544"/>
            <w:tcMar>
              <w:top w:w="80" w:type="dxa"/>
              <w:start w:w="120" w:type="dxa"/>
              <w:bottom w:w="80" w:type="dxa"/>
              <w:end w:w="120" w:type="dxa"/>
            </w:tcMar>
            <w:vAlign w:val="top"/>
          </w:tcPr>
          <w:p>
            <w:pPr>
              <w:spacing w:after="0"/>
            </w:pPr>
            <w:r>
              <w:t>Star</w:t>
            </w:r>
          </w:p>
        </w:tc>
        <w:tc>
          <w:tcPr>
            <w:tcW w:type="dxa" w:w="3248"/>
            <w:tcMar>
              <w:top w:w="80" w:type="dxa"/>
              <w:start w:w="120" w:type="dxa"/>
              <w:bottom w:w="80" w:type="dxa"/>
              <w:end w:w="120" w:type="dxa"/>
            </w:tcMar>
            <w:vAlign w:val="top"/>
          </w:tcPr>
          <w:p>
            <w:pPr>
              <w:spacing w:after="0"/>
            </w:pPr>
            <w:r>
              <w:t>12</w:t>
            </w:r>
          </w:p>
        </w:tc>
        <w:tc>
          <w:tcPr>
            <w:tcW w:type="dxa" w:w="3248"/>
            <w:tcMar>
              <w:top w:w="80" w:type="dxa"/>
              <w:start w:w="120" w:type="dxa"/>
              <w:bottom w:w="80" w:type="dxa"/>
              <w:end w:w="120" w:type="dxa"/>
            </w:tcMar>
            <w:vAlign w:val="top"/>
          </w:tcPr>
          <w:p>
            <w:pPr>
              <w:spacing w:after="0"/>
            </w:pPr>
            <w:r>
              <w:t>32</w:t>
            </w:r>
          </w:p>
        </w:tc>
      </w:tr>
      <w:tr>
        <w:trPr>
          <w:cantSplit/>
        </w:trPr>
        <w:tc>
          <w:tcPr>
            <w:tcW w:type="dxa" w:w="3544"/>
            <w:tcMar>
              <w:top w:w="80" w:type="dxa"/>
              <w:start w:w="120" w:type="dxa"/>
              <w:bottom w:w="80" w:type="dxa"/>
              <w:end w:w="120" w:type="dxa"/>
            </w:tcMar>
            <w:vAlign w:val="top"/>
          </w:tcPr>
          <w:p>
            <w:pPr>
              <w:spacing w:after="0"/>
            </w:pPr>
            <w:r>
              <w:t>Binary</w:t>
            </w:r>
          </w:p>
        </w:tc>
        <w:tc>
          <w:tcPr>
            <w:tcW w:type="dxa" w:w="3248"/>
            <w:tcMar>
              <w:top w:w="80" w:type="dxa"/>
              <w:start w:w="120" w:type="dxa"/>
              <w:bottom w:w="80" w:type="dxa"/>
              <w:end w:w="120" w:type="dxa"/>
            </w:tcMar>
            <w:vAlign w:val="top"/>
          </w:tcPr>
          <w:p>
            <w:pPr>
              <w:spacing w:after="0"/>
            </w:pPr>
            <w:r>
              <w:t>24</w:t>
            </w:r>
          </w:p>
        </w:tc>
        <w:tc>
          <w:tcPr>
            <w:tcW w:type="dxa" w:w="3248"/>
            <w:tcMar>
              <w:top w:w="80" w:type="dxa"/>
              <w:start w:w="120" w:type="dxa"/>
              <w:bottom w:w="80" w:type="dxa"/>
              <w:end w:w="120" w:type="dxa"/>
            </w:tcMar>
            <w:vAlign w:val="top"/>
          </w:tcPr>
          <w:p>
            <w:pPr>
              <w:spacing w:after="0"/>
            </w:pPr>
            <w:r>
              <w:t>64</w:t>
            </w:r>
          </w:p>
        </w:tc>
      </w:tr>
      <w:tr>
        <w:trPr>
          <w:cantSplit/>
        </w:trPr>
        <w:tc>
          <w:tcPr>
            <w:tcW w:type="dxa" w:w="3544"/>
            <w:tcMar>
              <w:top w:w="80" w:type="dxa"/>
              <w:start w:w="120" w:type="dxa"/>
              <w:bottom w:w="80" w:type="dxa"/>
              <w:end w:w="120" w:type="dxa"/>
            </w:tcMar>
            <w:vAlign w:val="top"/>
          </w:tcPr>
          <w:p>
            <w:pPr>
              <w:spacing w:after="0"/>
            </w:pPr>
            <w:r>
              <w:t>Trinary</w:t>
            </w:r>
          </w:p>
        </w:tc>
        <w:tc>
          <w:tcPr>
            <w:tcW w:type="dxa" w:w="3248"/>
            <w:tcMar>
              <w:top w:w="80" w:type="dxa"/>
              <w:start w:w="120" w:type="dxa"/>
              <w:bottom w:w="80" w:type="dxa"/>
              <w:end w:w="120" w:type="dxa"/>
            </w:tcMar>
            <w:vAlign w:val="top"/>
          </w:tcPr>
          <w:p>
            <w:pPr>
              <w:spacing w:after="0"/>
            </w:pPr>
            <w:r>
              <w:t>36</w:t>
            </w:r>
          </w:p>
        </w:tc>
        <w:tc>
          <w:tcPr>
            <w:tcW w:type="dxa" w:w="3248"/>
            <w:tcMar>
              <w:top w:w="80" w:type="dxa"/>
              <w:start w:w="120" w:type="dxa"/>
              <w:bottom w:w="80" w:type="dxa"/>
              <w:end w:w="120" w:type="dxa"/>
            </w:tcMar>
            <w:vAlign w:val="top"/>
          </w:tcPr>
          <w:p>
            <w:pPr>
              <w:spacing w:after="0"/>
            </w:pPr>
            <w:r>
              <w:t>96</w:t>
            </w:r>
          </w:p>
        </w:tc>
      </w:tr>
    </w:tbl>
    <w:p>
      <w:pPr>
        <w:spacing w:after="40"/>
      </w:pPr>
    </w:p>
    <w:p>
      <w:r>
        <w:rPr>
          <w:b/>
        </w:rPr>
        <w:t xml:space="preserve">Workbook Mode. </w:t>
      </w:r>
      <w:r>
        <w:t>Use either the Original or Modern BSP schedule for the entire campaign. ComStar receives the selected amount; Clan forces receive 0 BSP unless a Track explicitly grants support.</w:t>
      </w:r>
    </w:p>
    <w:p>
      <w:r>
        <w:rPr>
          <w:b/>
        </w:rPr>
        <w:t xml:space="preserve">Persistence. </w:t>
      </w:r>
      <w:r>
        <w:t>Battlefield Support Assets are not persistent campaign units. They do not earn Commendations or advancement, and they do not use campaign repair, salvage, or replacement rules. Purchase them separately for each Track; destruction has no campaign effect unless that Track says otherwise.</w:t>
      </w:r>
    </w:p>
    <w:p>
      <w:r>
        <w:rPr>
          <w:b/>
        </w:rPr>
        <w:t xml:space="preserve">Emplacements. </w:t>
      </w:r>
      <w:r>
        <w:t>Emplacements are not general-purchase Assets. Use them only when a Track or Option expressly grants them.</w:t>
      </w:r>
    </w:p>
    <w:p>
      <w:pPr>
        <w:sectPr>
          <w:headerReference w:type="default" r:id="rId9"/>
          <w:footerReference w:type="default" r:id="rId10"/>
          <w:pgSz w:w="12240" w:h="15840"/>
          <w:pgMar w:top="1123" w:right="979" w:bottom="936" w:left="979" w:header="864" w:footer="708" w:gutter="0"/>
          <w:cols w:space="720"/>
          <w:docGrid w:linePitch="360"/>
        </w:sectPr>
      </w:pPr>
    </w:p>
    <w:p>
      <w:pPr>
        <w:keepNext/>
        <w:spacing w:before="200" w:after="160"/>
        <w:shd w:fill="213854"/>
      </w:pPr>
      <w:r>
        <w:rPr>
          <w:rFonts w:ascii="Aptos Display" w:hAnsi="Aptos Display"/>
          <w:b/>
          <w:color w:val="FFFFFF"/>
          <w:sz w:val="30"/>
        </w:rPr>
        <w:t>5  TRACK RULES</w:t>
      </w:r>
    </w:p>
    <w:p>
      <w:pPr>
        <w:spacing w:after="50" w:line="245" w:lineRule="auto"/>
      </w:pPr>
      <w:r>
        <w:rPr>
          <w:b/>
          <w:sz w:val="17"/>
        </w:rPr>
        <w:t xml:space="preserve">Track End. </w:t>
      </w:r>
      <w:r>
        <w:rPr>
          <w:sz w:val="17"/>
        </w:rPr>
        <w:t>Unless a Track states otherwise, check every Track End condition during the End Phase. An objective ends a Track only when its rules specifically say so.</w:t>
      </w:r>
    </w:p>
    <w:p>
      <w:pPr>
        <w:spacing w:after="50" w:line="245" w:lineRule="auto"/>
      </w:pPr>
      <w:r>
        <w:rPr>
          <w:b/>
          <w:sz w:val="17"/>
        </w:rPr>
        <w:t xml:space="preserve">Published Values. </w:t>
      </w:r>
      <w:r>
        <w:rPr>
          <w:sz w:val="17"/>
        </w:rPr>
        <w:t>Retain every published objective value that this document does not expressly replace. Ignore all Orders objectives.</w:t>
      </w:r>
    </w:p>
    <w:p>
      <w:pPr>
        <w:spacing w:after="50" w:line="245" w:lineRule="auto"/>
      </w:pPr>
      <w:r>
        <w:rPr>
          <w:b/>
          <w:sz w:val="17"/>
        </w:rPr>
        <w:t xml:space="preserve">Recovery. </w:t>
      </w:r>
      <w:r>
        <w:rPr>
          <w:sz w:val="17"/>
        </w:rPr>
        <w:t>Apply the campaign-wide original-owner recovery rules even when the Draconis Reach version of a Track prohibits salvage.</w:t>
      </w:r>
    </w:p>
    <w:p>
      <w:pPr>
        <w:pStyle w:val="Heading2"/>
      </w:pPr>
      <w:r>
        <w:t>Assault</w:t>
      </w:r>
    </w:p>
    <w:p>
      <w:pPr>
        <w:spacing w:after="50" w:line="245" w:lineRule="auto"/>
      </w:pPr>
      <w:r>
        <w:rPr>
          <w:b/>
          <w:sz w:val="17"/>
        </w:rPr>
        <w:t xml:space="preserve">Conquer. </w:t>
      </w:r>
      <w:r>
        <w:rPr>
          <w:sz w:val="17"/>
        </w:rPr>
        <w:t>Completing Conquer does not end the Track. If both sides complete it in the same End Phase, neither side scores it.</w:t>
      </w:r>
    </w:p>
    <w:p>
      <w:pPr>
        <w:spacing w:after="50" w:line="245" w:lineRule="auto"/>
      </w:pPr>
      <w:r>
        <w:rPr>
          <w:b/>
          <w:sz w:val="17"/>
        </w:rPr>
        <w:t xml:space="preserve">Track End. </w:t>
      </w:r>
      <w:r>
        <w:rPr>
          <w:sz w:val="17"/>
        </w:rPr>
        <w:t>During the End Phase, the Track ends if either side has no non-crippled units in play or the turn limit has been reached: Turn 10, or Turn 8 in the shortened format.</w:t>
      </w:r>
    </w:p>
    <w:p>
      <w:pPr>
        <w:pStyle w:val="Heading2"/>
      </w:pPr>
      <w:r>
        <w:t>Breakthrough</w:t>
      </w:r>
    </w:p>
    <w:p>
      <w:pPr>
        <w:spacing w:after="50" w:line="245" w:lineRule="auto"/>
      </w:pPr>
      <w:r>
        <w:rPr>
          <w:b/>
          <w:sz w:val="17"/>
        </w:rPr>
        <w:t xml:space="preserve">Objective Sequence. </w:t>
      </w:r>
      <w:r>
        <w:rPr>
          <w:sz w:val="17"/>
        </w:rPr>
        <w:t>Completing either preliminary objective does not end the Track.</w:t>
      </w:r>
    </w:p>
    <w:p>
      <w:pPr>
        <w:spacing w:after="50" w:line="245" w:lineRule="auto"/>
      </w:pPr>
      <w:r>
        <w:rPr>
          <w:b/>
          <w:sz w:val="17"/>
        </w:rPr>
        <w:t xml:space="preserve">Track End. </w:t>
      </w:r>
      <w:r>
        <w:rPr>
          <w:sz w:val="17"/>
        </w:rPr>
        <w:t>During the End Phase, the Track ends if one side completes Hold the Field, either side has no units in play, or the turn limit has been reached: Turn 10, or Turn 8 in the shortened format.</w:t>
      </w:r>
    </w:p>
    <w:p>
      <w:pPr>
        <w:pStyle w:val="Heading2"/>
      </w:pPr>
      <w:r>
        <w:t>Meeting Engagement</w:t>
      </w:r>
    </w:p>
    <w:p>
      <w:pPr>
        <w:spacing w:after="50" w:line="245" w:lineRule="auto"/>
      </w:pPr>
      <w:r>
        <w:rPr>
          <w:b/>
          <w:sz w:val="17"/>
        </w:rPr>
        <w:t xml:space="preserve">Make Their Acquaintance. </w:t>
      </w:r>
      <w:r>
        <w:rPr>
          <w:sz w:val="17"/>
        </w:rPr>
        <w:t>The first side to cripple or destroy one-third of the opposing force's BV scores this objective. If both sides reach the threshold in the same End Phase, neither scores it. Voluntary withdrawals count toward the threshold.</w:t>
      </w:r>
    </w:p>
    <w:p>
      <w:pPr>
        <w:spacing w:after="50" w:line="245" w:lineRule="auto"/>
      </w:pPr>
      <w:r>
        <w:rPr>
          <w:b/>
          <w:sz w:val="17"/>
        </w:rPr>
        <w:t xml:space="preserve">Force Points Option. </w:t>
      </w:r>
      <w:r>
        <w:rPr>
          <w:sz w:val="17"/>
        </w:rPr>
        <w:t>If Force Points are used instead of BV, use a 50% threshold.</w:t>
      </w:r>
    </w:p>
    <w:p>
      <w:pPr>
        <w:pStyle w:val="Heading2"/>
      </w:pPr>
      <w:r>
        <w:t>Flank</w:t>
      </w:r>
    </w:p>
    <w:p>
      <w:pPr>
        <w:spacing w:after="50" w:line="245" w:lineRule="auto"/>
      </w:pPr>
      <w:r>
        <w:rPr>
          <w:b/>
          <w:sz w:val="17"/>
        </w:rPr>
        <w:t xml:space="preserve">Defender Emplacements. </w:t>
      </w:r>
      <w:r>
        <w:rPr>
          <w:sz w:val="17"/>
        </w:rPr>
        <w:t>The Defender receives two Veteran Medium Emplacements per Campaign Scale. Each emplacement may instead be replaced by up to 20 BSP of emplacement Assets. Place them in the Attacker's half of the battlefield.</w:t>
      </w:r>
    </w:p>
    <w:p>
      <w:pPr>
        <w:spacing w:after="50" w:line="245" w:lineRule="auto"/>
      </w:pPr>
      <w:r>
        <w:rPr>
          <w:b/>
          <w:sz w:val="17"/>
        </w:rPr>
        <w:t xml:space="preserve">Attacker Entry. </w:t>
      </w:r>
      <w:r>
        <w:rPr>
          <w:sz w:val="17"/>
        </w:rPr>
        <w:t>One-third of the Attacker's force enters from its home edge on Turn 1. The remainder enters from a short edge on Turn 2.</w:t>
      </w:r>
    </w:p>
    <w:p>
      <w:pPr>
        <w:spacing w:after="50" w:line="245" w:lineRule="auto"/>
      </w:pPr>
      <w:r>
        <w:rPr>
          <w:b/>
          <w:sz w:val="17"/>
        </w:rPr>
        <w:t xml:space="preserve">Thresholds. </w:t>
      </w:r>
      <w:r>
        <w:rPr>
          <w:sz w:val="17"/>
        </w:rPr>
        <w:t>Crush and Turn the Tide each use a 50% threshold.</w:t>
      </w:r>
    </w:p>
    <w:p>
      <w:pPr>
        <w:spacing w:after="50" w:line="245" w:lineRule="auto"/>
      </w:pPr>
      <w:r>
        <w:rPr>
          <w:b/>
          <w:sz w:val="17"/>
        </w:rPr>
        <w:t xml:space="preserve">Cut Off Retreat. </w:t>
      </w:r>
      <w:r>
        <w:rPr>
          <w:sz w:val="17"/>
        </w:rPr>
        <w:t>Maintain either one non-crippled BattleMech or two Battlefield Support Assets per Campaign Scale near the Defender's home edge for two consecutive End Phases.</w:t>
      </w:r>
    </w:p>
    <w:p>
      <w:pPr>
        <w:spacing w:after="50" w:line="245" w:lineRule="auto"/>
      </w:pPr>
      <w:r>
        <w:rPr>
          <w:b/>
          <w:sz w:val="17"/>
        </w:rPr>
        <w:t xml:space="preserve">Fall Back. </w:t>
      </w:r>
      <w:r>
        <w:rPr>
          <w:sz w:val="17"/>
        </w:rPr>
        <w:t>After Turn the Tide is completed, withdraw at least 50% of the eligible force.</w:t>
      </w:r>
    </w:p>
    <w:p>
      <w:pPr>
        <w:spacing w:after="50" w:line="245" w:lineRule="auto"/>
      </w:pPr>
      <w:r>
        <w:rPr>
          <w:b/>
          <w:sz w:val="17"/>
        </w:rPr>
        <w:t xml:space="preserve">Ramming Speed. </w:t>
      </w:r>
      <w:r>
        <w:rPr>
          <w:sz w:val="17"/>
        </w:rPr>
        <w:t>Add the Ramming Speed objective using its Draconis Reach procedure. It is worth 150 Objective Points.</w:t>
      </w:r>
    </w:p>
    <w:p>
      <w:pPr>
        <w:spacing w:after="50" w:line="245" w:lineRule="auto"/>
      </w:pPr>
      <w:r>
        <w:rPr>
          <w:b/>
          <w:sz w:val="17"/>
        </w:rPr>
        <w:t xml:space="preserve">Track End. </w:t>
      </w:r>
      <w:r>
        <w:rPr>
          <w:sz w:val="17"/>
        </w:rPr>
        <w:t>End when either side has no units in play or at Turn 8 (Turn 6 for the shortened format).</w:t>
      </w:r>
    </w:p>
    <w:p>
      <w:pPr>
        <w:pStyle w:val="Heading2"/>
      </w:pPr>
      <w:r>
        <w:t>Pushback</w:t>
      </w:r>
    </w:p>
    <w:p>
      <w:pPr>
        <w:spacing w:after="50" w:line="245" w:lineRule="auto"/>
      </w:pPr>
      <w:r>
        <w:rPr>
          <w:b/>
          <w:sz w:val="17"/>
        </w:rPr>
        <w:t xml:space="preserve">Vehicle Detachment. </w:t>
      </w:r>
      <w:r>
        <w:rPr>
          <w:sz w:val="17"/>
        </w:rPr>
        <w:t>The Attacker receives a separate vehicle-only detachment: 12/24/36 BSP in Original mode or 32/64/96 BSP in Modern mode. This detachment is in addition to normal Battlefield Support.</w:t>
      </w:r>
    </w:p>
    <w:p>
      <w:pPr>
        <w:spacing w:after="50" w:line="245" w:lineRule="auto"/>
      </w:pPr>
      <w:r>
        <w:rPr>
          <w:b/>
          <w:sz w:val="17"/>
        </w:rPr>
        <w:t xml:space="preserve">Entry. </w:t>
      </w:r>
      <w:r>
        <w:rPr>
          <w:sz w:val="17"/>
        </w:rPr>
        <w:t>The primary force enters from its home edge on Turn 1. The vehicle detachment enters from the side edges on Turn 1, halfway toward the Defender's edge.</w:t>
      </w:r>
    </w:p>
    <w:p>
      <w:pPr>
        <w:spacing w:after="50" w:line="245" w:lineRule="auto"/>
      </w:pPr>
      <w:r>
        <w:rPr>
          <w:b/>
          <w:sz w:val="17"/>
        </w:rPr>
        <w:t xml:space="preserve">Objectives. </w:t>
      </w:r>
      <w:r>
        <w:rPr>
          <w:sz w:val="17"/>
        </w:rPr>
        <w:t>Use Push; Crush at one-third; Gutted at 75%; Advance to the Rear instead of Hold Ground; Make Them Hurt at 50%; and the updated Lead objective. Remove Cut Off the Head and ignore Orders.</w:t>
      </w:r>
    </w:p>
    <w:p>
      <w:pPr>
        <w:spacing w:after="50" w:line="245" w:lineRule="auto"/>
      </w:pPr>
      <w:r>
        <w:rPr>
          <w:b/>
          <w:sz w:val="17"/>
        </w:rPr>
        <w:t xml:space="preserve">Track End. </w:t>
      </w:r>
      <w:r>
        <w:rPr>
          <w:sz w:val="17"/>
        </w:rPr>
        <w:t>End when either side has no units in play or at Turn 10 (Turn 8 shortened). After Turn 6, completing Advance to the Rear also ends the Track after the End Phase.</w:t>
      </w:r>
    </w:p>
    <w:p>
      <w:pPr>
        <w:pStyle w:val="Heading2"/>
      </w:pPr>
      <w:r>
        <w:t>Pursuit</w:t>
      </w:r>
    </w:p>
    <w:p>
      <w:pPr>
        <w:spacing w:after="50" w:line="245" w:lineRule="auto"/>
      </w:pPr>
      <w:r>
        <w:rPr>
          <w:b/>
          <w:sz w:val="17"/>
        </w:rPr>
        <w:t xml:space="preserve">Roles. </w:t>
      </w:r>
      <w:r>
        <w:rPr>
          <w:sz w:val="17"/>
        </w:rPr>
        <w:t>Determine momentum by the campaign roll. The Defender flees and the Attacker pursues; the role assignment is not fixed by faction.</w:t>
      </w:r>
    </w:p>
    <w:p>
      <w:pPr>
        <w:spacing w:after="50" w:line="245" w:lineRule="auto"/>
      </w:pPr>
      <w:r>
        <w:rPr>
          <w:b/>
          <w:sz w:val="17"/>
        </w:rPr>
        <w:t xml:space="preserve">Entry. </w:t>
      </w:r>
      <w:r>
        <w:rPr>
          <w:sz w:val="17"/>
        </w:rPr>
        <w:t>The Defender enters from its home edge on Turn 1. The Attacker enters from the same edge on Turn 2.</w:t>
      </w:r>
    </w:p>
    <w:p>
      <w:pPr>
        <w:spacing w:after="50" w:line="245" w:lineRule="auto"/>
      </w:pPr>
      <w:r>
        <w:rPr>
          <w:b/>
          <w:sz w:val="17"/>
        </w:rPr>
        <w:t xml:space="preserve">Force Construction. </w:t>
      </w:r>
      <w:r>
        <w:rPr>
          <w:sz w:val="17"/>
        </w:rPr>
        <w:t>Use the Tukayyid equal-force construction and campaign recovery rules.</w:t>
      </w:r>
    </w:p>
    <w:p>
      <w:pPr>
        <w:spacing w:after="50" w:line="245" w:lineRule="auto"/>
      </w:pPr>
      <w:r>
        <w:rPr>
          <w:b/>
          <w:sz w:val="17"/>
        </w:rPr>
        <w:t xml:space="preserve">Fleeing Force. </w:t>
      </w:r>
      <w:r>
        <w:rPr>
          <w:sz w:val="17"/>
        </w:rPr>
        <w:t>At least half of the Defender's force must have a maximum movement of 8 or less (16 inches or less in Alpha Strike). Temporary damage does not make a unit qualify.</w:t>
      </w:r>
    </w:p>
    <w:p>
      <w:pPr>
        <w:spacing w:after="50" w:line="245" w:lineRule="auto"/>
      </w:pPr>
      <w:r>
        <w:rPr>
          <w:b/>
          <w:sz w:val="17"/>
        </w:rPr>
        <w:t xml:space="preserve">Objectives. </w:t>
      </w:r>
      <w:r>
        <w:rPr>
          <w:sz w:val="17"/>
        </w:rPr>
        <w:t>Qualifying units count for Escape and Never Here.</w:t>
      </w:r>
    </w:p>
    <w:p>
      <w:pPr>
        <w:spacing w:after="50" w:line="245" w:lineRule="auto"/>
      </w:pPr>
      <w:r>
        <w:rPr>
          <w:b/>
          <w:sz w:val="17"/>
        </w:rPr>
        <w:t xml:space="preserve">Track End. </w:t>
      </w:r>
      <w:r>
        <w:rPr>
          <w:sz w:val="17"/>
        </w:rPr>
        <w:t>End when either side has no non-crippled units in play or at Turn 10.</w:t>
      </w:r>
    </w:p>
    <w:p>
      <w:pPr>
        <w:pStyle w:val="Heading2"/>
      </w:pPr>
      <w:r>
        <w:t>Recon</w:t>
      </w:r>
    </w:p>
    <w:p>
      <w:pPr>
        <w:spacing w:after="50" w:line="245" w:lineRule="auto"/>
      </w:pPr>
      <w:r>
        <w:rPr>
          <w:b/>
          <w:sz w:val="17"/>
        </w:rPr>
        <w:t xml:space="preserve">Defender Deployment. </w:t>
      </w:r>
      <w:r>
        <w:rPr>
          <w:sz w:val="17"/>
        </w:rPr>
        <w:t>Use the restricted Defender deployment from Draconis Reach.</w:t>
      </w:r>
    </w:p>
    <w:p>
      <w:pPr>
        <w:spacing w:after="50" w:line="245" w:lineRule="auto"/>
      </w:pPr>
      <w:r>
        <w:rPr>
          <w:b/>
          <w:sz w:val="17"/>
        </w:rPr>
        <w:t xml:space="preserve">Scan. </w:t>
      </w:r>
      <w:r>
        <w:rPr>
          <w:sz w:val="17"/>
        </w:rPr>
        <w:t>The Attacker must scan two-thirds of the required targets. Preemptive Strike uses a 25% threshold.</w:t>
      </w:r>
    </w:p>
    <w:p>
      <w:pPr>
        <w:spacing w:after="50" w:line="245" w:lineRule="auto"/>
      </w:pPr>
      <w:r>
        <w:rPr>
          <w:b/>
          <w:sz w:val="17"/>
        </w:rPr>
        <w:t xml:space="preserve">Observe and Report. </w:t>
      </w:r>
      <w:r>
        <w:rPr>
          <w:sz w:val="17"/>
        </w:rPr>
        <w:t>Use Observe and Report in place of Escape. Withdrawal may begin after Turn 4.</w:t>
      </w:r>
    </w:p>
    <w:p>
      <w:pPr>
        <w:spacing w:after="50" w:line="245" w:lineRule="auto"/>
      </w:pPr>
      <w:r>
        <w:rPr>
          <w:b/>
          <w:sz w:val="17"/>
        </w:rPr>
        <w:t xml:space="preserve">Deny. </w:t>
      </w:r>
      <w:r>
        <w:rPr>
          <w:sz w:val="17"/>
        </w:rPr>
        <w:t>Score Deny proportionally. Defender units that withdraw early count as scanned or destroyed, as applicable.</w:t>
      </w:r>
    </w:p>
    <w:p>
      <w:pPr>
        <w:spacing w:after="50" w:line="245" w:lineRule="auto"/>
      </w:pPr>
      <w:r>
        <w:rPr>
          <w:b/>
          <w:sz w:val="17"/>
        </w:rPr>
        <w:t xml:space="preserve">Track End. </w:t>
      </w:r>
      <w:r>
        <w:rPr>
          <w:sz w:val="17"/>
        </w:rPr>
        <w:t>End when either side has no units in play or at Turn 8.</w:t>
      </w:r>
    </w:p>
    <w:p>
      <w:pPr>
        <w:pStyle w:val="Heading2"/>
      </w:pPr>
      <w:r>
        <w:t>Retreat</w:t>
      </w:r>
    </w:p>
    <w:p>
      <w:pPr>
        <w:spacing w:after="50" w:line="245" w:lineRule="auto"/>
      </w:pPr>
      <w:r>
        <w:rPr>
          <w:b/>
          <w:sz w:val="17"/>
        </w:rPr>
        <w:t xml:space="preserve">Entry. </w:t>
      </w:r>
      <w:r>
        <w:rPr>
          <w:sz w:val="17"/>
        </w:rPr>
        <w:t>The Defender retreats from the Attacker's home edge toward its own. The Attacker enters from that same edge on Turn 2.</w:t>
      </w:r>
    </w:p>
    <w:p>
      <w:pPr>
        <w:spacing w:after="50" w:line="245" w:lineRule="auto"/>
      </w:pPr>
      <w:r>
        <w:rPr>
          <w:b/>
          <w:sz w:val="17"/>
        </w:rPr>
        <w:t xml:space="preserve">Scan. </w:t>
      </w:r>
      <w:r>
        <w:rPr>
          <w:sz w:val="17"/>
        </w:rPr>
        <w:t>Use a two-thirds scan threshold.</w:t>
      </w:r>
    </w:p>
    <w:p>
      <w:pPr>
        <w:spacing w:after="50" w:line="245" w:lineRule="auto"/>
      </w:pPr>
      <w:r>
        <w:rPr>
          <w:b/>
          <w:sz w:val="17"/>
        </w:rPr>
        <w:t xml:space="preserve">Hammer. </w:t>
      </w:r>
      <w:r>
        <w:rPr>
          <w:sz w:val="17"/>
        </w:rPr>
        <w:t>The first side to reach 25% scores Hammer. If both reach it in the same End Phase, neither scores.</w:t>
      </w:r>
    </w:p>
    <w:p>
      <w:pPr>
        <w:spacing w:after="50" w:line="245" w:lineRule="auto"/>
      </w:pPr>
      <w:r>
        <w:rPr>
          <w:b/>
          <w:sz w:val="17"/>
        </w:rPr>
        <w:t xml:space="preserve">Gauntlet. </w:t>
      </w:r>
      <w:r>
        <w:rPr>
          <w:sz w:val="17"/>
        </w:rPr>
        <w:t>Complete Gauntlet when half of the eligible force escapes; crippled units count.</w:t>
      </w:r>
    </w:p>
    <w:p>
      <w:pPr>
        <w:spacing w:after="50" w:line="245" w:lineRule="auto"/>
      </w:pPr>
      <w:r>
        <w:rPr>
          <w:b/>
          <w:sz w:val="17"/>
        </w:rPr>
        <w:t xml:space="preserve">Track End. </w:t>
      </w:r>
      <w:r>
        <w:rPr>
          <w:sz w:val="17"/>
        </w:rPr>
        <w:t>End when either side has no units in play or at Turn 10.</w:t>
      </w:r>
    </w:p>
    <w:p>
      <w:pPr>
        <w:pStyle w:val="Heading2"/>
      </w:pPr>
      <w:r>
        <w:t>Strike</w:t>
      </w:r>
    </w:p>
    <w:p>
      <w:pPr>
        <w:spacing w:after="50" w:line="245" w:lineRule="auto"/>
      </w:pPr>
      <w:r>
        <w:rPr>
          <w:b/>
          <w:sz w:val="17"/>
        </w:rPr>
        <w:t xml:space="preserve">Objectives. </w:t>
      </w:r>
      <w:r>
        <w:rPr>
          <w:sz w:val="17"/>
        </w:rPr>
        <w:t>Retain the Tukayyid objectives.</w:t>
      </w:r>
    </w:p>
    <w:p>
      <w:pPr>
        <w:spacing w:after="50" w:line="245" w:lineRule="auto"/>
      </w:pPr>
      <w:r>
        <w:rPr>
          <w:b/>
          <w:sz w:val="17"/>
        </w:rPr>
        <w:t xml:space="preserve">Battlefield. </w:t>
      </w:r>
      <w:r>
        <w:rPr>
          <w:sz w:val="17"/>
        </w:rPr>
        <w:t>Use the Draconis Reach building durability and deployment zones. Retain the Tukayyid fortress option.</w:t>
      </w:r>
    </w:p>
    <w:p>
      <w:pPr>
        <w:spacing w:after="50" w:line="245" w:lineRule="auto"/>
      </w:pPr>
      <w:r>
        <w:rPr>
          <w:b/>
          <w:sz w:val="17"/>
        </w:rPr>
        <w:t xml:space="preserve">Reinforcements. </w:t>
      </w:r>
      <w:r>
        <w:rPr>
          <w:sz w:val="17"/>
        </w:rPr>
        <w:t>Replace the secret 1D6+1 arrival with guaranteed Turn 2 flank entry.</w:t>
      </w:r>
    </w:p>
    <w:p>
      <w:pPr>
        <w:spacing w:after="50" w:line="245" w:lineRule="auto"/>
      </w:pPr>
      <w:r>
        <w:rPr>
          <w:b/>
          <w:sz w:val="17"/>
        </w:rPr>
        <w:t xml:space="preserve">Track End. </w:t>
      </w:r>
      <w:r>
        <w:rPr>
          <w:sz w:val="17"/>
        </w:rPr>
        <w:t>End when either side has no units in play or at Turn 10 (Turn 8 shortened).</w:t>
      </w:r>
    </w:p>
    <w:p>
      <w:pPr>
        <w:pStyle w:val="Heading2"/>
      </w:pPr>
      <w:r>
        <w:t>Supply</w:t>
      </w:r>
    </w:p>
    <w:p>
      <w:pPr>
        <w:spacing w:after="50" w:line="245" w:lineRule="auto"/>
      </w:pPr>
      <w:r>
        <w:rPr>
          <w:b/>
          <w:sz w:val="17"/>
        </w:rPr>
        <w:t xml:space="preserve">Track. </w:t>
      </w:r>
      <w:r>
        <w:rPr>
          <w:sz w:val="17"/>
        </w:rPr>
        <w:t>Retain the Tukayyid Supply Track. Do not add Objective Raid as a separate Track.</w:t>
      </w:r>
    </w:p>
    <w:p>
      <w:pPr>
        <w:spacing w:after="50" w:line="245" w:lineRule="auto"/>
      </w:pPr>
      <w:r>
        <w:rPr>
          <w:b/>
          <w:sz w:val="17"/>
        </w:rPr>
        <w:t xml:space="preserve">Warehouses. </w:t>
      </w:r>
      <w:r>
        <w:rPr>
          <w:sz w:val="17"/>
        </w:rPr>
        <w:t>Place six buildings and secretly identify two as warehouses. A warehouse must be scanned before loading.</w:t>
      </w:r>
    </w:p>
    <w:p>
      <w:pPr>
        <w:spacing w:after="50" w:line="245" w:lineRule="auto"/>
      </w:pPr>
      <w:r>
        <w:rPr>
          <w:b/>
          <w:sz w:val="17"/>
        </w:rPr>
        <w:t xml:space="preserve">Components. </w:t>
      </w:r>
      <w:r>
        <w:rPr>
          <w:sz w:val="17"/>
        </w:rPr>
        <w:t>Each warehouse holds one component per Campaign Scale, for a total of 2/4/6 components.</w:t>
      </w:r>
    </w:p>
    <w:p>
      <w:pPr>
        <w:spacing w:after="50" w:line="245" w:lineRule="auto"/>
      </w:pPr>
      <w:r>
        <w:rPr>
          <w:b/>
          <w:sz w:val="17"/>
        </w:rPr>
        <w:t xml:space="preserve">Handling. </w:t>
      </w:r>
      <w:r>
        <w:rPr>
          <w:sz w:val="17"/>
        </w:rPr>
        <w:t>Use the Draconis Reach loading, carrying, transfer, and movement-penalty rules for components.</w:t>
      </w:r>
    </w:p>
    <w:p>
      <w:pPr>
        <w:spacing w:after="50" w:line="245" w:lineRule="auto"/>
      </w:pPr>
      <w:r>
        <w:rPr>
          <w:b/>
          <w:sz w:val="17"/>
        </w:rPr>
        <w:t xml:space="preserve">Objectives. </w:t>
      </w:r>
      <w:r>
        <w:rPr>
          <w:sz w:val="17"/>
        </w:rPr>
        <w:t>Retain the Tukayyid casualty and survival objectives.</w:t>
      </w:r>
    </w:p>
    <w:p>
      <w:pPr>
        <w:spacing w:after="50" w:line="245" w:lineRule="auto"/>
      </w:pPr>
      <w:r>
        <w:rPr>
          <w:b/>
          <w:sz w:val="17"/>
        </w:rPr>
        <w:t xml:space="preserve">Delayed Group. </w:t>
      </w:r>
      <w:r>
        <w:rPr>
          <w:sz w:val="17"/>
        </w:rPr>
        <w:t>The delayed group enters on Turn 6.</w:t>
      </w:r>
    </w:p>
    <w:p>
      <w:pPr>
        <w:spacing w:after="50" w:line="245" w:lineRule="auto"/>
      </w:pPr>
      <w:r>
        <w:rPr>
          <w:b/>
          <w:sz w:val="17"/>
        </w:rPr>
        <w:t xml:space="preserve">Track End. </w:t>
      </w:r>
      <w:r>
        <w:rPr>
          <w:sz w:val="17"/>
        </w:rPr>
        <w:t>End when either side has no units in play or at Turn 10.</w:t>
      </w:r>
    </w:p>
    <w:p>
      <w:pPr>
        <w:spacing w:after="50" w:line="245" w:lineRule="auto"/>
      </w:pPr>
      <w:r>
        <w:rPr>
          <w:b/>
          <w:sz w:val="17"/>
        </w:rPr>
        <w:t xml:space="preserve">Campaign Reward. </w:t>
      </w:r>
      <w:r>
        <w:rPr>
          <w:sz w:val="17"/>
        </w:rPr>
        <w:t>Each component carried off the Attacker's home edge awards the Attacker 500 SP. This reward is in addition to the Track's normal Support Allocation.</w:t>
      </w:r>
    </w:p>
    <w:sectPr w:rsidR="00FC693F" w:rsidRPr="0006063C" w:rsidSect="00034616">
      <w:type w:val="continuous"/>
      <w:pgSz w:w="12240" w:h="15840"/>
      <w:pgMar w:top="1123" w:right="979" w:bottom="936" w:left="979" w:header="864" w:footer="708"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273"/>
        <w:sz w:val="16"/>
      </w:rPr>
      <w:t xml:space="preserve">HISTORICAL: BATTLE OF TUKAYYID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07FAA"/>
        <w:sz w:val="16"/>
      </w:rPr>
      <w:t>HISTORICAL: BATTLE OF TUKAYYID  •  CAMPAIGN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C1F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213854"/>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607FAA"/>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138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138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18"/>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Battle of Tukayyid - Campaign Rules</dc:title>
  <dc:subject>Version 0.1 changes-only campaign playtest</dc:subject>
  <dc:creator>Campaign Development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