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Beta Program — Connected Worker Platform</w:t>
      </w:r>
    </w:p>
    <w:p>
      <w:pPr>
        <w:pStyle w:val="Author"/>
      </w:pPr>
      <w:r>
        <w:t xml:space="preserve">SANTECH</w:t>
      </w:r>
    </w:p>
    <w:p>
      <w:pPr>
        <w:pStyle w:val="Date"/>
      </w:pPr>
      <w:r>
        <w:t xml:space="preserve">May 2026</w:t>
      </w:r>
    </w:p>
    <w:bookmarkStart w:id="28" w:name="beta-program-connected-worker-platform"/>
    <w:p>
      <w:pPr>
        <w:pStyle w:val="Heading1"/>
      </w:pPr>
      <w:r>
        <w:t xml:space="preserve">Beta Program — Connected Worker Platform</w:t>
      </w:r>
    </w:p>
    <w:p>
      <w:pPr>
        <w:pStyle w:val="FirstParagraph"/>
      </w:pPr>
      <w:r>
        <w:t xml:space="preserve">A 90-day pilot program with 5 hand-selected MHI integrators and OEMs to validate product-market fit, generate reference customers, and seed paid conversions. Designed in conjunction with the existing</w:t>
      </w:r>
      <w:r>
        <w:t xml:space="preserve"> </w:t>
      </w:r>
      <w:r>
        <w:rPr>
          <w:b/>
          <w:bCs/>
        </w:rPr>
        <w:t xml:space="preserve">FedEx Memphis Secondary 25 (S25)</w:t>
      </w:r>
      <w:r>
        <w:t xml:space="preserve"> </w:t>
      </w:r>
      <w:r>
        <w:t xml:space="preserve">project as the live demo and authoring foundation.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will run a structured 90-day beta with 5 carefully selected participants drawn from MHI integrators and OEMs — at least one anchor integrator (DMW&amp;H), one peer integrator, and three OEMs whose equipment is already authored from S25. SANTECH provides full platform access, custom QR labels, and limited-scope content authoring at no charge. Participants commit to real-world deployment of at least 50 QR-tagged assets, weekly feedback, and a clear decision point at day 90 to convert at founding-member pricing or have their tenant deactivated. Estimated SANTECH investment:</w:t>
      </w:r>
      <w:r>
        <w:t xml:space="preserve"> </w:t>
      </w:r>
      <w:r>
        <w:rPr>
          <w:b/>
          <w:bCs/>
        </w:rPr>
        <w:t xml:space="preserve">$90-140k in labor and overhead.</w:t>
      </w:r>
      <w:r>
        <w:t xml:space="preserve"> </w:t>
      </w:r>
      <w:r>
        <w:t xml:space="preserve">Target outcome:</w:t>
      </w:r>
      <w:r>
        <w:t xml:space="preserve"> </w:t>
      </w:r>
      <w:r>
        <w:rPr>
          <w:b/>
          <w:bCs/>
        </w:rPr>
        <w:t xml:space="preserve">3 of 5 converters at average $60k ARR</w:t>
      </w:r>
      <w:r>
        <w:t xml:space="preserve">, generating</w:t>
      </w:r>
      <w:r>
        <w:t xml:space="preserve"> </w:t>
      </w:r>
      <w:r>
        <w:rPr>
          <w:b/>
          <w:bCs/>
        </w:rPr>
        <w:t xml:space="preserve">~$180k recurring ARR</w:t>
      </w:r>
      <w:r>
        <w:t xml:space="preserve"> </w:t>
      </w:r>
      <w:r>
        <w:t xml:space="preserve">and 4-5 reference logos within 12 months.</w:t>
      </w:r>
    </w:p>
    <w:p>
      <w:r>
        <w:pict>
          <v:rect style="width:0;height:1.5pt" o:hralign="center" o:hrstd="t" o:hr="t"/>
        </w:pict>
      </w:r>
    </w:p>
    <w:bookmarkEnd w:id="9"/>
    <w:bookmarkStart w:id="10" w:name="why-a-beta-program-now"/>
    <w:p>
      <w:pPr>
        <w:pStyle w:val="Heading2"/>
      </w:pPr>
      <w:r>
        <w:t xml:space="preserve">Why a beta program now</w:t>
      </w:r>
    </w:p>
    <w:p>
      <w:pPr>
        <w:pStyle w:val="FirstParagraph"/>
      </w:pPr>
      <w:r>
        <w:t xml:space="preserve">Three things we cannot validate inside SANTECH’s walls: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Whether the OEM cross-sell motion works on real prospects.</w:t>
      </w:r>
      <w:r>
        <w:t xml:space="preserve"> </w:t>
      </w:r>
      <w:r>
        <w:t xml:space="preserve">Can a Transnorm or a Rice Lake actually be sold on $40-80k/yr in exchange for content distribution and parts-revenue capture? S25 gives us the</w:t>
      </w:r>
      <w:r>
        <w:t xml:space="preserve"> </w:t>
      </w:r>
      <w:r>
        <w:rPr>
          <w:i/>
          <w:iCs/>
        </w:rPr>
        <w:t xml:space="preserve">content</w:t>
      </w:r>
      <w:r>
        <w:t xml:space="preserve">, but only field engagement gives us the</w:t>
      </w:r>
      <w:r>
        <w:t xml:space="preserve"> </w:t>
      </w:r>
      <w:r>
        <w:rPr>
          <w:i/>
          <w:iCs/>
        </w:rPr>
        <w:t xml:space="preserve">conversion data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Whether the integrator workflow holds up without the SANTECH services relationship.</w:t>
      </w:r>
      <w:r>
        <w:t xml:space="preserve"> </w:t>
      </w:r>
      <w:r>
        <w:t xml:space="preserve">DMW&amp;H is a special case because they’re already a SANTECH services customer. A peer integrator with no prior relationship is the real test.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How real technicians use the platform on a real shop floor.</w:t>
      </w:r>
      <w:r>
        <w:t xml:space="preserve"> </w:t>
      </w:r>
      <w:r>
        <w:t xml:space="preserve">Lighting, gloved hands, network coverage, scan reliability, AI question quality — none of these can be fully simulated.</w:t>
      </w:r>
    </w:p>
    <w:p>
      <w:pPr>
        <w:pStyle w:val="FirstParagraph"/>
      </w:pPr>
      <w:r>
        <w:t xml:space="preserve">A 90-day program with 5 participants gives us statistically meaningful signal on all three, plus 4-5 named reference logos for the year-2 sales motion.</w:t>
      </w:r>
    </w:p>
    <w:p>
      <w:r>
        <w:pict>
          <v:rect style="width:0;height:1.5pt" o:hralign="center" o:hrstd="t" o:hr="t"/>
        </w:pict>
      </w:r>
    </w:p>
    <w:bookmarkEnd w:id="10"/>
    <w:bookmarkStart w:id="11" w:name="program-objectives"/>
    <w:p>
      <w:pPr>
        <w:pStyle w:val="Heading2"/>
      </w:pPr>
      <w:r>
        <w:t xml:space="preserve">Program objectives</w:t>
      </w:r>
    </w:p>
    <w:p>
      <w:pPr>
        <w:pStyle w:val="FirstParagraph"/>
      </w:pPr>
      <w:r>
        <w:t xml:space="preserve">Beta success is measured against four learning outcomes, not just satisfaction scores: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51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Measure of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 OEM cross-sell pitch</w:t>
            </w:r>
          </w:p>
        </w:tc>
        <w:tc>
          <w:tcPr/>
          <w:p>
            <w:pPr>
              <w:pStyle w:val="Compact"/>
            </w:pPr>
            <w:r>
              <w:t xml:space="preserve">At least 2 of 3 OEM betas accept paid conversion at year-1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 integrator workflow beyond DMW&amp;H</w:t>
            </w:r>
          </w:p>
        </w:tc>
        <w:tc>
          <w:tcPr/>
          <w:p>
            <w:pPr>
              <w:pStyle w:val="Compact"/>
            </w:pPr>
            <w:r>
              <w:t xml:space="preserve">Peer integrator deploys QR codes to ≥50 assets and renews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Calibrate authoring services pricing</w:t>
            </w:r>
          </w:p>
        </w:tc>
        <w:tc>
          <w:tcPr/>
          <w:p>
            <w:pPr>
              <w:pStyle w:val="Compact"/>
            </w:pPr>
            <w:r>
              <w:t xml:space="preserve">Cost-per-fresh-OEM-manual quantified to ±20%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reference assets</w:t>
            </w:r>
          </w:p>
        </w:tc>
        <w:tc>
          <w:tcPr/>
          <w:p>
            <w:pPr>
              <w:pStyle w:val="Compact"/>
            </w:pPr>
            <w:r>
              <w:t xml:space="preserve">100% logo rights, 60%+ named case study rights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commended-participant-mix"/>
    <w:p>
      <w:pPr>
        <w:pStyle w:val="Heading2"/>
      </w:pPr>
      <w:r>
        <w:t xml:space="preserve">Recommended participant mix</w:t>
      </w:r>
    </w:p>
    <w:p>
      <w:pPr>
        <w:pStyle w:val="FirstParagraph"/>
      </w:pPr>
      <w:r>
        <w:t xml:space="preserve">Five slots, allocated deliberately across the three customer types: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2810"/>
        <w:gridCol w:w="1532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DMW&amp;H</w:t>
            </w:r>
          </w:p>
        </w:tc>
        <w:tc>
          <w:tcPr/>
          <w:p>
            <w:pPr>
              <w:pStyle w:val="Compact"/>
            </w:pPr>
            <w:r>
              <w:t xml:space="preserve">Integrator (anchor)</w:t>
            </w:r>
          </w:p>
        </w:tc>
        <w:tc>
          <w:tcPr/>
          <w:p>
            <w:pPr>
              <w:pStyle w:val="Compact"/>
            </w:pPr>
            <w:r>
              <w:t xml:space="preserve">Existing SANTECH services relationship; S25 already in the platform; lowest-friction 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Peer MHI integrator</w:t>
            </w:r>
            <w:r>
              <w:t xml:space="preserve"> </w:t>
            </w:r>
            <w:r>
              <w:t xml:space="preserve">(Forte, MHS Global, or Westfalia)</w:t>
            </w:r>
          </w:p>
        </w:tc>
        <w:tc>
          <w:tcPr/>
          <w:p>
            <w:pPr>
              <w:pStyle w:val="Compact"/>
            </w:pPr>
            <w:r>
              <w:t xml:space="preserve">Integrator</w:t>
            </w:r>
          </w:p>
        </w:tc>
        <w:tc>
          <w:tcPr/>
          <w:p>
            <w:pPr>
              <w:pStyle w:val="Compact"/>
            </w:pPr>
            <w:r>
              <w:t xml:space="preserve">Fresh-eyes test; validates the platform without SANTECH services as a head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Rice Lake Weighing Systems</w:t>
            </w:r>
          </w:p>
        </w:tc>
        <w:tc>
          <w:tcPr/>
          <w:p>
            <w:pPr>
              <w:pStyle w:val="Compact"/>
            </w:pPr>
            <w:r>
              <w:t xml:space="preserve">Mid-tier OEM</w:t>
            </w:r>
          </w:p>
        </w:tc>
        <w:tc>
          <w:tcPr/>
          <w:p>
            <w:pPr>
              <w:pStyle w:val="Compact"/>
            </w:pPr>
            <w:r>
              <w:t xml:space="preserve">S25’s cargo scale; independent of Honeywell; small-but-strategic 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 Turn Inc.</w:t>
            </w:r>
          </w:p>
        </w:tc>
        <w:tc>
          <w:tcPr/>
          <w:p>
            <w:pPr>
              <w:pStyle w:val="Compact"/>
            </w:pPr>
            <w:r>
              <w:t xml:space="preserve">Specialty OEM</w:t>
            </w:r>
          </w:p>
        </w:tc>
        <w:tc>
          <w:tcPr/>
          <w:p>
            <w:pPr>
              <w:pStyle w:val="Compact"/>
            </w:pPr>
            <w:r>
              <w:t xml:space="preserve">S25 power turn conveyors; smaller, faster-moving company; founder-CEO accessible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Visicon (Vitronic)</w:t>
            </w:r>
          </w:p>
        </w:tc>
        <w:tc>
          <w:tcPr/>
          <w:p>
            <w:pPr>
              <w:pStyle w:val="Compact"/>
            </w:pPr>
            <w:r>
              <w:t xml:space="preserve">Mid-tier OEM</w:t>
            </w:r>
          </w:p>
        </w:tc>
        <w:tc>
          <w:tcPr/>
          <w:p>
            <w:pPr>
              <w:pStyle w:val="Compact"/>
            </w:pPr>
            <w:r>
              <w:t xml:space="preserve">S25 singulator vision; US ops in Louisville; validates vision-system pricing tier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Deliberately deferred to paid pilot (not free beta):</w:t>
      </w:r>
      <w:r>
        <w:t xml:space="preserve"> </w:t>
      </w:r>
      <w:r>
        <w:t xml:space="preserve">Honeywell Intelligrated, Intralox, SICK. These Tier-1 OEMs warrant</w:t>
      </w:r>
      <w:r>
        <w:t xml:space="preserve"> </w:t>
      </w:r>
      <w:r>
        <w:rPr>
          <w:b/>
          <w:bCs/>
        </w:rPr>
        <w:t xml:space="preserve">paid pilots</w:t>
      </w:r>
      <w:r>
        <w:t xml:space="preserve">, not free betas — giving away $150-250k/yr value to multi-billion-dollar companies sets a poor anchor and their procurement processes won’t move in 90 days regardless.</w:t>
      </w:r>
    </w:p>
    <w:p>
      <w:pPr>
        <w:pStyle w:val="BodyText"/>
      </w:pPr>
      <w:r>
        <w:rPr>
          <w:b/>
          <w:bCs/>
        </w:rPr>
        <w:t xml:space="preserve">Alternate slot 5:</w:t>
      </w:r>
      <w:r>
        <w:t xml:space="preserve"> </w:t>
      </w:r>
      <w:r>
        <w:t xml:space="preserve">If Visicon doesn’t engage within 14 days of outreach, substitute NORD or Baldor — both are in S25’s BOM, both have small US footprints accessible to founder-led conversations.</w:t>
      </w:r>
    </w:p>
    <w:p>
      <w:r>
        <w:pict>
          <v:rect style="width:0;height:1.5pt" o:hralign="center" o:hrstd="t" o:hr="t"/>
        </w:pict>
      </w:r>
    </w:p>
    <w:bookmarkEnd w:id="12"/>
    <w:bookmarkStart w:id="13" w:name="selection-criteria-non-negotiables"/>
    <w:p>
      <w:pPr>
        <w:pStyle w:val="Heading2"/>
      </w:pPr>
      <w:r>
        <w:t xml:space="preserve">Selection criteria — non-negotiables</w:t>
      </w:r>
    </w:p>
    <w:p>
      <w:pPr>
        <w:pStyle w:val="FirstParagraph"/>
      </w:pPr>
      <w:r>
        <w:t xml:space="preserve">Before saying yes to any candidate, confirm all five criteria: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maintenance / service organization with real technicians</w:t>
            </w:r>
          </w:p>
        </w:tc>
        <w:tc>
          <w:tcPr/>
          <w:p>
            <w:pPr>
              <w:pStyle w:val="Compact"/>
            </w:pPr>
            <w:r>
              <w:t xml:space="preserve">Otherwise no actual usage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≥50 QR-able assets at one site</w:t>
            </w:r>
          </w:p>
        </w:tc>
        <w:tc>
          <w:tcPr/>
          <w:p>
            <w:pPr>
              <w:pStyle w:val="Compact"/>
            </w:pPr>
            <w:r>
              <w:t xml:space="preserve">Below this threshold, scan volume too low to be meaningful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executive-level champion willing to commit 30 min/week</w:t>
            </w:r>
          </w:p>
        </w:tc>
        <w:tc>
          <w:tcPr/>
          <w:p>
            <w:pPr>
              <w:pStyle w:val="Compact"/>
            </w:pPr>
            <w:r>
              <w:t xml:space="preserve">Without a champion, beta dies in week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 to sign a paid contract at end of beta</w:t>
            </w:r>
          </w:p>
        </w:tc>
        <w:tc>
          <w:tcPr/>
          <w:p>
            <w:pPr>
              <w:pStyle w:val="Compact"/>
            </w:pPr>
            <w:r>
              <w:t xml:space="preserve">Otherwise conversion is structurally impossible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 least one named technician or maintenance manager who will be hands-on</w:t>
            </w:r>
          </w:p>
        </w:tc>
        <w:tc>
          <w:tcPr/>
          <w:p>
            <w:pPr>
              <w:pStyle w:val="Compact"/>
            </w:pPr>
            <w:r>
              <w:t xml:space="preserve">Field feedback only comes from someone who actually uses it</w:t>
            </w:r>
          </w:p>
        </w:tc>
      </w:tr>
    </w:tbl>
    <w:p>
      <w:pPr>
        <w:pStyle w:val="BodyText"/>
      </w:pPr>
      <w:r>
        <w:t xml:space="preserve">Reject candidates who don’t meet all five, even enthusiastic ones. A lukewarm champion produces lukewarm output.</w:t>
      </w:r>
    </w:p>
    <w:p>
      <w:r>
        <w:pict>
          <v:rect style="width:0;height:1.5pt" o:hralign="center" o:hrstd="t" o:hr="t"/>
        </w:pict>
      </w:r>
    </w:p>
    <w:bookmarkEnd w:id="13"/>
    <w:bookmarkStart w:id="14" w:name="what-santech-provides-free-for-90-days"/>
    <w:p>
      <w:pPr>
        <w:pStyle w:val="Heading2"/>
      </w:pPr>
      <w:r>
        <w:t xml:space="preserve">What SANTECH provides (free for 90 days)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48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setup and configuration</w:t>
            </w:r>
          </w:p>
        </w:tc>
        <w:tc>
          <w:tcPr/>
          <w:p>
            <w:pPr>
              <w:pStyle w:val="Compact"/>
            </w:pPr>
            <w:r>
              <w:t xml:space="preserve">Full platform access, custom branding, Microsoft Entra SSO if 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authoring</w:t>
            </w:r>
          </w:p>
        </w:tc>
        <w:tc>
          <w:tcPr/>
          <w:p>
            <w:pPr>
              <w:pStyle w:val="Compact"/>
            </w:pPr>
            <w:r>
              <w:t xml:space="preserve">One major equipment line per participant; capped at ~50-100 sections, ~200 parts linked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Branded QR labels</w:t>
            </w:r>
          </w:p>
        </w:tc>
        <w:tc>
          <w:tcPr/>
          <w:p>
            <w:pPr>
              <w:pStyle w:val="Compact"/>
            </w:pPr>
            <w:r>
              <w:t xml:space="preserve">Up to 200 stickers per participant, custom template; printed and 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chat with Claude RAG</w:t>
            </w:r>
          </w:p>
        </w:tc>
        <w:tc>
          <w:tcPr/>
          <w:p>
            <w:pPr>
              <w:pStyle w:val="Compact"/>
            </w:pPr>
            <w:r>
              <w:t xml:space="preserve">Capped at 5,000 messages per month per 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success</w:t>
            </w:r>
          </w:p>
        </w:tc>
        <w:tc>
          <w:tcPr/>
          <w:p>
            <w:pPr>
              <w:pStyle w:val="Compact"/>
            </w:pPr>
            <w:r>
              <w:t xml:space="preserve">Dedicated point of contact; weekly 30-minute check-ins for 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training</w:t>
            </w:r>
          </w:p>
        </w:tc>
        <w:tc>
          <w:tcPr/>
          <w:p>
            <w:pPr>
              <w:pStyle w:val="Compact"/>
            </w:pPr>
            <w:r>
              <w:t xml:space="preserve">One 2-hour Zoom session for technicians and authors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is NOT included in the beta scope (available at conversion):</w:t>
      </w:r>
    </w:p>
    <w:p>
      <w:pPr>
        <w:pStyle w:val="Compact"/>
        <w:numPr>
          <w:ilvl w:val="0"/>
          <w:numId w:val="1002"/>
        </w:numPr>
      </w:pPr>
      <w:r>
        <w:t xml:space="preserve">Authoring beyond the initial scoped equipment line</w:t>
      </w:r>
    </w:p>
    <w:p>
      <w:pPr>
        <w:pStyle w:val="Compact"/>
        <w:numPr>
          <w:ilvl w:val="0"/>
          <w:numId w:val="1002"/>
        </w:numPr>
      </w:pPr>
      <w:r>
        <w:t xml:space="preserve">SAML / generic OIDC SSO (Entra-only during beta)</w:t>
      </w:r>
    </w:p>
    <w:p>
      <w:pPr>
        <w:pStyle w:val="Compact"/>
        <w:numPr>
          <w:ilvl w:val="0"/>
          <w:numId w:val="1002"/>
        </w:numPr>
      </w:pPr>
      <w:r>
        <w:t xml:space="preserve">CMMS webhook integration</w:t>
      </w:r>
    </w:p>
    <w:p>
      <w:pPr>
        <w:pStyle w:val="Compact"/>
        <w:numPr>
          <w:ilvl w:val="0"/>
          <w:numId w:val="1002"/>
        </w:numPr>
      </w:pPr>
      <w:r>
        <w:t xml:space="preserve">SOC 2 audit artifacts</w:t>
      </w:r>
    </w:p>
    <w:p>
      <w:pPr>
        <w:pStyle w:val="Compact"/>
        <w:numPr>
          <w:ilvl w:val="0"/>
          <w:numId w:val="1002"/>
        </w:numPr>
      </w:pPr>
      <w:r>
        <w:t xml:space="preserve">Multi-region deployment</w:t>
      </w:r>
    </w:p>
    <w:p>
      <w:pPr>
        <w:pStyle w:val="FirstParagraph"/>
      </w:pPr>
      <w:r>
        <w:t xml:space="preserve">These limitations are explicit in the beta agreement to avoid scope creep.</w:t>
      </w:r>
    </w:p>
    <w:p>
      <w:r>
        <w:pict>
          <v:rect style="width:0;height:1.5pt" o:hralign="center" o:hrstd="t" o:hr="t"/>
        </w:pict>
      </w:r>
    </w:p>
    <w:bookmarkEnd w:id="14"/>
    <w:bookmarkStart w:id="15" w:name="what-participants-commit-to"/>
    <w:p>
      <w:pPr>
        <w:pStyle w:val="Heading2"/>
      </w:pPr>
      <w:r>
        <w:t xml:space="preserve">What participants commit 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Commitment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QR codes within 30 days</w:t>
            </w:r>
          </w:p>
        </w:tc>
        <w:tc>
          <w:tcPr/>
          <w:p>
            <w:pPr>
              <w:pStyle w:val="Compact"/>
            </w:pPr>
            <w:r>
              <w:t xml:space="preserve">Minimum 50 real assets at a real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technician usage</w:t>
            </w:r>
          </w:p>
        </w:tc>
        <w:tc>
          <w:tcPr/>
          <w:p>
            <w:pPr>
              <w:pStyle w:val="Compact"/>
            </w:pPr>
            <w:r>
              <w:t xml:space="preserve">At least 5 named technicians using the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feedback</w:t>
            </w:r>
          </w:p>
        </w:tc>
        <w:tc>
          <w:tcPr/>
          <w:p>
            <w:pPr>
              <w:pStyle w:val="Compact"/>
            </w:pPr>
            <w:r>
              <w:t xml:space="preserve">30-minute call OR async written, participant’s 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 and reference rights</w:t>
            </w:r>
          </w:p>
        </w:tc>
        <w:tc>
          <w:tcPr/>
          <w:p>
            <w:pPr>
              <w:pStyle w:val="Compact"/>
            </w:pPr>
            <w:r>
              <w:t xml:space="preserve">Logo on website; anonymous quotes always; named case study at end of program with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Designate decision-maker</w:t>
            </w:r>
          </w:p>
        </w:tc>
        <w:tc>
          <w:tcPr/>
          <w:p>
            <w:pPr>
              <w:pStyle w:val="Compact"/>
            </w:pPr>
            <w:r>
              <w:t xml:space="preserve">Named executive with authority to sign paid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at day 90</w:t>
            </w:r>
          </w:p>
        </w:tc>
        <w:tc>
          <w:tcPr/>
          <w:p>
            <w:pPr>
              <w:pStyle w:val="Compact"/>
            </w:pPr>
            <w:r>
              <w:t xml:space="preserve">Convert to paid OR accept tenant deactivation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Strongly encouraged but not required:</w:t>
      </w:r>
      <w:r>
        <w:t xml:space="preserve"> </w:t>
      </w:r>
      <w:r>
        <w:t xml:space="preserve">convert to founding-member pricing at end of beta. Founding-member terms:</w:t>
      </w:r>
      <w:r>
        <w:t xml:space="preserve"> </w:t>
      </w:r>
      <w:r>
        <w:rPr>
          <w:b/>
          <w:bCs/>
        </w:rPr>
        <w:t xml:space="preserve">50% off list for 24 months, locked rate.</w:t>
      </w:r>
    </w:p>
    <w:p>
      <w:r>
        <w:pict>
          <v:rect style="width:0;height:1.5pt" o:hralign="center" o:hrstd="t" o:hr="t"/>
        </w:pict>
      </w:r>
    </w:p>
    <w:bookmarkEnd w:id="15"/>
    <w:bookmarkStart w:id="16" w:name="timeline-120-days-end-to-end"/>
    <w:p>
      <w:pPr>
        <w:pStyle w:val="Heading2"/>
      </w:pPr>
      <w:r>
        <w:t xml:space="preserve">Timeline — 120 days end to 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2132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Activities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Recruit</w:t>
            </w:r>
          </w:p>
        </w:tc>
        <w:tc>
          <w:tcPr/>
          <w:p>
            <w:pPr>
              <w:pStyle w:val="Compact"/>
            </w:pPr>
            <w:r>
              <w:t xml:space="preserve">-2 to 0</w:t>
            </w:r>
          </w:p>
        </w:tc>
        <w:tc>
          <w:tcPr/>
          <w:p>
            <w:pPr>
              <w:pStyle w:val="Compact"/>
            </w:pPr>
            <w:r>
              <w:t xml:space="preserve">Outreach, qualification calls, beta agreement signing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Onboard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Scope authoring, configure tenant, schedule kickoff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3-6</w:t>
            </w:r>
          </w:p>
        </w:tc>
        <w:tc>
          <w:tcPr/>
          <w:p>
            <w:pPr>
              <w:pStyle w:val="Compact"/>
            </w:pPr>
            <w:r>
              <w:t xml:space="preserve">Content sectioning and parts linking (use S25 library where applicable)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Ship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Print + ship QR codes, finalize tenant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2-hour onboarding session for technicians and authors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beta</w:t>
            </w:r>
          </w:p>
        </w:tc>
        <w:tc>
          <w:tcPr/>
          <w:p>
            <w:pPr>
              <w:pStyle w:val="Compact"/>
            </w:pPr>
            <w:r>
              <w:t xml:space="preserve">8-20</w:t>
            </w:r>
          </w:p>
        </w:tc>
        <w:tc>
          <w:tcPr/>
          <w:p>
            <w:pPr>
              <w:pStyle w:val="Compact"/>
            </w:pPr>
            <w:r>
              <w:t xml:space="preserve">Weekly feedback loops, monitor metrics, surface 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Mid-program review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Surface conversion conversation; deliver paid proposal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review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Decision meeting with executive sponsor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 deadline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Participant commits to convert OR 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t xml:space="preserve">23-26</w:t>
            </w:r>
          </w:p>
        </w:tc>
        <w:tc>
          <w:tcPr/>
          <w:p>
            <w:pPr>
              <w:pStyle w:val="Compact"/>
            </w:pPr>
            <w:r>
              <w:t xml:space="preserve">Convert to paid contract OR deactivate tenant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path:</w:t>
      </w:r>
      <w:r>
        <w:t xml:space="preserve"> </w:t>
      </w:r>
      <w:r>
        <w:t xml:space="preserve">the conversion conversation must start at</w:t>
      </w:r>
      <w:r>
        <w:t xml:space="preserve"> </w:t>
      </w:r>
      <w:r>
        <w:rPr>
          <w:b/>
          <w:bCs/>
        </w:rPr>
        <w:t xml:space="preserve">week 12, not week 21.</w:t>
      </w:r>
      <w:r>
        <w:t xml:space="preserve"> </w:t>
      </w:r>
      <w:r>
        <w:t xml:space="preserve">Procurement at any company of size needs 8-12 weeks to process a new vendor — back-loading the conversion ask kills deals that would otherwise close.</w:t>
      </w:r>
    </w:p>
    <w:p>
      <w:r>
        <w:pict>
          <v:rect style="width:0;height:1.5pt" o:hralign="center" o:hrstd="t" o:hr="t"/>
        </w:pict>
      </w:r>
    </w:p>
    <w:bookmarkEnd w:id="16"/>
    <w:bookmarkStart w:id="17" w:name="success-metrics"/>
    <w:p>
      <w:pPr>
        <w:pStyle w:val="Heading2"/>
      </w:pPr>
      <w:r>
        <w:t xml:space="preserve">Success metrics</w:t>
      </w:r>
    </w:p>
    <w:p>
      <w:pPr>
        <w:pStyle w:val="FirstParagraph"/>
      </w:pPr>
      <w:r>
        <w:t xml:space="preserve">Behavioral metrics matter more than survey scores: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3017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activation rate (scans within 30 days of go-live)</w:t>
            </w:r>
          </w:p>
        </w:tc>
        <w:tc>
          <w:tcPr/>
          <w:p>
            <w:pPr>
              <w:pStyle w:val="Compact"/>
            </w:pPr>
            <w:r>
              <w:t xml:space="preserve">60%+ of shipped codes</w:t>
            </w:r>
          </w:p>
        </w:tc>
        <w:tc>
          <w:tcPr/>
          <w:p>
            <w:pPr>
              <w:pStyle w:val="Compact"/>
            </w:pPr>
            <w:r>
              <w:t xml:space="preserve">Validates physical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scan volume per active tech</w:t>
            </w:r>
          </w:p>
        </w:tc>
        <w:tc>
          <w:tcPr/>
          <w:p>
            <w:pPr>
              <w:pStyle w:val="Compact"/>
            </w:pPr>
            <w:r>
              <w:t xml:space="preserve">5+ scans/week</w:t>
            </w:r>
          </w:p>
        </w:tc>
        <w:tc>
          <w:tcPr/>
          <w:p>
            <w:pPr>
              <w:pStyle w:val="Compact"/>
            </w:pPr>
            <w:r>
              <w:t xml:space="preserve">Validates day-to-day utility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chat messages per tech per week</w:t>
            </w:r>
          </w:p>
        </w:tc>
        <w:tc>
          <w:tcPr/>
          <w:p>
            <w:pPr>
              <w:pStyle w:val="Compact"/>
            </w:pPr>
            <w:r>
              <w:t xml:space="preserve">2+ messages/week</w:t>
            </w:r>
          </w:p>
        </w:tc>
        <w:tc>
          <w:tcPr/>
          <w:p>
            <w:pPr>
              <w:pStyle w:val="Compact"/>
            </w:pPr>
            <w:r>
              <w:t xml:space="preserve">Validates RAG value prop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Self-authored sections (overlays added by participant)</w:t>
            </w:r>
          </w:p>
        </w:tc>
        <w:tc>
          <w:tcPr/>
          <w:p>
            <w:pPr>
              <w:pStyle w:val="Compact"/>
            </w:pPr>
            <w:r>
              <w:t xml:space="preserve">Any non-zero amount</w:t>
            </w:r>
          </w:p>
        </w:tc>
        <w:tc>
          <w:tcPr/>
          <w:p>
            <w:pPr>
              <w:pStyle w:val="Compact"/>
            </w:pPr>
            <w:r>
              <w:t xml:space="preserve">Validates authoring 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Bug/feature reports per active tenant per week</w:t>
            </w:r>
          </w:p>
        </w:tc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  <w:r>
              <w:t xml:space="preserve">Validates engagement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NPS at week 12</w:t>
            </w:r>
          </w:p>
        </w:tc>
        <w:tc>
          <w:tcPr/>
          <w:p>
            <w:pPr>
              <w:pStyle w:val="Compact"/>
            </w:pPr>
            <w:r>
              <w:t xml:space="preserve">40+</w:t>
            </w:r>
          </w:p>
        </w:tc>
        <w:tc>
          <w:tcPr/>
          <w:p>
            <w:pPr>
              <w:pStyle w:val="Compact"/>
            </w:pPr>
            <w:r>
              <w:t xml:space="preserve">Conversion 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 rate at day 90</w:t>
            </w:r>
          </w:p>
        </w:tc>
        <w:tc>
          <w:tcPr/>
          <w:p>
            <w:pPr>
              <w:pStyle w:val="Compact"/>
            </w:pPr>
            <w:r>
              <w:t xml:space="preserve">60%+ (3 of 5)</w:t>
            </w:r>
          </w:p>
        </w:tc>
        <w:tc>
          <w:tcPr/>
          <w:p>
            <w:pPr>
              <w:pStyle w:val="Compact"/>
            </w:pPr>
            <w:r>
              <w:t xml:space="preserve">Program ROI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 rights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Reference asset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Named case study rights</w:t>
            </w:r>
          </w:p>
        </w:tc>
        <w:tc>
          <w:tcPr/>
          <w:p>
            <w:pPr>
              <w:pStyle w:val="Compact"/>
            </w:pPr>
            <w:r>
              <w:t xml:space="preserve">60%+ (3 of 5)</w:t>
            </w:r>
          </w:p>
        </w:tc>
        <w:tc>
          <w:tcPr/>
          <w:p>
            <w:pPr>
              <w:pStyle w:val="Compact"/>
            </w:pPr>
            <w:r>
              <w:t xml:space="preserve">Marketing asset target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conversion-mechanics"/>
    <w:p>
      <w:pPr>
        <w:pStyle w:val="Heading2"/>
      </w:pPr>
      <w:r>
        <w:t xml:space="preserve">Conversion mechanics</w:t>
      </w:r>
    </w:p>
    <w:p>
      <w:pPr>
        <w:pStyle w:val="FirstParagraph"/>
      </w:pPr>
      <w:r>
        <w:t xml:space="preserve">At day 90, each participant faces a clear decision:</w:t>
      </w:r>
    </w:p>
    <w:p>
      <w:pPr>
        <w:pStyle w:val="BodyText"/>
      </w:pPr>
      <w:r>
        <w:rPr>
          <w:b/>
          <w:bCs/>
        </w:rPr>
        <w:t xml:space="preserve">Path A — Convert to paid (founding-member tier)</w:t>
      </w:r>
    </w:p>
    <w:p>
      <w:pPr>
        <w:pStyle w:val="Compact"/>
        <w:numPr>
          <w:ilvl w:val="0"/>
          <w:numId w:val="1003"/>
        </w:numPr>
      </w:pPr>
      <w:r>
        <w:t xml:space="preserve">Founding-member pricing: 50% off list for 24 months</w:t>
      </w:r>
    </w:p>
    <w:p>
      <w:pPr>
        <w:pStyle w:val="Compact"/>
        <w:numPr>
          <w:ilvl w:val="0"/>
          <w:numId w:val="1003"/>
        </w:numPr>
      </w:pPr>
      <w:r>
        <w:t xml:space="preserve">Locked rate even as list pricing rises</w:t>
      </w:r>
    </w:p>
    <w:p>
      <w:pPr>
        <w:pStyle w:val="Compact"/>
        <w:numPr>
          <w:ilvl w:val="0"/>
          <w:numId w:val="1003"/>
        </w:numPr>
      </w:pPr>
      <w:r>
        <w:t xml:space="preserve">Tenant continues seamlessly with no data loss</w:t>
      </w:r>
    </w:p>
    <w:p>
      <w:pPr>
        <w:pStyle w:val="Compact"/>
        <w:numPr>
          <w:ilvl w:val="0"/>
          <w:numId w:val="1003"/>
        </w:numPr>
      </w:pPr>
      <w:r>
        <w:t xml:space="preserve">QR codes stay live; technicians keep using</w:t>
      </w:r>
    </w:p>
    <w:p>
      <w:pPr>
        <w:pStyle w:val="Compact"/>
        <w:numPr>
          <w:ilvl w:val="0"/>
          <w:numId w:val="1003"/>
        </w:numPr>
      </w:pPr>
      <w:r>
        <w:t xml:space="preserve">Authoring services available at standard rates for expansion beyond beta scope</w:t>
      </w:r>
    </w:p>
    <w:p>
      <w:pPr>
        <w:pStyle w:val="FirstParagraph"/>
      </w:pPr>
      <w:r>
        <w:rPr>
          <w:b/>
          <w:bCs/>
        </w:rPr>
        <w:t xml:space="preserve">Path B — Exit (no conversion)</w:t>
      </w:r>
    </w:p>
    <w:p>
      <w:pPr>
        <w:pStyle w:val="Compact"/>
        <w:numPr>
          <w:ilvl w:val="0"/>
          <w:numId w:val="1004"/>
        </w:numPr>
      </w:pPr>
      <w:r>
        <w:t xml:space="preserve">Tenant goes read-only on day 91</w:t>
      </w:r>
    </w:p>
    <w:p>
      <w:pPr>
        <w:pStyle w:val="Compact"/>
        <w:numPr>
          <w:ilvl w:val="0"/>
          <w:numId w:val="1004"/>
        </w:numPr>
      </w:pPr>
      <w:r>
        <w:t xml:space="preserve">30-day grace period to export data</w:t>
      </w:r>
    </w:p>
    <w:p>
      <w:pPr>
        <w:pStyle w:val="Compact"/>
        <w:numPr>
          <w:ilvl w:val="0"/>
          <w:numId w:val="1004"/>
        </w:numPr>
      </w:pPr>
      <w:r>
        <w:t xml:space="preserve">Tenant deactivates on day 121</w:t>
      </w:r>
    </w:p>
    <w:p>
      <w:pPr>
        <w:pStyle w:val="Compact"/>
        <w:numPr>
          <w:ilvl w:val="0"/>
          <w:numId w:val="1004"/>
        </w:numPr>
      </w:pPr>
      <w:r>
        <w:t xml:space="preserve">QR codes go dark</w:t>
      </w:r>
      <w:r>
        <w:t xml:space="preserve"> </w:t>
      </w:r>
      <w:r>
        <w:rPr>
          <w:b/>
          <w:bCs/>
        </w:rPr>
        <w:t xml:space="preserve">unless</w:t>
      </w:r>
      <w:r>
        <w:t xml:space="preserve"> </w:t>
      </w:r>
      <w:r>
        <w:t xml:space="preserve">an OEM whose equipment is in the tenant subscribes (their content keeps resolving)</w:t>
      </w:r>
    </w:p>
    <w:p>
      <w:pPr>
        <w:pStyle w:val="Compact"/>
        <w:numPr>
          <w:ilvl w:val="0"/>
          <w:numId w:val="1004"/>
        </w:numPr>
      </w:pPr>
      <w:r>
        <w:t xml:space="preserve">Authored content remains in SANTECH’s library and benefits future customers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“decision point with consequences”</w:t>
      </w:r>
      <w:r>
        <w:t xml:space="preserve"> </w:t>
      </w:r>
      <w:r>
        <w:t xml:space="preserve">is non-negotiable. Without it, the beta becomes free service with no path to revenue.</w:t>
      </w:r>
    </w:p>
    <w:p>
      <w:r>
        <w:pict>
          <v:rect style="width:0;height:1.5pt" o:hralign="center" o:hrstd="t" o:hr="t"/>
        </w:pict>
      </w:r>
    </w:p>
    <w:bookmarkEnd w:id="18"/>
    <w:bookmarkStart w:id="21" w:name="cost-and-roi-analysis"/>
    <w:p>
      <w:pPr>
        <w:pStyle w:val="Heading2"/>
      </w:pPr>
      <w:r>
        <w:t xml:space="preserve">Cost and ROI analysis</w:t>
      </w:r>
    </w:p>
    <w:bookmarkStart w:id="19" w:name="X883cbab6b72e027017b180a8cfdf9a0622818ff"/>
    <w:p>
      <w:pPr>
        <w:pStyle w:val="Heading3"/>
      </w:pPr>
      <w:r>
        <w:t xml:space="preserve">Estimated SANTECH investment per beta participant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Authoring labor (5 days @ $2,500/day blended)</w:t>
            </w:r>
          </w:p>
        </w:tc>
        <w:tc>
          <w:tcPr/>
          <w:p>
            <w:pPr>
              <w:pStyle w:val="Compact"/>
            </w:pPr>
            <w:r>
              <w:t xml:space="preserve">$12,500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sticker production and shipping</w:t>
            </w:r>
          </w:p>
        </w:tc>
        <w:tc>
          <w:tcPr/>
          <w:p>
            <w:pPr>
              <w:pStyle w:val="Compact"/>
            </w:pPr>
            <w:r>
              <w:t xml:space="preserve">$750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success time (3 hours/week × 13 weeks @ $150/hr)</w:t>
            </w:r>
          </w:p>
        </w:tc>
        <w:tc>
          <w:tcPr/>
          <w:p>
            <w:pPr>
              <w:pStyle w:val="Compact"/>
            </w:pPr>
            <w:r>
              <w:t xml:space="preserve">$5,850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setup and configuration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training session</w:t>
            </w:r>
          </w:p>
        </w:tc>
        <w:tc>
          <w:tcPr/>
          <w:p>
            <w:pPr>
              <w:pStyle w:val="Compact"/>
            </w:pPr>
            <w:r>
              <w:t xml:space="preserve">$1,000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Per-participant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~$22,000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5-participant program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~$110,000</w:t>
            </w:r>
          </w:p>
        </w:tc>
      </w:tr>
    </w:tbl>
    <w:p>
      <w:pPr>
        <w:pStyle w:val="BodyText"/>
      </w:pPr>
      <w:r>
        <w:t xml:space="preserve">Note: OEM betas drawing from S25’s already-authored content require less authoring labor (~$5-7k/participant) than fresh authoring engagements. Realistic range:</w:t>
      </w:r>
      <w:r>
        <w:t xml:space="preserve"> </w:t>
      </w:r>
      <w:r>
        <w:rPr>
          <w:b/>
          <w:bCs/>
        </w:rPr>
        <w:t xml:space="preserve">$90-140k total program cost.</w:t>
      </w:r>
    </w:p>
    <w:bookmarkEnd w:id="19"/>
    <w:bookmarkStart w:id="20" w:name="roi-scenarios"/>
    <w:p>
      <w:pPr>
        <w:pStyle w:val="Heading3"/>
      </w:pPr>
      <w:r>
        <w:t xml:space="preserve">ROI scenarios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Conversions</w:t>
            </w:r>
          </w:p>
        </w:tc>
        <w:tc>
          <w:tcPr/>
          <w:p>
            <w:pPr>
              <w:pStyle w:val="Compact"/>
            </w:pPr>
            <w:r>
              <w:t xml:space="preserve">Avg ARR</w:t>
            </w:r>
          </w:p>
        </w:tc>
        <w:tc>
          <w:tcPr/>
          <w:p>
            <w:pPr>
              <w:pStyle w:val="Compact"/>
            </w:pPr>
            <w:r>
              <w:t xml:space="preserve">Year-1 ARR</w:t>
            </w:r>
          </w:p>
        </w:tc>
        <w:tc>
          <w:tcPr/>
          <w:p>
            <w:pPr>
              <w:pStyle w:val="Compact"/>
            </w:pPr>
            <w:r>
              <w:t xml:space="preserve">Payback (months)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5 of 5</w:t>
            </w:r>
          </w:p>
        </w:tc>
        <w:tc>
          <w:tcPr/>
          <w:p>
            <w:pPr>
              <w:pStyle w:val="Compact"/>
            </w:pPr>
            <w:r>
              <w:t xml:space="preserve">$60k</w:t>
            </w:r>
          </w:p>
        </w:tc>
        <w:tc>
          <w:tcPr/>
          <w:p>
            <w:pPr>
              <w:pStyle w:val="Compact"/>
            </w:pPr>
            <w:r>
              <w:t xml:space="preserve">$300k</w:t>
            </w:r>
          </w:p>
        </w:tc>
        <w:tc>
          <w:tcPr/>
          <w:p>
            <w:pPr>
              <w:pStyle w:val="Compact"/>
            </w:pPr>
            <w:r>
              <w:t xml:space="preserve">4-5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3 of 5</w:t>
            </w:r>
          </w:p>
        </w:tc>
        <w:tc>
          <w:tcPr/>
          <w:p>
            <w:pPr>
              <w:pStyle w:val="Compact"/>
            </w:pPr>
            <w:r>
              <w:t xml:space="preserve">$60k</w:t>
            </w:r>
          </w:p>
        </w:tc>
        <w:tc>
          <w:tcPr/>
          <w:p>
            <w:pPr>
              <w:pStyle w:val="Compact"/>
            </w:pPr>
            <w:r>
              <w:t xml:space="preserve">$180k</w:t>
            </w:r>
          </w:p>
        </w:tc>
        <w:tc>
          <w:tcPr/>
          <w:p>
            <w:pPr>
              <w:pStyle w:val="Compact"/>
            </w:pPr>
            <w:r>
              <w:t xml:space="preserve">8-9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</w:t>
            </w:r>
          </w:p>
        </w:tc>
        <w:tc>
          <w:tcPr/>
          <w:p>
            <w:pPr>
              <w:pStyle w:val="Compact"/>
            </w:pPr>
            <w:r>
              <w:t xml:space="preserve">2 of 5</w:t>
            </w:r>
          </w:p>
        </w:tc>
        <w:tc>
          <w:tcPr/>
          <w:p>
            <w:pPr>
              <w:pStyle w:val="Compact"/>
            </w:pPr>
            <w:r>
              <w:t xml:space="preserve">$50k</w:t>
            </w:r>
          </w:p>
        </w:tc>
        <w:tc>
          <w:tcPr/>
          <w:p>
            <w:pPr>
              <w:pStyle w:val="Compact"/>
            </w:pPr>
            <w:r>
              <w:t xml:space="preserve">$100k</w:t>
            </w:r>
          </w:p>
        </w:tc>
        <w:tc>
          <w:tcPr/>
          <w:p>
            <w:pPr>
              <w:pStyle w:val="Compact"/>
            </w:pPr>
            <w:r>
              <w:t xml:space="preserve">12-14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≤1 of 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&lt;$60k</w:t>
            </w:r>
          </w:p>
        </w:tc>
        <w:tc>
          <w:tcPr/>
          <w:p>
            <w:pPr>
              <w:pStyle w:val="Compact"/>
            </w:pPr>
            <w:r>
              <w:t xml:space="preserve">n/a — re-evaluate program design</w:t>
            </w:r>
          </w:p>
        </w:tc>
      </w:tr>
    </w:tbl>
    <w:p>
      <w:pPr>
        <w:pStyle w:val="BodyText"/>
      </w:pPr>
      <w:r>
        <w:rPr>
          <w:b/>
          <w:bCs/>
        </w:rPr>
        <w:t xml:space="preserve">Hurdle rate:</w:t>
      </w:r>
      <w:r>
        <w:t xml:space="preserve"> </w:t>
      </w:r>
      <w:r>
        <w:t xml:space="preserve">at least 3 of 5 must convert at average $50k+ ARR for the program to clear its cost in under 12 months. Below that, redesign before running another cohort.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risks-and-mitigations"/>
    <w:p>
      <w:pPr>
        <w:pStyle w:val="Heading2"/>
      </w:pPr>
      <w:r>
        <w:t xml:space="preserve">Risks and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participants don’t engage</w:t>
            </w:r>
          </w:p>
        </w:tc>
        <w:tc>
          <w:tcPr/>
          <w:p>
            <w:pPr>
              <w:pStyle w:val="Compact"/>
            </w:pPr>
            <w:r>
              <w:t xml:space="preserve">Mandatory weekly check-ins; missed 2-in-a-row triggers</w:t>
            </w:r>
            <w:r>
              <w:t xml:space="preserve"> </w:t>
            </w:r>
            <w:r>
              <w:t xml:space="preserve">“are you still in?”</w:t>
            </w:r>
            <w:r>
              <w:t xml:space="preserve"> </w:t>
            </w:r>
            <w:r>
              <w:t xml:space="preserve">conversation; reclaim slot if ghosted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Verbal yes at day 90 but procurement blocks conversion</w:t>
            </w:r>
          </w:p>
        </w:tc>
        <w:tc>
          <w:tcPr/>
          <w:p>
            <w:pPr>
              <w:pStyle w:val="Compact"/>
            </w:pPr>
            <w:r>
              <w:t xml:space="preserve">Identify economic buyer in week 1, not week 20; deliver paid proposal at week 12 to give procurement 12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Authoring scope creep</w:t>
            </w:r>
          </w:p>
        </w:tc>
        <w:tc>
          <w:tcPr/>
          <w:p>
            <w:pPr>
              <w:pStyle w:val="Compact"/>
            </w:pPr>
            <w:r>
              <w:t xml:space="preserve">Beta agreement caps scope at one equipment line; expansion priced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 conflicts (e.g., Transnorm-Honeywell relationship complicates beta)</w:t>
            </w:r>
          </w:p>
        </w:tc>
        <w:tc>
          <w:tcPr/>
          <w:p>
            <w:pPr>
              <w:pStyle w:val="Compact"/>
            </w:pPr>
            <w:r>
              <w:t xml:space="preserve">Avoid Honeywell-owned brands in beta; choose independent OEMs (Rice Lake, Flow Turn, Visicon)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tech rejection (UX too clunky on shop floor)</w:t>
            </w:r>
          </w:p>
        </w:tc>
        <w:tc>
          <w:tcPr/>
          <w:p>
            <w:pPr>
              <w:pStyle w:val="Compact"/>
            </w:pPr>
            <w:r>
              <w:t xml:space="preserve">Prioritize PWA polish and QR scan reliability before beta start; have hot-fix capacity in weeks 8-12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Insufficient feedback volume</w:t>
            </w:r>
          </w:p>
        </w:tc>
        <w:tc>
          <w:tcPr/>
          <w:p>
            <w:pPr>
              <w:pStyle w:val="Compact"/>
            </w:pPr>
            <w:r>
              <w:t xml:space="preserve">Make feedback structured (templated forms) rather than open-ended; survey-style weekly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becomes free service indefinitely</w:t>
            </w:r>
          </w:p>
        </w:tc>
        <w:tc>
          <w:tcPr/>
          <w:p>
            <w:pPr>
              <w:pStyle w:val="Compact"/>
            </w:pPr>
            <w:r>
              <w:t xml:space="preserve">Day 90 deadline is hard; tenant deactivates day 121 if no conversion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beta-agreement-skeleton"/>
    <w:p>
      <w:pPr>
        <w:pStyle w:val="Heading2"/>
      </w:pPr>
      <w:r>
        <w:t xml:space="preserve">Beta agreement skeleton</w:t>
      </w:r>
    </w:p>
    <w:p>
      <w:pPr>
        <w:pStyle w:val="FirstParagraph"/>
      </w:pPr>
      <w:r>
        <w:t xml:space="preserve">Two-page document, no lawyers required at signing. Key clauses: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Term:</w:t>
      </w:r>
      <w:r>
        <w:t xml:space="preserve"> </w:t>
      </w:r>
      <w:r>
        <w:t xml:space="preserve">90 days active beta + 30-day decision window + 30-day transition.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Defined equipment line; QR sticker count; named technicians and champion.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SANTECH obligations:</w:t>
      </w:r>
      <w:r>
        <w:t xml:space="preserve"> </w:t>
      </w:r>
      <w:r>
        <w:t xml:space="preserve">Tenant access, authoring scope, QR labels, customer success time.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Participant obligations:</w:t>
      </w:r>
      <w:r>
        <w:t xml:space="preserve"> </w:t>
      </w:r>
      <w:r>
        <w:t xml:space="preserve">Deployment minimum, technician usage, weekly feedback, logo and reference rights.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Conversion option:</w:t>
      </w:r>
      <w:r>
        <w:t xml:space="preserve"> </w:t>
      </w:r>
      <w:r>
        <w:t xml:space="preserve">Founding-member pricing terms locked through end of decision window.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Decision point:</w:t>
      </w:r>
      <w:r>
        <w:t xml:space="preserve"> </w:t>
      </w:r>
      <w:r>
        <w:t xml:space="preserve">Day 90 conversion or tenant deactivation per documented schedule.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ownership:</w:t>
      </w:r>
      <w:r>
        <w:t xml:space="preserve"> </w:t>
      </w:r>
      <w:r>
        <w:t xml:space="preserve">Authored content remains SANTECH IP; participant’s overlays and operational data remain participant’s IP and exportable on request.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Confidentiality:</w:t>
      </w:r>
      <w:r>
        <w:t xml:space="preserve"> </w:t>
      </w:r>
      <w:r>
        <w:t xml:space="preserve">Mutual NDA covering technical details; product feedback is non-confidential.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Termination:</w:t>
      </w:r>
      <w:r>
        <w:t xml:space="preserve"> </w:t>
      </w:r>
      <w:r>
        <w:t xml:space="preserve">Either party may exit the beta on 30-day notice; conversion option lapses on early exit.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Limitation of liability:</w:t>
      </w:r>
      <w:r>
        <w:t xml:space="preserve"> </w:t>
      </w:r>
      <w:r>
        <w:t xml:space="preserve">Standard SaaS limits; capped at fees paid (i.e., zero during beta).</w:t>
      </w:r>
    </w:p>
    <w:p>
      <w:r>
        <w:pict>
          <v:rect style="width:0;height:1.5pt" o:hralign="center" o:hrstd="t" o:hr="t"/>
        </w:pict>
      </w:r>
    </w:p>
    <w:bookmarkEnd w:id="23"/>
    <w:bookmarkStart w:id="24" w:name="outreach-script"/>
    <w:p>
      <w:pPr>
        <w:pStyle w:val="Heading2"/>
      </w:pPr>
      <w:r>
        <w:t xml:space="preserve">Outreach script</w:t>
      </w:r>
    </w:p>
    <w:p>
      <w:pPr>
        <w:pStyle w:val="FirstParagraph"/>
      </w:pPr>
      <w:r>
        <w:t xml:space="preserve">Use a variation of the following for first contact, customized per recipient:</w:t>
      </w:r>
    </w:p>
    <w:p>
      <w:pPr>
        <w:pStyle w:val="BlockText"/>
      </w:pPr>
      <w:r>
        <w:t xml:space="preserve">Subject: 90-day beta — Connected Worker Platform for MHI</w:t>
      </w:r>
    </w:p>
    <w:p>
      <w:pPr>
        <w:pStyle w:val="BlockText"/>
      </w:pPr>
      <w:r>
        <w:t xml:space="preserve">Hi [Name],</w:t>
      </w:r>
    </w:p>
    <w:p>
      <w:pPr>
        <w:pStyle w:val="BlockText"/>
      </w:pPr>
      <w:r>
        <w:t xml:space="preserve">SANTECH is launching a Connected Worker Platform purpose-built for material handling and industrial automation. We’ve already deployed it on the FedEx Memphis Secondary 25 sortation system through DMW&amp;H, and your equipment ([specific product line]) is part of the live deployment.</w:t>
      </w:r>
    </w:p>
    <w:p>
      <w:pPr>
        <w:pStyle w:val="BlockText"/>
      </w:pPr>
      <w:r>
        <w:t xml:space="preserve">We’re selecting 5 partner companies for a 90-day no-cost beta program — 1 anchor integrator, 1 peer integrator, and 3 OEMs whose equipment is already authored in our system. The goal is real-world feedback before we open this to the broader MHI market in Q4.</w:t>
      </w:r>
    </w:p>
    <w:p>
      <w:pPr>
        <w:pStyle w:val="BlockText"/>
      </w:pPr>
      <w:r>
        <w:t xml:space="preserve">What you’d get: a fully configured tenant, custom-branded QR labels for up to 200 of your shipped units, AI-powered technician chat, full content authoring of [specific product line], and weekly engagement with our founding team.</w:t>
      </w:r>
    </w:p>
    <w:p>
      <w:pPr>
        <w:pStyle w:val="BlockText"/>
      </w:pPr>
      <w:r>
        <w:t xml:space="preserve">What we ask: 50+ QR codes deployed at a real customer site within 30 days, 5+ technicians using the platform, weekly 30-minute feedback calls, and the opportunity to discuss founding-member pricing at day 90.</w:t>
      </w:r>
    </w:p>
    <w:p>
      <w:pPr>
        <w:pStyle w:val="BlockText"/>
      </w:pPr>
      <w:r>
        <w:t xml:space="preserve">Estimated value of the included services: ~$25k. We’d like to start with a 30-minute qualification call to confirm fit. Are you open to a conversation in the next 2 weeks?</w:t>
      </w:r>
    </w:p>
    <w:p>
      <w:pPr>
        <w:pStyle w:val="BlockText"/>
      </w:pPr>
      <w:r>
        <w:t xml:space="preserve">[Your sign-off]</w:t>
      </w:r>
    </w:p>
    <w:p>
      <w:r>
        <w:pict>
          <v:rect style="width:0;height:1.5pt" o:hralign="center" o:hrstd="t" o:hr="t"/>
        </w:pict>
      </w:r>
    </w:p>
    <w:bookmarkEnd w:id="24"/>
    <w:bookmarkStart w:id="25" w:name="decision-tracker"/>
    <w:p>
      <w:pPr>
        <w:pStyle w:val="Heading2"/>
      </w:pPr>
      <w:r>
        <w:t xml:space="preserve">Decision tracker</w:t>
      </w:r>
    </w:p>
    <w:p>
      <w:pPr>
        <w:pStyle w:val="FirstParagraph"/>
      </w:pPr>
      <w:r>
        <w:t xml:space="preserve">Maintain a simple status matrix throughout the program: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7"/>
        <w:gridCol w:w="1142"/>
        <w:gridCol w:w="1294"/>
        <w:gridCol w:w="1675"/>
        <w:gridCol w:w="1066"/>
        <w:gridCol w:w="1142"/>
        <w:gridCol w:w="7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Outreach sent</w:t>
            </w:r>
          </w:p>
        </w:tc>
        <w:tc>
          <w:tcPr/>
          <w:p>
            <w:pPr>
              <w:pStyle w:val="Compact"/>
            </w:pPr>
            <w:r>
              <w:t xml:space="preserve">Qualified call</w:t>
            </w:r>
          </w:p>
        </w:tc>
        <w:tc>
          <w:tcPr/>
          <w:p>
            <w:pPr>
              <w:pStyle w:val="Compact"/>
            </w:pPr>
            <w:r>
              <w:t xml:space="preserve">Beta agreement signed</w:t>
            </w:r>
          </w:p>
        </w:tc>
        <w:tc>
          <w:tcPr/>
          <w:p>
            <w:pPr>
              <w:pStyle w:val="Compact"/>
            </w:pPr>
            <w:r>
              <w:t xml:space="preserve">Go-live date</w:t>
            </w:r>
          </w:p>
        </w:tc>
        <w:tc>
          <w:tcPr/>
          <w:p>
            <w:pPr>
              <w:pStyle w:val="Compact"/>
            </w:pPr>
            <w:r>
              <w:t xml:space="preserve">Day-90 status</w:t>
            </w:r>
          </w:p>
        </w:tc>
        <w:tc>
          <w:tcPr/>
          <w:p>
            <w:pPr>
              <w:pStyle w:val="Compact"/>
            </w:pPr>
            <w:r>
              <w:t xml:space="preserve">Convert?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DMW&amp;H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Peer integrator (TBD)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Rice Lake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Flow Turn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Visicon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Review weekly during recruitment phase, then biweekly through active beta.</w:t>
      </w:r>
    </w:p>
    <w:p>
      <w:r>
        <w:pict>
          <v:rect style="width:0;height:1.5pt" o:hralign="center" o:hrstd="t" o:hr="t"/>
        </w:pict>
      </w:r>
    </w:p>
    <w:bookmarkEnd w:id="25"/>
    <w:bookmarkStart w:id="26" w:name="what-were-really-learning"/>
    <w:p>
      <w:pPr>
        <w:pStyle w:val="Heading2"/>
      </w:pPr>
      <w:r>
        <w:t xml:space="preserve">What we’re really learning</w:t>
      </w:r>
    </w:p>
    <w:p>
      <w:pPr>
        <w:pStyle w:val="FirstParagraph"/>
      </w:pPr>
      <w:r>
        <w:t xml:space="preserve">The beta is not just product feedback. The four real learning outcomes: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Does the OEM cross-sell pitch work in the wild?</w:t>
      </w:r>
      <w:r>
        <w:t xml:space="preserve"> </w:t>
      </w:r>
      <w:r>
        <w:t xml:space="preserve">Can you walk into a Rice Lake or a Visicon and convince them that their already-authored S25 content is worth $40-80k/yr in subscription?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Does the integrator value prop hold up beyond DMW&amp;H?</w:t>
      </w:r>
      <w:r>
        <w:t xml:space="preserve"> </w:t>
      </w:r>
      <w:r>
        <w:t xml:space="preserve">Or is DMW&amp;H special because of the SANTECH services relationship?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does it cost to author a fresh OEM manual not seeded by S25?</w:t>
      </w:r>
      <w:r>
        <w:t xml:space="preserve"> </w:t>
      </w:r>
      <w:r>
        <w:t xml:space="preserve">This calibrates the services-pricing model for the rest of the year.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How do real technicians actually use the platform?</w:t>
      </w:r>
      <w:r>
        <w:t xml:space="preserve"> </w:t>
      </w:r>
      <w:r>
        <w:t xml:space="preserve">Where do they get stuck, what do they bypass, what do they ask the AI for that we didn’t predict?</w:t>
      </w:r>
    </w:p>
    <w:p>
      <w:pPr>
        <w:pStyle w:val="FirstParagraph"/>
      </w:pPr>
      <w:r>
        <w:t xml:space="preserve">If we get clean answers on those four questions, the beta paid for itself even before any conversions.</w:t>
      </w:r>
    </w:p>
    <w:p>
      <w:r>
        <w:pict>
          <v:rect style="width:0;height:1.5pt" o:hralign="center" o:hrstd="t" o:hr="t"/>
        </w:pict>
      </w:r>
    </w:p>
    <w:bookmarkEnd w:id="26"/>
    <w:bookmarkStart w:id="27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7"/>
        </w:numPr>
      </w:pPr>
      <w:r>
        <w:t xml:space="preserve">Confirm participant list and back-up candidates</w:t>
      </w:r>
    </w:p>
    <w:p>
      <w:pPr>
        <w:pStyle w:val="Compact"/>
        <w:numPr>
          <w:ilvl w:val="0"/>
          <w:numId w:val="1007"/>
        </w:numPr>
      </w:pPr>
      <w:r>
        <w:t xml:space="preserve">Finalize beta agreement (legal review optional but recommended)</w:t>
      </w:r>
    </w:p>
    <w:p>
      <w:pPr>
        <w:pStyle w:val="Compact"/>
        <w:numPr>
          <w:ilvl w:val="0"/>
          <w:numId w:val="1007"/>
        </w:numPr>
      </w:pPr>
      <w:r>
        <w:t xml:space="preserve">Build outreach pipeline — 3-week recruitment window</w:t>
      </w:r>
    </w:p>
    <w:p>
      <w:pPr>
        <w:pStyle w:val="Compact"/>
        <w:numPr>
          <w:ilvl w:val="0"/>
          <w:numId w:val="1007"/>
        </w:numPr>
      </w:pPr>
      <w:r>
        <w:t xml:space="preserve">Reserve authoring capacity for weeks 3-6</w:t>
      </w:r>
    </w:p>
    <w:p>
      <w:pPr>
        <w:pStyle w:val="Compact"/>
        <w:numPr>
          <w:ilvl w:val="0"/>
          <w:numId w:val="1007"/>
        </w:numPr>
      </w:pPr>
      <w:r>
        <w:t xml:space="preserve">Order QR sticker stock + branded label printing</w:t>
      </w:r>
    </w:p>
    <w:p>
      <w:pPr>
        <w:pStyle w:val="Compact"/>
        <w:numPr>
          <w:ilvl w:val="0"/>
          <w:numId w:val="1007"/>
        </w:numPr>
      </w:pPr>
      <w:r>
        <w:t xml:space="preserve">Block weekly check-in calendar slots</w:t>
      </w:r>
    </w:p>
    <w:p>
      <w:pPr>
        <w:pStyle w:val="Compact"/>
        <w:numPr>
          <w:ilvl w:val="0"/>
          <w:numId w:val="1007"/>
        </w:numPr>
      </w:pPr>
      <w:r>
        <w:t xml:space="preserve">Set program kickoff date (target: 30 days from approval)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Beta Program — Connected Worker Platform</dc:title>
  <dc:creator>SANTECH</dc:creator>
  <cp:keywords/>
  <dcterms:created xsi:type="dcterms:W3CDTF">2026-05-08T19:27:04Z</dcterms:created>
  <dcterms:modified xsi:type="dcterms:W3CDTF">2026-05-08T19:27:04Z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</Properties>
</file>