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Beta Program Welcome Guide</w:t>
      </w:r>
    </w:p>
    <w:p>
      <w:pPr>
        <w:pStyle w:val="Author"/>
      </w:pPr>
      <w:r>
        <w:t xml:space="preserve">SANTECH</w:t>
      </w:r>
    </w:p>
    <w:p>
      <w:pPr>
        <w:pStyle w:val="Date"/>
      </w:pPr>
      <w:r>
        <w:t xml:space="preserve">May 2026</w:t>
      </w:r>
    </w:p>
    <w:bookmarkStart w:id="26" w:name="beta-program-welcome-guide"/>
    <w:p>
      <w:pPr>
        <w:pStyle w:val="Heading1"/>
      </w:pPr>
      <w:r>
        <w:t xml:space="preserve">Beta Program Welcome Guide</w:t>
      </w:r>
    </w:p>
    <w:p>
      <w:pPr>
        <w:pStyle w:val="FirstParagraph"/>
      </w:pPr>
      <w:r>
        <w:t xml:space="preserve">For executive sponsors and operations stakeholders at companies enrolled in the Equipment Hub Connected Worker Platform Beta. Read this once at kickoff. Reference it through the 90-day program.</w:t>
      </w:r>
    </w:p>
    <w:p>
      <w:r>
        <w:pict>
          <v:rect style="width:0;height:1.5pt" o:hralign="center" o:hrstd="t" o:hr="t"/>
        </w:pict>
      </w:r>
    </w:p>
    <w:bookmarkStart w:id="9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You’ve been selected as one of five companies for the 90-day Equipment Hub beta. The goal is mutual learning: you get a fully configured Connected Worker Platform deployed on real equipment in your facility, and we get the field feedback we need to ship a generally available product later this year.</w:t>
      </w:r>
    </w:p>
    <w:p>
      <w:pPr>
        <w:pStyle w:val="BodyText"/>
      </w:pPr>
      <w:r>
        <w:t xml:space="preserve">This guide walks through what you’re getting, what we’re asking in return, and how to get the most out of the next 90 days.</w:t>
      </w:r>
    </w:p>
    <w:p>
      <w:r>
        <w:pict>
          <v:rect style="width:0;height:1.5pt" o:hralign="center" o:hrstd="t" o:hr="t"/>
        </w:pict>
      </w:r>
    </w:p>
    <w:bookmarkEnd w:id="9"/>
    <w:bookmarkStart w:id="10" w:name="Xf5e041f7919fd84135708e6d2665be012359b6e"/>
    <w:p>
      <w:pPr>
        <w:pStyle w:val="Heading2"/>
      </w:pPr>
      <w:r>
        <w:t xml:space="preserve">What you’re getting (all included, no charge during beta)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setup</w:t>
            </w:r>
          </w:p>
        </w:tc>
        <w:tc>
          <w:tcPr/>
          <w:p>
            <w:pPr>
              <w:pStyle w:val="Compact"/>
            </w:pPr>
            <w:r>
              <w:t xml:space="preserve">Full configuration of your tenant in our system, including branding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authoring</w:t>
            </w:r>
          </w:p>
        </w:tc>
        <w:tc>
          <w:tcPr/>
          <w:p>
            <w:pPr>
              <w:pStyle w:val="Compact"/>
            </w:pPr>
            <w:r>
              <w:t xml:space="preserve">One major equipment line authored by SANTECH — manuals sectioned, parts linked, procedures 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Branded QR labels</w:t>
            </w:r>
          </w:p>
        </w:tc>
        <w:tc>
          <w:tcPr/>
          <w:p>
            <w:pPr>
              <w:pStyle w:val="Compact"/>
            </w:pPr>
            <w:r>
              <w:t xml:space="preserve">Up to 200 custom-branded stickers, printed and shipped to your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chat</w:t>
            </w:r>
          </w:p>
        </w:tc>
        <w:tc>
          <w:tcPr/>
          <w:p>
            <w:pPr>
              <w:pStyle w:val="Compact"/>
            </w:pPr>
            <w:r>
              <w:t xml:space="preserve">Up to 5,000 messages/month, grounded on your authored content with safety-doc guardrails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success</w:t>
            </w:r>
          </w:p>
        </w:tc>
        <w:tc>
          <w:tcPr/>
          <w:p>
            <w:pPr>
              <w:pStyle w:val="Compact"/>
            </w:pPr>
            <w:r>
              <w:t xml:space="preserve">Dedicated SANTECH contact + weekly 30-minute check-ins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One 2-hour Zoom session for your technicians and operations team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value of included services: ~$25,000.</w:t>
      </w:r>
      <w:r>
        <w:t xml:space="preserve"> </w:t>
      </w:r>
      <w:r>
        <w:t xml:space="preserve">This is real, and it’s free for the duration of the beta.</w:t>
      </w:r>
    </w:p>
    <w:p>
      <w:r>
        <w:pict>
          <v:rect style="width:0;height:1.5pt" o:hralign="center" o:hrstd="t" o:hr="t"/>
        </w:pict>
      </w:r>
    </w:p>
    <w:bookmarkEnd w:id="10"/>
    <w:bookmarkStart w:id="11" w:name="what-were-asking-from-you"/>
    <w:p>
      <w:pPr>
        <w:pStyle w:val="Heading2"/>
      </w:pPr>
      <w:r>
        <w:t xml:space="preserve">What we’re asking from you</w:t>
      </w:r>
    </w:p>
    <w:p>
      <w:pPr>
        <w:pStyle w:val="FirstParagraph"/>
      </w:pPr>
      <w:r>
        <w:t xml:space="preserve">This is a structured beta, not a free service. To get the most out of the program — and to give us the field feedback that makes the product better — we need a few specific commitments from your side.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Commitment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QR codes within 30 days</w:t>
            </w:r>
          </w:p>
        </w:tc>
        <w:tc>
          <w:tcPr/>
          <w:p>
            <w:pPr>
              <w:pStyle w:val="Compact"/>
            </w:pPr>
            <w:r>
              <w:t xml:space="preserve">At least 50 real assets at one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technician usage</w:t>
            </w:r>
          </w:p>
        </w:tc>
        <w:tc>
          <w:tcPr/>
          <w:p>
            <w:pPr>
              <w:pStyle w:val="Compact"/>
            </w:pPr>
            <w:r>
              <w:t xml:space="preserve">At least 5 named technicians using the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feedback</w:t>
            </w:r>
          </w:p>
        </w:tc>
        <w:tc>
          <w:tcPr/>
          <w:p>
            <w:pPr>
              <w:pStyle w:val="Compact"/>
            </w:pPr>
            <w:r>
              <w:t xml:space="preserve">A 30-minute call OR async written report — your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 + reference rights</w:t>
            </w:r>
          </w:p>
        </w:tc>
        <w:tc>
          <w:tcPr/>
          <w:p>
            <w:pPr>
              <w:pStyle w:val="Compact"/>
            </w:pPr>
            <w:r>
              <w:t xml:space="preserve">Your logo on our website + an anonymous quote at end of 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Designate decision-maker</w:t>
            </w:r>
          </w:p>
        </w:tc>
        <w:tc>
          <w:tcPr/>
          <w:p>
            <w:pPr>
              <w:pStyle w:val="Compact"/>
            </w:pPr>
            <w:r>
              <w:t xml:space="preserve">Named executive who can sign a paid contract at day 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Day-90 decision</w:t>
            </w:r>
          </w:p>
        </w:tc>
        <w:tc>
          <w:tcPr/>
          <w:p>
            <w:pPr>
              <w:pStyle w:val="Compact"/>
            </w:pPr>
            <w:r>
              <w:t xml:space="preserve">Convert to founding-member pricing OR accept tenant deactivation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who-does-what"/>
    <w:p>
      <w:pPr>
        <w:pStyle w:val="Heading2"/>
      </w:pPr>
      <w:r>
        <w:t xml:space="preserve">Who does what</w:t>
      </w:r>
    </w:p>
    <w:p>
      <w:pPr>
        <w:pStyle w:val="FirstParagraph"/>
      </w:pPr>
      <w:r>
        <w:rPr>
          <w:b/>
          <w:bCs/>
        </w:rPr>
        <w:t xml:space="preserve">SANTECH (us):</w:t>
      </w:r>
      <w:r>
        <w:t xml:space="preserve"> </w:t>
      </w:r>
      <w:r>
        <w:t xml:space="preserve">- Authors your initial content from existing OEM manuals</w:t>
      </w:r>
      <w:r>
        <w:t xml:space="preserve"> </w:t>
      </w:r>
      <w:r>
        <w:t xml:space="preserve">- Configures your tenant, brand, and QR templates</w:t>
      </w:r>
      <w:r>
        <w:t xml:space="preserve"> </w:t>
      </w:r>
      <w:r>
        <w:t xml:space="preserve">- Prints and ships QR stickers to your site</w:t>
      </w:r>
      <w:r>
        <w:t xml:space="preserve"> </w:t>
      </w:r>
      <w:r>
        <w:t xml:space="preserve">- Provides weekly support during the program</w:t>
      </w:r>
      <w:r>
        <w:t xml:space="preserve"> </w:t>
      </w:r>
      <w:r>
        <w:t xml:space="preserve">- Handles all platform operations and uptime</w:t>
      </w:r>
    </w:p>
    <w:p>
      <w:pPr>
        <w:pStyle w:val="BodyText"/>
      </w:pPr>
      <w:r>
        <w:rPr>
          <w:b/>
          <w:bCs/>
        </w:rPr>
        <w:t xml:space="preserve">Your team:</w:t>
      </w:r>
      <w:r>
        <w:t xml:space="preserve"> </w:t>
      </w:r>
      <w:r>
        <w:t xml:space="preserve">- Provides source manuals or PDFs for the equipment line we’ll author</w:t>
      </w:r>
      <w:r>
        <w:t xml:space="preserve"> </w:t>
      </w:r>
      <w:r>
        <w:t xml:space="preserve">- Identifies the 50+ assets where QRs will be deployed</w:t>
      </w:r>
      <w:r>
        <w:t xml:space="preserve"> </w:t>
      </w:r>
      <w:r>
        <w:t xml:space="preserve">- Names the technicians who will use the platform</w:t>
      </w:r>
      <w:r>
        <w:t xml:space="preserve"> </w:t>
      </w:r>
      <w:r>
        <w:t xml:space="preserve">- Designates an executive sponsor and a maintenance-side champion</w:t>
      </w:r>
      <w:r>
        <w:t xml:space="preserve"> </w:t>
      </w:r>
      <w:r>
        <w:t xml:space="preserve">- Deploys the QR stickers (peel-and-stick on the equipment)</w:t>
      </w:r>
      <w:r>
        <w:t xml:space="preserve"> </w:t>
      </w:r>
      <w:r>
        <w:t xml:space="preserve">- Engages with weekly feedback loops</w:t>
      </w:r>
    </w:p>
    <w:p>
      <w:pPr>
        <w:pStyle w:val="BodyText"/>
      </w:pPr>
      <w:r>
        <w:t xml:space="preserve">The split is deliberate. We do the technical setup; you do the field deployment. Both are needed.</w:t>
      </w:r>
    </w:p>
    <w:p>
      <w:r>
        <w:pict>
          <v:rect style="width:0;height:1.5pt" o:hralign="center" o:hrstd="t" o:hr="t"/>
        </w:pict>
      </w:r>
    </w:p>
    <w:bookmarkEnd w:id="12"/>
    <w:bookmarkStart w:id="18" w:name="timeline"/>
    <w:p>
      <w:pPr>
        <w:pStyle w:val="Heading2"/>
      </w:pPr>
      <w:r>
        <w:t xml:space="preserve">Timeline</w:t>
      </w:r>
    </w:p>
    <w:p>
      <w:pPr>
        <w:pStyle w:val="FirstParagraph"/>
      </w:pPr>
      <w:r>
        <w:t xml:space="preserve">The program runs in three phases over roughly 120 days:</w:t>
      </w:r>
    </w:p>
    <w:bookmarkStart w:id="13" w:name="phase-1-recruit-and-onboard-weeks-0-2"/>
    <w:p>
      <w:pPr>
        <w:pStyle w:val="Heading3"/>
      </w:pPr>
      <w:r>
        <w:t xml:space="preserve">Phase 1 — Recruit and onboard (weeks 0-2)</w:t>
      </w:r>
    </w:p>
    <w:p>
      <w:pPr>
        <w:pStyle w:val="Compact"/>
        <w:numPr>
          <w:ilvl w:val="0"/>
          <w:numId w:val="1001"/>
        </w:numPr>
      </w:pPr>
      <w:r>
        <w:t xml:space="preserve">Sign beta agreement</w:t>
      </w:r>
    </w:p>
    <w:p>
      <w:pPr>
        <w:pStyle w:val="Compact"/>
        <w:numPr>
          <w:ilvl w:val="0"/>
          <w:numId w:val="1001"/>
        </w:numPr>
      </w:pPr>
      <w:r>
        <w:t xml:space="preserve">Scope the equipment line we’ll author</w:t>
      </w:r>
    </w:p>
    <w:p>
      <w:pPr>
        <w:pStyle w:val="Compact"/>
        <w:numPr>
          <w:ilvl w:val="0"/>
          <w:numId w:val="1001"/>
        </w:numPr>
      </w:pPr>
      <w:r>
        <w:t xml:space="preserve">Configure tenant, brand, QR template</w:t>
      </w:r>
    </w:p>
    <w:bookmarkEnd w:id="13"/>
    <w:bookmarkStart w:id="14" w:name="phase-2-author-and-ship-weeks-3-7"/>
    <w:p>
      <w:pPr>
        <w:pStyle w:val="Heading3"/>
      </w:pPr>
      <w:r>
        <w:t xml:space="preserve">Phase 2 — Author and ship (weeks 3-7)</w:t>
      </w:r>
    </w:p>
    <w:p>
      <w:pPr>
        <w:pStyle w:val="Compact"/>
        <w:numPr>
          <w:ilvl w:val="0"/>
          <w:numId w:val="1002"/>
        </w:numPr>
      </w:pPr>
      <w:r>
        <w:t xml:space="preserve">SANTECH authors content (uses S25 library where applicable)</w:t>
      </w:r>
    </w:p>
    <w:p>
      <w:pPr>
        <w:pStyle w:val="Compact"/>
        <w:numPr>
          <w:ilvl w:val="0"/>
          <w:numId w:val="1002"/>
        </w:numPr>
      </w:pPr>
      <w:r>
        <w:t xml:space="preserve">QR stickers printed and shipped</w:t>
      </w:r>
    </w:p>
    <w:p>
      <w:pPr>
        <w:pStyle w:val="Compact"/>
        <w:numPr>
          <w:ilvl w:val="0"/>
          <w:numId w:val="1002"/>
        </w:numPr>
      </w:pPr>
      <w:r>
        <w:t xml:space="preserve">Tenant goes live for testing</w:t>
      </w:r>
    </w:p>
    <w:p>
      <w:pPr>
        <w:pStyle w:val="Compact"/>
        <w:numPr>
          <w:ilvl w:val="0"/>
          <w:numId w:val="1002"/>
        </w:numPr>
      </w:pPr>
      <w:r>
        <w:t xml:space="preserve">2-hour Zoom onboarding for technicians</w:t>
      </w:r>
    </w:p>
    <w:bookmarkEnd w:id="14"/>
    <w:bookmarkStart w:id="15" w:name="phase-3-active-beta-weeks-8-20"/>
    <w:p>
      <w:pPr>
        <w:pStyle w:val="Heading3"/>
      </w:pPr>
      <w:r>
        <w:t xml:space="preserve">Phase 3 — Active beta (weeks 8-20)</w:t>
      </w:r>
    </w:p>
    <w:p>
      <w:pPr>
        <w:pStyle w:val="Compact"/>
        <w:numPr>
          <w:ilvl w:val="0"/>
          <w:numId w:val="1003"/>
        </w:numPr>
      </w:pPr>
      <w:r>
        <w:t xml:space="preserve">Technicians deploy QR stickers to assets</w:t>
      </w:r>
    </w:p>
    <w:p>
      <w:pPr>
        <w:pStyle w:val="Compact"/>
        <w:numPr>
          <w:ilvl w:val="0"/>
          <w:numId w:val="1003"/>
        </w:numPr>
      </w:pPr>
      <w:r>
        <w:t xml:space="preserve">Real-world usage begins</w:t>
      </w:r>
    </w:p>
    <w:p>
      <w:pPr>
        <w:pStyle w:val="Compact"/>
        <w:numPr>
          <w:ilvl w:val="0"/>
          <w:numId w:val="1003"/>
        </w:numPr>
      </w:pPr>
      <w:r>
        <w:t xml:space="preserve">Weekly feedback loops</w:t>
      </w:r>
    </w:p>
    <w:p>
      <w:pPr>
        <w:pStyle w:val="Compact"/>
        <w:numPr>
          <w:ilvl w:val="0"/>
          <w:numId w:val="1003"/>
        </w:numPr>
      </w:pPr>
      <w:r>
        <w:t xml:space="preserve">Mid-program review at week 12 (we deliver the paid proposal here, on purpose — gives procurement 12 weeks to review)</w:t>
      </w:r>
    </w:p>
    <w:p>
      <w:pPr>
        <w:pStyle w:val="Compact"/>
        <w:numPr>
          <w:ilvl w:val="0"/>
          <w:numId w:val="1003"/>
        </w:numPr>
      </w:pPr>
      <w:r>
        <w:t xml:space="preserve">Final review at week 21</w:t>
      </w:r>
    </w:p>
    <w:bookmarkEnd w:id="15"/>
    <w:bookmarkStart w:id="16" w:name="decision-point-week-22"/>
    <w:p>
      <w:pPr>
        <w:pStyle w:val="Heading3"/>
      </w:pPr>
      <w:r>
        <w:t xml:space="preserve">Decision point (week 22)</w:t>
      </w:r>
    </w:p>
    <w:p>
      <w:pPr>
        <w:pStyle w:val="Compact"/>
        <w:numPr>
          <w:ilvl w:val="0"/>
          <w:numId w:val="1004"/>
        </w:numPr>
      </w:pPr>
      <w:r>
        <w:t xml:space="preserve">Convert to paid (founding-member pricing) or exit</w:t>
      </w:r>
    </w:p>
    <w:bookmarkEnd w:id="16"/>
    <w:bookmarkStart w:id="17" w:name="transition-weeks-23-26"/>
    <w:p>
      <w:pPr>
        <w:pStyle w:val="Heading3"/>
      </w:pPr>
      <w:r>
        <w:t xml:space="preserve">Transition (weeks 23-26)</w:t>
      </w:r>
    </w:p>
    <w:p>
      <w:pPr>
        <w:pStyle w:val="Compact"/>
        <w:numPr>
          <w:ilvl w:val="0"/>
          <w:numId w:val="1005"/>
        </w:numPr>
      </w:pPr>
      <w:r>
        <w:t xml:space="preserve">Convert seamlessly OR tenant transitions to read-only and then deactivates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what-founding-member-pricing-looks-like"/>
    <w:p>
      <w:pPr>
        <w:pStyle w:val="Heading2"/>
      </w:pPr>
      <w:r>
        <w:t xml:space="preserve">What founding-member pricing looks like</w:t>
      </w:r>
    </w:p>
    <w:p>
      <w:pPr>
        <w:pStyle w:val="FirstParagraph"/>
      </w:pPr>
      <w:r>
        <w:t xml:space="preserve">If you choose to convert at day 90: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50% off list price for 24 months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Price locked</w:t>
      </w:r>
      <w:r>
        <w:t xml:space="preserve"> </w:t>
      </w:r>
      <w:r>
        <w:t xml:space="preserve">even when list pricing rises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Tenant continues seamlessly</w:t>
      </w:r>
      <w:r>
        <w:t xml:space="preserve"> </w:t>
      </w:r>
      <w:r>
        <w:t xml:space="preserve">— no data loss, no QR re-stickering, no retraining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Authoring services available at standard rates</w:t>
      </w:r>
      <w:r>
        <w:t xml:space="preserve"> </w:t>
      </w:r>
      <w:r>
        <w:t xml:space="preserve">for expansion beyond beta scope</w:t>
      </w:r>
    </w:p>
    <w:p>
      <w:pPr>
        <w:pStyle w:val="FirstParagraph"/>
      </w:pPr>
      <w:r>
        <w:t xml:space="preserve">Beta participants who don’t convert: your tenant goes read-only on day 91, you have 30 days to export your data, and the tenant deactivates on day 121.</w:t>
      </w:r>
      <w:r>
        <w:t xml:space="preserve"> </w:t>
      </w:r>
      <w:r>
        <w:rPr>
          <w:b/>
          <w:bCs/>
        </w:rPr>
        <w:t xml:space="preserve">The QR stickers stay live as long as any participant in the equipment ecosystem (OEM or integrator) maintains a paid tenant</w:t>
      </w:r>
      <w:r>
        <w:t xml:space="preserve"> </w:t>
      </w:r>
      <w:r>
        <w:t xml:space="preserve">— so even if you don’t convert, your equipment may stay covered through an OEM relationship.</w:t>
      </w:r>
    </w:p>
    <w:p>
      <w:r>
        <w:pict>
          <v:rect style="width:0;height:1.5pt" o:hralign="center" o:hrstd="t" o:hr="t"/>
        </w:pict>
      </w:r>
    </w:p>
    <w:bookmarkEnd w:id="19"/>
    <w:bookmarkStart w:id="20" w:name="data-ownership-and-privacy"/>
    <w:p>
      <w:pPr>
        <w:pStyle w:val="Heading2"/>
      </w:pPr>
      <w:r>
        <w:t xml:space="preserve">Data ownership and privacy</w:t>
      </w:r>
    </w:p>
    <w:p>
      <w:pPr>
        <w:pStyle w:val="FirstParagraph"/>
      </w:pPr>
      <w:r>
        <w:t xml:space="preserve">Clear and simple: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Your operational data</w:t>
      </w:r>
      <w:r>
        <w:t xml:space="preserve"> </w:t>
      </w:r>
      <w:r>
        <w:t xml:space="preserve">(work orders, technician usage, audit logs, photos) belongs to you. Exportable on request, anytime.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Your authored content overlays</w:t>
      </w:r>
      <w:r>
        <w:t xml:space="preserve"> </w:t>
      </w:r>
      <w:r>
        <w:t xml:space="preserve">(site-specific notes, internal SOPs you add) belong to you.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Base OEM content</w:t>
      </w:r>
      <w:r>
        <w:t xml:space="preserve"> </w:t>
      </w:r>
      <w:r>
        <w:t xml:space="preserve">that SANTECH authored from existing manuals stays in the platform’s library — but it’s the OEM’s content, not yours.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tenant data is ever shared with another tenant.</w:t>
      </w:r>
      <w:r>
        <w:t xml:space="preserve"> </w:t>
      </w:r>
      <w:r>
        <w:t xml:space="preserve">Multi-tenant isolation is enforced at the API layer.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PII in QR codes.</w:t>
      </w:r>
      <w:r>
        <w:t xml:space="preserve"> </w:t>
      </w:r>
      <w:r>
        <w:t xml:space="preserve">A QR code is just an opaque short code that the platform resolves server-side.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Microsoft Entra ID</w:t>
      </w:r>
      <w:r>
        <w:t xml:space="preserve"> </w:t>
      </w:r>
      <w:r>
        <w:t xml:space="preserve">(your existing Microsoft tenant) is the only authentication path during beta. Generic OIDC and SAML are on the roadmap for general availability.</w:t>
      </w:r>
    </w:p>
    <w:p>
      <w:pPr>
        <w:pStyle w:val="FirstParagraph"/>
      </w:pPr>
      <w:r>
        <w:t xml:space="preserve">A formal Data Processing Agreement is available on request.</w:t>
      </w:r>
    </w:p>
    <w:p>
      <w:r>
        <w:pict>
          <v:rect style="width:0;height:1.5pt" o:hralign="center" o:hrstd="t" o:hr="t"/>
        </w:pict>
      </w:r>
    </w:p>
    <w:bookmarkEnd w:id="20"/>
    <w:bookmarkStart w:id="21" w:name="how-to-give-feedback"/>
    <w:p>
      <w:pPr>
        <w:pStyle w:val="Heading2"/>
      </w:pPr>
      <w:r>
        <w:t xml:space="preserve">How to give feedback</w:t>
      </w:r>
    </w:p>
    <w:p>
      <w:pPr>
        <w:pStyle w:val="FirstParagraph"/>
      </w:pPr>
      <w:r>
        <w:t xml:space="preserve">Three channels, in increasing order of urgency: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In-app feedback widget</w:t>
      </w:r>
      <w:r>
        <w:t xml:space="preserve"> </w:t>
      </w:r>
      <w:r>
        <w:t xml:space="preserve">— top-right of every PWA screen, speech-bubble icon. Best for</w:t>
      </w:r>
      <w:r>
        <w:t xml:space="preserve"> </w:t>
      </w:r>
      <w:r>
        <w:t xml:space="preserve">“I noticed this small thing”</w:t>
      </w:r>
      <w:r>
        <w:t xml:space="preserve"> </w:t>
      </w:r>
      <w:r>
        <w:t xml:space="preserve">or</w:t>
      </w:r>
      <w:r>
        <w:t xml:space="preserve"> </w:t>
      </w:r>
      <w:r>
        <w:t xml:space="preserve">“wishes I had.”</w:t>
      </w:r>
      <w:r>
        <w:t xml:space="preserve"> </w:t>
      </w:r>
      <w:r>
        <w:t xml:space="preserve">Goes straight to the SANTECH beta team.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Weekly check-in</w:t>
      </w:r>
      <w:r>
        <w:t xml:space="preserve"> </w:t>
      </w:r>
      <w:r>
        <w:t xml:space="preserve">— 30-minute call with your customer success contact. Best for</w:t>
      </w:r>
      <w:r>
        <w:t xml:space="preserve"> </w:t>
      </w:r>
      <w:r>
        <w:t xml:space="preserve">“let me walk through something with you”</w:t>
      </w:r>
      <w:r>
        <w:t xml:space="preserve"> </w:t>
      </w:r>
      <w:r>
        <w:t xml:space="preserve">or</w:t>
      </w:r>
      <w:r>
        <w:t xml:space="preserve"> </w:t>
      </w:r>
      <w:r>
        <w:t xml:space="preserve">“we need to talk about the roadmap.”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Critical issues</w:t>
      </w:r>
      <w:r>
        <w:t xml:space="preserve"> </w:t>
      </w:r>
      <w:r>
        <w:t xml:space="preserve">— email</w:t>
      </w:r>
      <w:r>
        <w:t xml:space="preserve"> </w:t>
      </w:r>
      <w:r>
        <w:rPr>
          <w:rStyle w:val="VerbatimChar"/>
        </w:rPr>
        <w:t xml:space="preserve">beta@equipmenthub.io</w:t>
      </w:r>
      <w:r>
        <w:t xml:space="preserve"> </w:t>
      </w:r>
      <w:r>
        <w:t xml:space="preserve">or call/text your direct contact. Best for</w:t>
      </w:r>
      <w:r>
        <w:t xml:space="preserve"> </w:t>
      </w:r>
      <w:r>
        <w:t xml:space="preserve">“the platform is broken right now”</w:t>
      </w:r>
      <w:r>
        <w:t xml:space="preserve"> </w:t>
      </w:r>
      <w:r>
        <w:t xml:space="preserve">or</w:t>
      </w:r>
      <w:r>
        <w:t xml:space="preserve"> </w:t>
      </w:r>
      <w:r>
        <w:t xml:space="preserve">“we have a security concern.”</w:t>
      </w:r>
    </w:p>
    <w:p>
      <w:pPr>
        <w:pStyle w:val="FirstParagraph"/>
      </w:pPr>
      <w:r>
        <w:t xml:space="preserve">Every piece of feedback gets a response within 1 business day. Bugs get a fix or a workaround within 5 business days. We commit to this in writing because the beta only works if you trust the loop.</w:t>
      </w:r>
    </w:p>
    <w:p>
      <w:r>
        <w:pict>
          <v:rect style="width:0;height:1.5pt" o:hralign="center" o:hrstd="t" o:hr="t"/>
        </w:pict>
      </w:r>
    </w:p>
    <w:bookmarkEnd w:id="21"/>
    <w:bookmarkStart w:id="22" w:name="who-to-contact"/>
    <w:p>
      <w:pPr>
        <w:pStyle w:val="Heading2"/>
      </w:pPr>
      <w:r>
        <w:t xml:space="preserve">Who to contact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Customer success / day-to-day:</w:t>
      </w:r>
      <w:r>
        <w:t xml:space="preserve"> </w:t>
      </w:r>
      <w:r>
        <w:t xml:space="preserve">Your assigned SANTECH contact (see beta agreement cover page)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Critical issues:</w:t>
      </w:r>
      <w:r>
        <w:t xml:space="preserve"> </w:t>
      </w:r>
      <w:r>
        <w:rPr>
          <w:rStyle w:val="VerbatimChar"/>
        </w:rPr>
        <w:t xml:space="preserve">beta@equipmenthub.io</w:t>
      </w:r>
      <w:r>
        <w:t xml:space="preserve"> </w:t>
      </w:r>
      <w:r>
        <w:t xml:space="preserve">+ the phone number on your beta agreement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Pricing or conversion conversations:</w:t>
      </w:r>
      <w:r>
        <w:t xml:space="preserve"> </w:t>
      </w:r>
      <w:r>
        <w:t xml:space="preserve">Will be routed through your customer success contact starting at week 12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Legal / DPA / contract changes:</w:t>
      </w:r>
      <w:r>
        <w:t xml:space="preserve"> </w:t>
      </w:r>
      <w:r>
        <w:rPr>
          <w:rStyle w:val="VerbatimChar"/>
        </w:rPr>
        <w:t xml:space="preserve">legal@santechservices.com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Public website:</w:t>
      </w:r>
      <w:r>
        <w:t xml:space="preserve"> </w:t>
      </w:r>
      <w:r>
        <w:rPr>
          <w:rStyle w:val="VerbatimChar"/>
        </w:rPr>
        <w:t xml:space="preserve">https://equipmenthub.io</w:t>
      </w:r>
    </w:p>
    <w:p>
      <w:r>
        <w:pict>
          <v:rect style="width:0;height:1.5pt" o:hralign="center" o:hrstd="t" o:hr="t"/>
        </w:pict>
      </w:r>
    </w:p>
    <w:bookmarkEnd w:id="22"/>
    <w:bookmarkStart w:id="23" w:name="what-success-looks-like-for-both-of-us"/>
    <w:p>
      <w:pPr>
        <w:pStyle w:val="Heading2"/>
      </w:pPr>
      <w:r>
        <w:t xml:space="preserve">What success looks like — for both of us</w:t>
      </w:r>
    </w:p>
    <w:p>
      <w:pPr>
        <w:pStyle w:val="FirstParagraph"/>
      </w:pPr>
      <w:r>
        <w:t xml:space="preserve">For your operations team, success in 90 days looks like:</w:t>
      </w:r>
    </w:p>
    <w:p>
      <w:pPr>
        <w:pStyle w:val="Compact"/>
        <w:numPr>
          <w:ilvl w:val="0"/>
          <w:numId w:val="1010"/>
        </w:numPr>
      </w:pPr>
      <w:r>
        <w:t xml:space="preserve">Technicians scanning QR codes daily without prompting</w:t>
      </w:r>
    </w:p>
    <w:p>
      <w:pPr>
        <w:pStyle w:val="Compact"/>
        <w:numPr>
          <w:ilvl w:val="0"/>
          <w:numId w:val="1010"/>
        </w:numPr>
      </w:pPr>
      <w:r>
        <w:t xml:space="preserve">Work orders being filed faster and with better evidence (photos, descriptions)</w:t>
      </w:r>
    </w:p>
    <w:p>
      <w:pPr>
        <w:pStyle w:val="Compact"/>
        <w:numPr>
          <w:ilvl w:val="0"/>
          <w:numId w:val="1010"/>
        </w:numPr>
      </w:pPr>
      <w:r>
        <w:t xml:space="preserve">Procedure runs being completed with full audit trail (vs. paper checklists)</w:t>
      </w:r>
    </w:p>
    <w:p>
      <w:pPr>
        <w:pStyle w:val="Compact"/>
        <w:numPr>
          <w:ilvl w:val="0"/>
          <w:numId w:val="1010"/>
        </w:numPr>
      </w:pPr>
      <w:r>
        <w:t xml:space="preserve">AI chat answering common questions instead of techs paging the senior maintainer</w:t>
      </w:r>
    </w:p>
    <w:p>
      <w:pPr>
        <w:pStyle w:val="Compact"/>
        <w:numPr>
          <w:ilvl w:val="0"/>
          <w:numId w:val="1010"/>
        </w:numPr>
      </w:pPr>
      <w:r>
        <w:t xml:space="preserve">Measurably faster MTTR or first-time-fix rate (we’ll measure this together)</w:t>
      </w:r>
    </w:p>
    <w:p>
      <w:pPr>
        <w:pStyle w:val="FirstParagraph"/>
      </w:pPr>
      <w:r>
        <w:t xml:space="preserve">For our team, success looks like:</w:t>
      </w:r>
    </w:p>
    <w:p>
      <w:pPr>
        <w:pStyle w:val="Compact"/>
        <w:numPr>
          <w:ilvl w:val="0"/>
          <w:numId w:val="1011"/>
        </w:numPr>
      </w:pPr>
      <w:r>
        <w:t xml:space="preserve">Real usage data on every feature</w:t>
      </w:r>
    </w:p>
    <w:p>
      <w:pPr>
        <w:pStyle w:val="Compact"/>
        <w:numPr>
          <w:ilvl w:val="0"/>
          <w:numId w:val="1011"/>
        </w:numPr>
      </w:pPr>
      <w:r>
        <w:t xml:space="preserve">A working understanding of where the platform breaks under field conditions</w:t>
      </w:r>
    </w:p>
    <w:p>
      <w:pPr>
        <w:pStyle w:val="Compact"/>
        <w:numPr>
          <w:ilvl w:val="0"/>
          <w:numId w:val="1011"/>
        </w:numPr>
      </w:pPr>
      <w:r>
        <w:t xml:space="preserve">Direct feedback from technicians and maintenance managers (not just executives)</w:t>
      </w:r>
    </w:p>
    <w:p>
      <w:pPr>
        <w:pStyle w:val="Compact"/>
        <w:numPr>
          <w:ilvl w:val="0"/>
          <w:numId w:val="1011"/>
        </w:numPr>
      </w:pPr>
      <w:r>
        <w:t xml:space="preserve">A signed conversion at day 90 with founding-member pricing locked in</w:t>
      </w:r>
    </w:p>
    <w:p>
      <w:r>
        <w:pict>
          <v:rect style="width:0;height:1.5pt" o:hralign="center" o:hrstd="t" o:hr="t"/>
        </w:pict>
      </w:r>
    </w:p>
    <w:bookmarkEnd w:id="23"/>
    <w:bookmarkStart w:id="24" w:name="whats-not-included-in-beta-scope"/>
    <w:p>
      <w:pPr>
        <w:pStyle w:val="Heading2"/>
      </w:pPr>
      <w:r>
        <w:t xml:space="preserve">What’s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included in beta scope</w:t>
      </w:r>
    </w:p>
    <w:p>
      <w:pPr>
        <w:pStyle w:val="FirstParagraph"/>
      </w:pPr>
      <w:r>
        <w:t xml:space="preserve">Some features will come later. Specifically: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CMMS webhook integration</w:t>
      </w:r>
      <w:r>
        <w:t xml:space="preserve"> </w:t>
      </w:r>
      <w:r>
        <w:t xml:space="preserve">(Maximo, UpKeep, Fiix) — not in beta; available at general availability or via custom contract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SAML / generic OIDC SSO</w:t>
      </w:r>
      <w:r>
        <w:t xml:space="preserve"> </w:t>
      </w:r>
      <w:r>
        <w:t xml:space="preserve">— Microsoft Entra ID only during beta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SOC 2 Type I audit artifacts</w:t>
      </w:r>
      <w:r>
        <w:t xml:space="preserve"> </w:t>
      </w:r>
      <w:r>
        <w:t xml:space="preserve">— roadmap for Q1 2027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Multi-region deployment</w:t>
      </w:r>
      <w:r>
        <w:t xml:space="preserve"> </w:t>
      </w:r>
      <w:r>
        <w:t xml:space="preserve">— single US region during beta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Native mobile app</w:t>
      </w:r>
      <w:r>
        <w:t xml:space="preserve"> </w:t>
      </w:r>
      <w:r>
        <w:t xml:space="preserve">— PWA only; native app on roadmap for late 2026</w:t>
      </w:r>
    </w:p>
    <w:p>
      <w:pPr>
        <w:pStyle w:val="FirstParagraph"/>
      </w:pPr>
      <w:r>
        <w:t xml:space="preserve">These limitations are explicit in your beta agreement to keep the program scope honest. If any of these are a hard requirement for your conversion decision, please flag that to your customer success contact at week 1, not week 22.</w:t>
      </w:r>
    </w:p>
    <w:p>
      <w:r>
        <w:pict>
          <v:rect style="width:0;height:1.5pt" o:hralign="center" o:hrstd="t" o:hr="t"/>
        </w:pict>
      </w:r>
    </w:p>
    <w:bookmarkEnd w:id="24"/>
    <w:bookmarkStart w:id="25" w:name="final-word"/>
    <w:p>
      <w:pPr>
        <w:pStyle w:val="Heading2"/>
      </w:pPr>
      <w:r>
        <w:t xml:space="preserve">Final word</w:t>
      </w:r>
    </w:p>
    <w:p>
      <w:pPr>
        <w:pStyle w:val="FirstParagraph"/>
      </w:pPr>
      <w:r>
        <w:t xml:space="preserve">The beta program is a small bet on both sides. We’re investing real authoring labor and platform access in your company; you’re investing your team’s time and feedback. The shared goal is to ship a product that actually works in MHI environments, validated against real field use — not just lab demos.</w:t>
      </w:r>
    </w:p>
    <w:p>
      <w:pPr>
        <w:pStyle w:val="BodyText"/>
      </w:pPr>
      <w:r>
        <w:t xml:space="preserve">Thanks for being one of the first five. Looking forward to a productive 90 days.</w:t>
      </w:r>
    </w:p>
    <w:p>
      <w:pPr>
        <w:pStyle w:val="BodyText"/>
      </w:pPr>
      <w:r>
        <w:t xml:space="preserve">— The SANTECH team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Beta Program Welcome Guide</dc:title>
  <dc:creator>SANTECH</dc:creator>
  <cp:keywords/>
  <dcterms:created xsi:type="dcterms:W3CDTF">2026-05-08T20:29:36Z</dcterms:created>
  <dcterms:modified xsi:type="dcterms:W3CDTF">2026-05-08T20:29:36Z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