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Equipment Hub — FAQ</w:t>
      </w:r>
    </w:p>
    <w:p>
      <w:pPr>
        <w:pStyle w:val="Author"/>
      </w:pPr>
      <w:r>
        <w:t xml:space="preserve">SANTECH</w:t>
      </w:r>
    </w:p>
    <w:p>
      <w:pPr>
        <w:pStyle w:val="Date"/>
      </w:pPr>
      <w:r>
        <w:t xml:space="preserve">May 2026</w:t>
      </w:r>
    </w:p>
    <w:bookmarkStart w:id="47" w:name="equipment-hub-frequently-asked-questions"/>
    <w:p>
      <w:pPr>
        <w:pStyle w:val="Heading1"/>
      </w:pPr>
      <w:r>
        <w:t xml:space="preserve">Equipment Hub — Frequently Asked Questions</w:t>
      </w:r>
    </w:p>
    <w:p>
      <w:pPr>
        <w:pStyle w:val="FirstParagraph"/>
      </w:pPr>
      <w:r>
        <w:t xml:space="preserve">Answers to common questions from beta participants. Updated through the program.</w:t>
      </w:r>
    </w:p>
    <w:p>
      <w:r>
        <w:pict>
          <v:rect style="width:0;height:1.5pt" o:hralign="center" o:hrstd="t" o:hr="t"/>
        </w:pict>
      </w:r>
    </w:p>
    <w:bookmarkStart w:id="13" w:name="general"/>
    <w:p>
      <w:pPr>
        <w:pStyle w:val="Heading2"/>
      </w:pPr>
      <w:r>
        <w:t xml:space="preserve">General</w:t>
      </w:r>
    </w:p>
    <w:bookmarkStart w:id="9" w:name="what-is-equipment-hub"/>
    <w:p>
      <w:pPr>
        <w:pStyle w:val="Heading3"/>
      </w:pPr>
      <w:r>
        <w:t xml:space="preserve">What is Equipment Hub?</w:t>
      </w:r>
    </w:p>
    <w:p>
      <w:pPr>
        <w:pStyle w:val="FirstParagraph"/>
      </w:pPr>
      <w:r>
        <w:t xml:space="preserve">A Connected Worker Platform purpose-built for material handling and industrial automation. Technicians scan a QR sticker on a piece of equipment, and instantly see the right manual, the right parts list, the right procedure, and the right training for</w:t>
      </w:r>
      <w:r>
        <w:t xml:space="preserve"> </w:t>
      </w:r>
      <w:r>
        <w:rPr>
          <w:i/>
          <w:iCs/>
        </w:rPr>
        <w:t xml:space="preserve">that specific machine.</w:t>
      </w:r>
    </w:p>
    <w:bookmarkEnd w:id="9"/>
    <w:bookmarkStart w:id="10" w:name="what-problem-does-it-solve"/>
    <w:p>
      <w:pPr>
        <w:pStyle w:val="Heading3"/>
      </w:pPr>
      <w:r>
        <w:t xml:space="preserve">What problem does it solve?</w:t>
      </w:r>
    </w:p>
    <w:p>
      <w:pPr>
        <w:pStyle w:val="FirstParagraph"/>
      </w:pPr>
      <w:r>
        <w:t xml:space="preserve">Three at once: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Documentation discovery</w:t>
      </w:r>
      <w:r>
        <w:t xml:space="preserve"> </w:t>
      </w:r>
      <w:r>
        <w:t xml:space="preserve">— techs spend less time hunting for the right manual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Aftermarket parts</w:t>
      </w:r>
      <w:r>
        <w:t xml:space="preserve"> </w:t>
      </w:r>
      <w:r>
        <w:t xml:space="preserve">— OEM-branded parts catalogs route orders back to the OEM (instead of leaking to third-party distributors)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Compliance and training</w:t>
      </w:r>
      <w:r>
        <w:t xml:space="preserve"> </w:t>
      </w:r>
      <w:r>
        <w:t xml:space="preserve">— full audit trail of who scanned what, when, and what they did</w:t>
      </w:r>
    </w:p>
    <w:bookmarkEnd w:id="10"/>
    <w:bookmarkStart w:id="11" w:name="whos-behind-it"/>
    <w:p>
      <w:pPr>
        <w:pStyle w:val="Heading3"/>
      </w:pPr>
      <w:r>
        <w:t xml:space="preserve">Who’s behind it?</w:t>
      </w:r>
    </w:p>
    <w:p>
      <w:pPr>
        <w:pStyle w:val="FirstParagraph"/>
      </w:pPr>
      <w:r>
        <w:t xml:space="preserve">SANTECH Services — a documentation services firm that’s been authoring OEM manuals for 20+ years. The Equipment Hub platform is built on top of that authoring expertise.</w:t>
      </w:r>
    </w:p>
    <w:bookmarkEnd w:id="11"/>
    <w:bookmarkStart w:id="12" w:name="who-else-is-using-it-during-beta"/>
    <w:p>
      <w:pPr>
        <w:pStyle w:val="Heading3"/>
      </w:pPr>
      <w:r>
        <w:t xml:space="preserve">Who else is using it during beta?</w:t>
      </w:r>
    </w:p>
    <w:p>
      <w:pPr>
        <w:pStyle w:val="FirstParagraph"/>
      </w:pPr>
      <w:r>
        <w:t xml:space="preserve">Five participants total: one anchor integrator (DMW&amp;H), one peer integrator, and three OEMs whose equipment is widely used in MHI sortation systems. Each beta tenant is fully isolated — no participant can see another participant’s data.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for-technicians"/>
    <w:p>
      <w:pPr>
        <w:pStyle w:val="Heading2"/>
      </w:pPr>
      <w:r>
        <w:t xml:space="preserve">For technicians</w:t>
      </w:r>
    </w:p>
    <w:bookmarkStart w:id="14" w:name="do-i-need-to-install-an-app"/>
    <w:p>
      <w:pPr>
        <w:pStyle w:val="Heading3"/>
      </w:pPr>
      <w:r>
        <w:t xml:space="preserve">Do I need to install an app?</w:t>
      </w:r>
    </w:p>
    <w:p>
      <w:pPr>
        <w:pStyle w:val="FirstParagraph"/>
      </w:pPr>
      <w:r>
        <w:t xml:space="preserve">No. Equipment Hub is a Progressive Web App — it runs in your phone’s browser. Scan the QR with the built-in camera (iOS Camera app, Android Google Lens, or any QR reader).</w:t>
      </w:r>
    </w:p>
    <w:bookmarkEnd w:id="14"/>
    <w:bookmarkStart w:id="15" w:name="will-it-work-on-my-phone"/>
    <w:p>
      <w:pPr>
        <w:pStyle w:val="Heading3"/>
      </w:pPr>
      <w:r>
        <w:t xml:space="preserve">Will it work on my phone?</w:t>
      </w:r>
    </w:p>
    <w:p>
      <w:pPr>
        <w:pStyle w:val="FirstParagraph"/>
      </w:pPr>
      <w:r>
        <w:t xml:space="preserve">If you have a phone made in the last 4-5 years (iOS 15+ or Android 10+), yes. Modern Chrome, Safari, Edge, and Firefox are all supported.</w:t>
      </w:r>
    </w:p>
    <w:bookmarkEnd w:id="15"/>
    <w:bookmarkStart w:id="16" w:name="will-it-work-without-signal"/>
    <w:p>
      <w:pPr>
        <w:pStyle w:val="Heading3"/>
      </w:pPr>
      <w:r>
        <w:t xml:space="preserve">Will it work without signal?</w:t>
      </w:r>
    </w:p>
    <w:p>
      <w:pPr>
        <w:pStyle w:val="FirstParagraph"/>
      </w:pPr>
      <w:r>
        <w:t xml:space="preserve">Mostly. Recently viewed manuals and pages are cached and remain available offline. Reporting a new work order while offline is queued and submitted when signal returns. AI chat requires signal because it’s calling a live model.</w:t>
      </w:r>
    </w:p>
    <w:bookmarkEnd w:id="16"/>
    <w:bookmarkStart w:id="17" w:name="do-i-have-to-log-in"/>
    <w:p>
      <w:pPr>
        <w:pStyle w:val="Heading3"/>
      </w:pPr>
      <w:r>
        <w:t xml:space="preserve">Do I have to log in?</w:t>
      </w:r>
    </w:p>
    <w:p>
      <w:pPr>
        <w:pStyle w:val="FirstParagraph"/>
      </w:pPr>
      <w:r>
        <w:t xml:space="preserve">No. The QR scan creates a short-lived session (8 hours) tied to the specific QR code. No password, no login screen, no PII collected.</w:t>
      </w:r>
    </w:p>
    <w:bookmarkEnd w:id="17"/>
    <w:bookmarkStart w:id="18" w:name="Xad3b07665289768a794567d2a89a061626ec4f8"/>
    <w:p>
      <w:pPr>
        <w:pStyle w:val="Heading3"/>
      </w:pPr>
      <w:r>
        <w:t xml:space="preserve">Can I share a link to a manual with a coworker?</w:t>
      </w:r>
    </w:p>
    <w:p>
      <w:pPr>
        <w:pStyle w:val="FirstParagraph"/>
      </w:pPr>
      <w:r>
        <w:t xml:space="preserve">QR links are scoped to the scan session for security. If you share</w:t>
      </w:r>
      <w:r>
        <w:t xml:space="preserve"> </w:t>
      </w:r>
      <w:r>
        <w:rPr>
          <w:rStyle w:val="VerbatimChar"/>
        </w:rPr>
        <w:t xml:space="preserve">equipmenthub.io/a/&lt;code&gt;</w:t>
      </w:r>
      <w:r>
        <w:t xml:space="preserve"> </w:t>
      </w:r>
      <w:r>
        <w:t xml:space="preserve">with a coworker, they’ll see a</w:t>
      </w:r>
      <w:r>
        <w:t xml:space="preserve"> </w:t>
      </w:r>
      <w:r>
        <w:t xml:space="preserve">“Scan Required”</w:t>
      </w:r>
      <w:r>
        <w:t xml:space="preserve"> </w:t>
      </w:r>
      <w:r>
        <w:t xml:space="preserve">message. They need to scan the physical sticker themselves. This protects against shared URLs being abused.</w:t>
      </w:r>
    </w:p>
    <w:bookmarkEnd w:id="18"/>
    <w:bookmarkStart w:id="19" w:name="Xe4ff0d10b69f97b132826b9adba9ed683463299"/>
    <w:p>
      <w:pPr>
        <w:pStyle w:val="Heading3"/>
      </w:pPr>
      <w:r>
        <w:t xml:space="preserve">What happens if I scan a sticker that doesn’t have content yet?</w:t>
      </w:r>
    </w:p>
    <w:p>
      <w:pPr>
        <w:pStyle w:val="FirstParagraph"/>
      </w:pPr>
      <w:r>
        <w:t xml:space="preserve">You’ll see</w:t>
      </w:r>
      <w:r>
        <w:t xml:space="preserve"> </w:t>
      </w:r>
      <w:r>
        <w:t xml:space="preserve">“No documents available for this asset”</w:t>
      </w:r>
      <w:r>
        <w:t xml:space="preserve"> </w:t>
      </w:r>
      <w:r>
        <w:t xml:space="preserve">with a helpful empty state. The asset still exists; the OEM/integrator just hasn’t authored content for it yet. Tap</w:t>
      </w:r>
      <w:r>
        <w:t xml:space="preserve"> </w:t>
      </w:r>
      <w:r>
        <w:rPr>
          <w:b/>
          <w:bCs/>
        </w:rPr>
        <w:t xml:space="preserve">Send feedback</w:t>
      </w:r>
      <w:r>
        <w:t xml:space="preserve"> </w:t>
      </w:r>
      <w:r>
        <w:t xml:space="preserve">(top-right) to let us know.</w:t>
      </w:r>
    </w:p>
    <w:bookmarkEnd w:id="19"/>
    <w:bookmarkStart w:id="20" w:name="Xfc038b358fba7548d2cc5159fbda5ca1f879163"/>
    <w:p>
      <w:pPr>
        <w:pStyle w:val="Heading3"/>
      </w:pPr>
      <w:r>
        <w:t xml:space="preserve">Why does the AI sometimes refuse to paraphrase a procedure?</w:t>
      </w:r>
    </w:p>
    <w:p>
      <w:pPr>
        <w:pStyle w:val="FirstParagraph"/>
      </w:pPr>
      <w:r>
        <w:t xml:space="preserve">Safety-critical procedures (lockout/tagout, electrical work, mechanical stops) are quoted</w:t>
      </w:r>
      <w:r>
        <w:t xml:space="preserve"> </w:t>
      </w:r>
      <w:r>
        <w:rPr>
          <w:b/>
          <w:bCs/>
        </w:rPr>
        <w:t xml:space="preserve">verbatim</w:t>
      </w:r>
      <w:r>
        <w:t xml:space="preserve"> </w:t>
      </w:r>
      <w:r>
        <w:t xml:space="preserve">from the OEM manual. The AI will refuse to summarize or paraphrase these because a wrong-by-one-step rephrasing of LOTO can hurt someone. Read the quoted text carefully.</w:t>
      </w:r>
    </w:p>
    <w:bookmarkEnd w:id="20"/>
    <w:bookmarkStart w:id="21" w:name="can-i-ask-the-ai-in-spanish-french-etc."/>
    <w:p>
      <w:pPr>
        <w:pStyle w:val="Heading3"/>
      </w:pPr>
      <w:r>
        <w:t xml:space="preserve">Can I ask the AI in Spanish / French / etc.?</w:t>
      </w:r>
    </w:p>
    <w:p>
      <w:pPr>
        <w:pStyle w:val="FirstParagraph"/>
      </w:pPr>
      <w:r>
        <w:t xml:space="preserve">Yes — the AI responds in whatever language you ask in. The source content is in the language the OEM authored it in (usually English for North American manuals).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for-administrators-sponsors"/>
    <w:p>
      <w:pPr>
        <w:pStyle w:val="Heading2"/>
      </w:pPr>
      <w:r>
        <w:t xml:space="preserve">For administrators / sponsors</w:t>
      </w:r>
    </w:p>
    <w:bookmarkStart w:id="23" w:name="who-authors-the-content-during-beta"/>
    <w:p>
      <w:pPr>
        <w:pStyle w:val="Heading3"/>
      </w:pPr>
      <w:r>
        <w:t xml:space="preserve">Who authors the content during beta?</w:t>
      </w:r>
    </w:p>
    <w:p>
      <w:pPr>
        <w:pStyle w:val="FirstParagraph"/>
      </w:pPr>
      <w:r>
        <w:t xml:space="preserve">SANTECH does. The audit found that beta participants don’t get admin access during the program — that’s a deliberate design choice. SANTECH’s documentation team handles the authoring, you handle the field deployment.</w:t>
      </w:r>
    </w:p>
    <w:bookmarkEnd w:id="23"/>
    <w:bookmarkStart w:id="24" w:name="can-i-see-what-techs-are-scanning"/>
    <w:p>
      <w:pPr>
        <w:pStyle w:val="Heading3"/>
      </w:pPr>
      <w:r>
        <w:t xml:space="preserve">Can I see what techs are scanning?</w:t>
      </w:r>
    </w:p>
    <w:p>
      <w:pPr>
        <w:pStyle w:val="FirstParagraph"/>
      </w:pPr>
      <w:r>
        <w:t xml:space="preserve">Not during beta — analytics dashboards are SANTECH-internal during the program. We share the relevant numbers with your sponsor in weekly check-ins. Self-service analytics for tenants are on the roadmap for general availability.</w:t>
      </w:r>
    </w:p>
    <w:bookmarkEnd w:id="24"/>
    <w:bookmarkStart w:id="25" w:name="X64f855b57041e076912c1fbd203c471fc36f25f"/>
    <w:p>
      <w:pPr>
        <w:pStyle w:val="Heading3"/>
      </w:pPr>
      <w:r>
        <w:t xml:space="preserve">Can my team add their own internal SOPs as overlays?</w:t>
      </w:r>
    </w:p>
    <w:p>
      <w:pPr>
        <w:pStyle w:val="FirstParagraph"/>
      </w:pPr>
      <w:r>
        <w:t xml:space="preserve">Not during beta. Site-specific overlay authoring is a paid-tier feature available at conversion. SANTECH can author overlays as a one-time service if needed during the beta — flag this to your customer success contact.</w:t>
      </w:r>
    </w:p>
    <w:bookmarkEnd w:id="25"/>
    <w:bookmarkStart w:id="26" w:name="whats-the-conversion-path"/>
    <w:p>
      <w:pPr>
        <w:pStyle w:val="Heading3"/>
      </w:pPr>
      <w:r>
        <w:t xml:space="preserve">What’s the conversion path?</w:t>
      </w:r>
    </w:p>
    <w:p>
      <w:pPr>
        <w:pStyle w:val="FirstParagraph"/>
      </w:pPr>
      <w:r>
        <w:t xml:space="preserve">At day 90: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Convert</w:t>
      </w:r>
      <w:r>
        <w:t xml:space="preserve"> </w:t>
      </w:r>
      <w:r>
        <w:t xml:space="preserve">to paid: founding-member pricing (50% off list for 24 months, locked rate)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Exit</w:t>
      </w:r>
      <w:r>
        <w:t xml:space="preserve">: tenant goes read-only on day 91, deactivates on day 121</w:t>
      </w:r>
    </w:p>
    <w:p>
      <w:pPr>
        <w:pStyle w:val="BodyText"/>
      </w:pPr>
      <w:r>
        <w:t xml:space="preserve">The decision and pricing conversation starts at</w:t>
      </w:r>
      <w:r>
        <w:t xml:space="preserve"> </w:t>
      </w:r>
      <w:r>
        <w:rPr>
          <w:b/>
          <w:bCs/>
        </w:rPr>
        <w:t xml:space="preserve">week 12</w:t>
      </w:r>
      <w:r>
        <w:t xml:space="preserve">, not week 22, to give your procurement team a realistic timeline.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privacy-and-security"/>
    <w:p>
      <w:pPr>
        <w:pStyle w:val="Heading2"/>
      </w:pPr>
      <w:r>
        <w:t xml:space="preserve">Privacy and security</w:t>
      </w:r>
    </w:p>
    <w:bookmarkStart w:id="28" w:name="where-is-the-data-hosted"/>
    <w:p>
      <w:pPr>
        <w:pStyle w:val="Heading3"/>
      </w:pPr>
      <w:r>
        <w:t xml:space="preserve">Where is the data hosted?</w:t>
      </w:r>
    </w:p>
    <w:p>
      <w:pPr>
        <w:pStyle w:val="FirstParagraph"/>
      </w:pPr>
      <w:r>
        <w:t xml:space="preserve">US East region (Fly.io for the API, Vercel for the frontend, Cloudflare R2 for content storage, Neon Postgres for relational data). All providers offer SOC 2 Type II compliance. Multi-region availability is a paid-tier feature on the roadmap.</w:t>
      </w:r>
    </w:p>
    <w:bookmarkEnd w:id="28"/>
    <w:bookmarkStart w:id="29" w:name="is-the-data-encrypted"/>
    <w:p>
      <w:pPr>
        <w:pStyle w:val="Heading3"/>
      </w:pPr>
      <w:r>
        <w:t xml:space="preserve">Is the data encrypted?</w:t>
      </w:r>
    </w:p>
    <w:p>
      <w:pPr>
        <w:pStyle w:val="FirstParagraph"/>
      </w:pPr>
      <w:r>
        <w:t xml:space="preserve">In transit (TLS 1.3) and at rest (provider-level disk encryption). Specific QR-scan session tokens are HMAC-signed.</w:t>
      </w:r>
    </w:p>
    <w:bookmarkEnd w:id="29"/>
    <w:bookmarkStart w:id="30" w:name="who-can-access-my-tenants-data"/>
    <w:p>
      <w:pPr>
        <w:pStyle w:val="Heading3"/>
      </w:pPr>
      <w:r>
        <w:t xml:space="preserve">Who can access my tenant’s data?</w:t>
      </w:r>
    </w:p>
    <w:p>
      <w:pPr>
        <w:pStyle w:val="FirstParagraph"/>
      </w:pPr>
      <w:r>
        <w:t xml:space="preserve">Only your authorized users (during beta, this is just the SANTECH team and any technicians you’ve named). Multi-tenant isolation is enforced at the API layer — every request is scoped to the calling tenant’s organization ID.</w:t>
      </w:r>
    </w:p>
    <w:bookmarkEnd w:id="30"/>
    <w:bookmarkStart w:id="31" w:name="do-you-sell-data"/>
    <w:p>
      <w:pPr>
        <w:pStyle w:val="Heading3"/>
      </w:pPr>
      <w:r>
        <w:t xml:space="preserve">Do you sell data?</w:t>
      </w:r>
    </w:p>
    <w:p>
      <w:pPr>
        <w:pStyle w:val="FirstParagraph"/>
      </w:pPr>
      <w:r>
        <w:t xml:space="preserve">No. We don’t sell, share, or analyze your data for any purpose other than running your tenant. We do collect anonymized aggregate metrics (e.g.,</w:t>
      </w:r>
      <w:r>
        <w:t xml:space="preserve"> </w:t>
      </w:r>
      <w:r>
        <w:t xml:space="preserve">“across all tenants, average scans per QR per week”</w:t>
      </w:r>
      <w:r>
        <w:t xml:space="preserve">) for product improvement.</w:t>
      </w:r>
    </w:p>
    <w:bookmarkEnd w:id="31"/>
    <w:bookmarkStart w:id="32" w:name="X4eea0f300ec7fb322563a8a0f20b6dce4fe3a14"/>
    <w:p>
      <w:pPr>
        <w:pStyle w:val="Heading3"/>
      </w:pPr>
      <w:r>
        <w:t xml:space="preserve">Can I get a Data Processing Agreement (DPA)?</w:t>
      </w:r>
    </w:p>
    <w:p>
      <w:pPr>
        <w:pStyle w:val="FirstParagraph"/>
      </w:pPr>
      <w:r>
        <w:t xml:space="preserve">Yes. Email</w:t>
      </w:r>
      <w:r>
        <w:t xml:space="preserve"> </w:t>
      </w:r>
      <w:r>
        <w:rPr>
          <w:rStyle w:val="VerbatimChar"/>
        </w:rPr>
        <w:t xml:space="preserve">legal@santechservices.com</w:t>
      </w:r>
      <w:r>
        <w:t xml:space="preserve"> </w:t>
      </w:r>
      <w:r>
        <w:t xml:space="preserve">and we’ll send the standard DPA. We’re happy to negotiate redlines for enterprise procurement.</w:t>
      </w:r>
    </w:p>
    <w:bookmarkEnd w:id="32"/>
    <w:bookmarkStart w:id="33" w:name="what-about-soc-2-iso"/>
    <w:p>
      <w:pPr>
        <w:pStyle w:val="Heading3"/>
      </w:pPr>
      <w:r>
        <w:t xml:space="preserve">What about SOC 2 / ISO?</w:t>
      </w:r>
    </w:p>
    <w:p>
      <w:pPr>
        <w:pStyle w:val="FirstParagraph"/>
      </w:pPr>
      <w:r>
        <w:t xml:space="preserve">SOC 2 Type I audit is on the roadmap for Q1 2027. We’re using Vanta for evidence collection. Most beta participants don’t require SOC 2 to sign; if your procurement does, ask your customer success contact for a current status one-pager.</w:t>
      </w:r>
    </w:p>
    <w:bookmarkEnd w:id="33"/>
    <w:bookmarkStart w:id="34" w:name="is-there-pii-in-the-qr-codes"/>
    <w:p>
      <w:pPr>
        <w:pStyle w:val="Heading3"/>
      </w:pPr>
      <w:r>
        <w:t xml:space="preserve">Is there PII in the QR codes?</w:t>
      </w:r>
    </w:p>
    <w:p>
      <w:pPr>
        <w:pStyle w:val="FirstParagraph"/>
      </w:pPr>
      <w:r>
        <w:t xml:space="preserve">No. A QR code is an opaque alphanumeric short code (8-24 characters, no embedded data). The platform resolves it server-side to the asset. Codes can be revoked and re-issued without re-stickering — the platform handles redirection.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pricing"/>
    <w:p>
      <w:pPr>
        <w:pStyle w:val="Heading2"/>
      </w:pPr>
      <w:r>
        <w:t xml:space="preserve">Pricing</w:t>
      </w:r>
    </w:p>
    <w:bookmarkStart w:id="36" w:name="what-does-it-cost-after-the-beta"/>
    <w:p>
      <w:pPr>
        <w:pStyle w:val="Heading3"/>
      </w:pPr>
      <w:r>
        <w:t xml:space="preserve">What does it cost after the beta?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410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Integrator Pro</w:t>
            </w:r>
          </w:p>
        </w:tc>
        <w:tc>
          <w:tcPr/>
          <w:p>
            <w:pPr>
              <w:pStyle w:val="Compact"/>
            </w:pPr>
            <w:r>
              <w:t xml:space="preserve">$42k/yr</w:t>
            </w:r>
          </w:p>
        </w:tc>
        <w:tc>
          <w:tcPr/>
          <w:p>
            <w:pPr>
              <w:pStyle w:val="Compact"/>
            </w:pPr>
            <w:r>
              <w:t xml:space="preserve">Mid-size dealers/integrators (≤250 assets)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Integrator Enterprise</w:t>
            </w:r>
          </w:p>
        </w:tc>
        <w:tc>
          <w:tcPr/>
          <w:p>
            <w:pPr>
              <w:pStyle w:val="Compact"/>
            </w:pPr>
            <w:r>
              <w:t xml:space="preserve">$90-120k/yr</w:t>
            </w:r>
          </w:p>
        </w:tc>
        <w:tc>
          <w:tcPr/>
          <w:p>
            <w:pPr>
              <w:pStyle w:val="Compact"/>
            </w:pPr>
            <w:r>
              <w:t xml:space="preserve">Large integrators (≤1,000 assets)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 Specialty</w:t>
            </w:r>
          </w:p>
        </w:tc>
        <w:tc>
          <w:tcPr/>
          <w:p>
            <w:pPr>
              <w:pStyle w:val="Compact"/>
            </w:pPr>
            <w:r>
              <w:t xml:space="preserve">$30-50k/yr</w:t>
            </w:r>
          </w:p>
        </w:tc>
        <w:tc>
          <w:tcPr/>
          <w:p>
            <w:pPr>
              <w:pStyle w:val="Compact"/>
            </w:pPr>
            <w:r>
              <w:t xml:space="preserve">Smaller OEMs (≤1,000 fielded units)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 Standard</w:t>
            </w:r>
          </w:p>
        </w:tc>
        <w:tc>
          <w:tcPr/>
          <w:p>
            <w:pPr>
              <w:pStyle w:val="Compact"/>
            </w:pPr>
            <w:r>
              <w:t xml:space="preserve">$60-100k/yr</w:t>
            </w:r>
          </w:p>
        </w:tc>
        <w:tc>
          <w:tcPr/>
          <w:p>
            <w:pPr>
              <w:pStyle w:val="Compact"/>
            </w:pPr>
            <w:r>
              <w:t xml:space="preserve">Mid-size OEMs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 Major</w:t>
            </w:r>
          </w:p>
        </w:tc>
        <w:tc>
          <w:tcPr/>
          <w:p>
            <w:pPr>
              <w:pStyle w:val="Compact"/>
            </w:pPr>
            <w:r>
              <w:t xml:space="preserve">$150-250k/yr</w:t>
            </w:r>
          </w:p>
        </w:tc>
        <w:tc>
          <w:tcPr/>
          <w:p>
            <w:pPr>
              <w:pStyle w:val="Compact"/>
            </w:pPr>
            <w:r>
              <w:t xml:space="preserve">Top-tier OEMs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End-Customer Site</w:t>
            </w:r>
          </w:p>
        </w:tc>
        <w:tc>
          <w:tcPr/>
          <w:p>
            <w:pPr>
              <w:pStyle w:val="Compact"/>
            </w:pPr>
            <w:r>
              <w:t xml:space="preserve">$80-150k/yr</w:t>
            </w:r>
          </w:p>
        </w:tc>
        <w:tc>
          <w:tcPr/>
          <w:p>
            <w:pPr>
              <w:pStyle w:val="Compact"/>
            </w:pPr>
            <w:r>
              <w:t xml:space="preserve">Per facility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Beta participants get founding-member pricing: 50% off list for 24 months, locked rate.</w:t>
      </w:r>
    </w:p>
    <w:bookmarkEnd w:id="36"/>
    <w:bookmarkStart w:id="37" w:name="are-there-add-on-costs"/>
    <w:p>
      <w:pPr>
        <w:pStyle w:val="Heading3"/>
      </w:pPr>
      <w:r>
        <w:t xml:space="preserve">Are there add-on costs?</w:t>
      </w:r>
    </w:p>
    <w:p>
      <w:pPr>
        <w:pStyle w:val="FirstParagraph"/>
      </w:pPr>
      <w:r>
        <w:t xml:space="preserve">A few, all metered:</w:t>
      </w:r>
      <w:r>
        <w:t xml:space="preserve"> </w:t>
      </w:r>
      <w:r>
        <w:t xml:space="preserve">- AI chat overage: $0.05/message beyond included pool</w:t>
      </w:r>
      <w:r>
        <w:t xml:space="preserve"> </w:t>
      </w:r>
      <w:r>
        <w:t xml:space="preserve">- Storage overage: $0.10/GB/month</w:t>
      </w:r>
      <w:r>
        <w:t xml:space="preserve"> </w:t>
      </w:r>
      <w:r>
        <w:t xml:space="preserve">- Authoring services: $15-25k per OEM manual; site-overlay authoring same range</w:t>
      </w:r>
    </w:p>
    <w:bookmarkEnd w:id="37"/>
    <w:bookmarkStart w:id="38" w:name="X69295dcb5619aab4c0e9237b5eab38e6d7256e0"/>
    <w:p>
      <w:pPr>
        <w:pStyle w:val="Heading3"/>
      </w:pPr>
      <w:r>
        <w:t xml:space="preserve">What if I want to expand to multiple sites?</w:t>
      </w:r>
    </w:p>
    <w:p>
      <w:pPr>
        <w:pStyle w:val="FirstParagraph"/>
      </w:pPr>
      <w:r>
        <w:t xml:space="preserve">Multi-site discounts kick in at 3+ sites. Talk to your customer success contact for custom pricing.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technical"/>
    <w:p>
      <w:pPr>
        <w:pStyle w:val="Heading2"/>
      </w:pPr>
      <w:r>
        <w:t xml:space="preserve">Technical</w:t>
      </w:r>
    </w:p>
    <w:bookmarkStart w:id="40" w:name="what-browsers-are-supported"/>
    <w:p>
      <w:pPr>
        <w:pStyle w:val="Heading3"/>
      </w:pPr>
      <w:r>
        <w:t xml:space="preserve">What browsers are supported?</w:t>
      </w:r>
    </w:p>
    <w:p>
      <w:pPr>
        <w:pStyle w:val="FirstParagraph"/>
      </w:pPr>
      <w:r>
        <w:t xml:space="preserve">Modern Chrome, Safari, Edge, Firefox. Internet Explorer is not supported. The platform is tested against the last 2 major versions of each browser.</w:t>
      </w:r>
    </w:p>
    <w:bookmarkEnd w:id="40"/>
    <w:bookmarkStart w:id="41" w:name="what-about-mobile-devices"/>
    <w:p>
      <w:pPr>
        <w:pStyle w:val="Heading3"/>
      </w:pPr>
      <w:r>
        <w:t xml:space="preserve">What about mobile devices?</w:t>
      </w:r>
    </w:p>
    <w:p>
      <w:pPr>
        <w:pStyle w:val="FirstParagraph"/>
      </w:pPr>
      <w:r>
        <w:t xml:space="preserve">iOS 15+ and Android 10+. Older devices may work but aren’t tested.</w:t>
      </w:r>
    </w:p>
    <w:bookmarkEnd w:id="41"/>
    <w:bookmarkStart w:id="42" w:name="does-it-integrate-with-our-cmms"/>
    <w:p>
      <w:pPr>
        <w:pStyle w:val="Heading3"/>
      </w:pPr>
      <w:r>
        <w:t xml:space="preserve">Does it integrate with our CMMS?</w:t>
      </w:r>
    </w:p>
    <w:p>
      <w:pPr>
        <w:pStyle w:val="FirstParagraph"/>
      </w:pPr>
      <w:r>
        <w:t xml:space="preserve">Not during beta. CMMS webhook integration (Maximo, UpKeep, Fiix) is on the roadmap for general availability or available as a custom integration.</w:t>
      </w:r>
    </w:p>
    <w:bookmarkEnd w:id="42"/>
    <w:bookmarkStart w:id="43" w:name="can-i-export-my-data"/>
    <w:p>
      <w:pPr>
        <w:pStyle w:val="Heading3"/>
      </w:pPr>
      <w:r>
        <w:t xml:space="preserve">Can I export my data?</w:t>
      </w:r>
    </w:p>
    <w:p>
      <w:pPr>
        <w:pStyle w:val="FirstParagraph"/>
      </w:pPr>
      <w:r>
        <w:t xml:space="preserve">Yes. Email</w:t>
      </w:r>
      <w:r>
        <w:t xml:space="preserve"> </w:t>
      </w:r>
      <w:r>
        <w:rPr>
          <w:rStyle w:val="VerbatimChar"/>
        </w:rPr>
        <w:t xml:space="preserve">beta@equipmenthub.io</w:t>
      </w:r>
      <w:r>
        <w:t xml:space="preserve"> </w:t>
      </w:r>
      <w:r>
        <w:t xml:space="preserve">and we’ll provide a one-time export of your tenant’s work orders, audit log, and procedure runs as JSON or CSV.</w:t>
      </w:r>
    </w:p>
    <w:bookmarkEnd w:id="43"/>
    <w:bookmarkStart w:id="44" w:name="whats-the-sla-during-beta"/>
    <w:p>
      <w:pPr>
        <w:pStyle w:val="Heading3"/>
      </w:pPr>
      <w:r>
        <w:t xml:space="preserve">What’s the SLA during beta?</w:t>
      </w:r>
    </w:p>
    <w:p>
      <w:pPr>
        <w:pStyle w:val="FirstParagraph"/>
      </w:pPr>
      <w:r>
        <w:t xml:space="preserve">Best-effort 99% uptime. Incidents are reported on the status page. The current platform runs in a single region; latency from outside North America may be noticeable.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till-have-questions"/>
    <w:p>
      <w:pPr>
        <w:pStyle w:val="Heading2"/>
      </w:pPr>
      <w:r>
        <w:t xml:space="preserve">Still have questions?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In-app:</w:t>
      </w:r>
      <w:r>
        <w:t xml:space="preserve"> </w:t>
      </w:r>
      <w:r>
        <w:t xml:space="preserve">Tap the speech-bubble icon (top-right of any screen)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Email:</w:t>
      </w:r>
      <w:r>
        <w:t xml:space="preserve"> </w:t>
      </w:r>
      <w:r>
        <w:rPr>
          <w:rStyle w:val="VerbatimChar"/>
        </w:rPr>
        <w:t xml:space="preserve">beta@equipmenthub.io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Weekly call:</w:t>
      </w:r>
      <w:r>
        <w:t xml:space="preserve"> </w:t>
      </w:r>
      <w:r>
        <w:t xml:space="preserve">Bring it to your customer success check-in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Equipment Hub — FAQ</dc:title>
  <dc:creator>SANTECH</dc:creator>
  <cp:keywords/>
  <dcterms:created xsi:type="dcterms:W3CDTF">2026-05-08T20:29:36Z</dcterms:created>
  <dcterms:modified xsi:type="dcterms:W3CDTF">2026-05-08T20:29:36Z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</Properties>
</file>