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Equipment Hub</w:t>
      </w:r>
    </w:p>
    <w:p>
      <w:pPr>
        <w:pStyle w:val="Subtitle"/>
      </w:pPr>
      <w:r>
        <w:t xml:space="preserve">Connected Worker Platform for Material Handling &amp; Industrial Automation</w:t>
      </w:r>
    </w:p>
    <w:p>
      <w:pPr>
        <w:pStyle w:val="Author"/>
      </w:pPr>
      <w:r>
        <w:t xml:space="preserve">SANTECH</w:t>
      </w:r>
    </w:p>
    <w:p>
      <w:pPr>
        <w:pStyle w:val="Date"/>
      </w:pPr>
      <w:r>
        <w:t xml:space="preserve">May 2026</w:t>
      </w:r>
    </w:p>
    <w:bookmarkStart w:id="12" w:name="X26b9f4dd822ef825ba00d607f9c3f3e1b0c58f7"/>
    <w:p>
      <w:pPr>
        <w:pStyle w:val="Heading1"/>
      </w:pPr>
      <w:r>
        <w:t xml:space="preserve">Scan a QR. Get the right manual, every time.</w:t>
      </w:r>
    </w:p>
    <w:p>
      <w:pPr>
        <w:pStyle w:val="FirstParagraph"/>
      </w:pPr>
      <w:r>
        <w:t xml:space="preserve">A Connected Worker Platform purpose-built for material handling and</w:t>
      </w:r>
      <w:r>
        <w:t xml:space="preserve"> </w:t>
      </w:r>
      <w:r>
        <w:t xml:space="preserve">industrial automation. Stick a code on every machine. Your technicians</w:t>
      </w:r>
      <w:r>
        <w:t xml:space="preserve"> </w:t>
      </w:r>
      <w:r>
        <w:t xml:space="preserve">scan, see authored content scoped to that exact serial, and resolve</w:t>
      </w:r>
      <w:r>
        <w:t xml:space="preserve"> </w:t>
      </w:r>
      <w:r>
        <w:t xml:space="preserve">issues without flipping through 700-page PDFs.</w:t>
      </w:r>
    </w:p>
    <w:p>
      <w:pPr>
        <w:pStyle w:val="BodyText"/>
      </w:pPr>
      <w:r>
        <w:rPr>
          <w:b/>
          <w:bCs/>
        </w:rPr>
        <w:t xml:space="preserve">Three things you get:</w:t>
      </w:r>
    </w:p>
    <w:p>
      <w:pPr>
        <w:pStyle w:val="Compact"/>
        <w:numPr>
          <w:ilvl w:val="0"/>
          <w:numId w:val="1001"/>
        </w:numPr>
      </w:pPr>
      <w:r>
        <w:t xml:space="preserve">No app to install — runs in any phone or tablet browser</w:t>
      </w:r>
    </w:p>
    <w:p>
      <w:pPr>
        <w:pStyle w:val="Compact"/>
        <w:numPr>
          <w:ilvl w:val="0"/>
          <w:numId w:val="1001"/>
        </w:numPr>
      </w:pPr>
      <w:r>
        <w:t xml:space="preserve">Built for the shop floor — gloved hands, bright sunlight, harsh wifi</w:t>
      </w:r>
    </w:p>
    <w:p>
      <w:pPr>
        <w:pStyle w:val="Compact"/>
        <w:numPr>
          <w:ilvl w:val="0"/>
          <w:numId w:val="1001"/>
        </w:numPr>
      </w:pPr>
      <w:r>
        <w:t xml:space="preserve">Compliance-grade audit trail on every scan, view, and procedure step</w:t>
      </w:r>
    </w:p>
    <w:p>
      <w:pPr>
        <w:pStyle w:val="CaptionedFigure"/>
      </w:pPr>
      <w:r>
        <w:drawing>
          <wp:inline>
            <wp:extent cx="2743200" cy="5943600"/>
            <wp:effectExtent b="0" l="0" r="0" t="0"/>
            <wp:docPr descr="Asset overview on the technician’s phone" title="" id="10" name="Picture"/>
            <a:graphic>
              <a:graphicData uri="http://schemas.openxmlformats.org/drawingml/2006/picture">
                <pic:pic>
                  <pic:nvPicPr>
                    <pic:cNvPr descr="example-1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Asset overview on the technician’s phone</w:t>
      </w:r>
    </w:p>
    <w:bookmarkEnd w:id="12"/>
    <w:bookmarkStart w:id="16" w:name="how-it-works"/>
    <w:p>
      <w:pPr>
        <w:pStyle w:val="Heading1"/>
      </w:pPr>
      <w:r>
        <w:t xml:space="preserve">How it works</w:t>
      </w:r>
    </w:p>
    <w:p>
      <w:pPr>
        <w:pStyle w:val="FirstParagraph"/>
      </w:pPr>
      <w:r>
        <w:t xml:space="preserve">From scan to fix in three steps. No new hardware, no new software for</w:t>
      </w:r>
      <w:r>
        <w:t xml:space="preserve"> </w:t>
      </w:r>
      <w:r>
        <w:t xml:space="preserve">your team — your existing documentation becomes a structured,</w:t>
      </w:r>
      <w:r>
        <w:t xml:space="preserve"> </w:t>
      </w:r>
      <w:r>
        <w:t xml:space="preserve">searchable, audited resource.</w:t>
      </w:r>
    </w:p>
    <w:bookmarkStart w:id="13" w:name="stick-a-qr-on-the-machine"/>
    <w:p>
      <w:pPr>
        <w:pStyle w:val="Heading2"/>
      </w:pPr>
      <w:r>
        <w:t xml:space="preserve">01 · Stick a QR on the machine</w:t>
      </w:r>
    </w:p>
    <w:p>
      <w:pPr>
        <w:pStyle w:val="FirstParagraph"/>
      </w:pPr>
      <w:r>
        <w:t xml:space="preserve">Branded QR labels printed and shipped. Place them next to nameplates,</w:t>
      </w:r>
      <w:r>
        <w:t xml:space="preserve"> </w:t>
      </w:r>
      <w:r>
        <w:t xml:space="preserve">control panels, or access doors. Each code resolves server-side —</w:t>
      </w:r>
      <w:r>
        <w:t xml:space="preserve"> </w:t>
      </w:r>
      <w:r>
        <w:t xml:space="preserve">re-targetable when equipment is replaced, revocable on theft, and</w:t>
      </w:r>
      <w:r>
        <w:t xml:space="preserve"> </w:t>
      </w:r>
      <w:r>
        <w:t xml:space="preserve">audit-logged on every scan.</w:t>
      </w:r>
    </w:p>
    <w:bookmarkEnd w:id="13"/>
    <w:bookmarkStart w:id="14" w:name="tech-scans-with-any-phone"/>
    <w:p>
      <w:pPr>
        <w:pStyle w:val="Heading2"/>
      </w:pPr>
      <w:r>
        <w:t xml:space="preserve">02 · Tech scans with any phone</w:t>
      </w:r>
    </w:p>
    <w:p>
      <w:pPr>
        <w:pStyle w:val="FirstParagraph"/>
      </w:pPr>
      <w:r>
        <w:t xml:space="preserve">Native camera, no app to install. The PWA loads instantly and resolves</w:t>
      </w:r>
      <w:r>
        <w:t xml:space="preserve"> </w:t>
      </w:r>
      <w:r>
        <w:t xml:space="preserve">to the asset’s authored content pack — model, serial, content rev,</w:t>
      </w:r>
      <w:r>
        <w:t xml:space="preserve"> </w:t>
      </w:r>
      <w:r>
        <w:t xml:space="preserve">install date, all in one screen.</w:t>
      </w:r>
    </w:p>
    <w:bookmarkEnd w:id="14"/>
    <w:bookmarkStart w:id="15" w:name="right-answer-every-time"/>
    <w:p>
      <w:pPr>
        <w:pStyle w:val="Heading2"/>
      </w:pPr>
      <w:r>
        <w:t xml:space="preserve">03 · Right answer, every time</w:t>
      </w:r>
    </w:p>
    <w:p>
      <w:pPr>
        <w:pStyle w:val="FirstParagraph"/>
      </w:pPr>
      <w:r>
        <w:t xml:space="preserve">Section-anchored manuals, parts lists with diagrams, structured</w:t>
      </w:r>
      <w:r>
        <w:t xml:space="preserve"> </w:t>
      </w:r>
      <w:r>
        <w:t xml:space="preserve">procedures, AI assistant grounded on your published content.</w:t>
      </w:r>
      <w:r>
        <w:t xml:space="preserve"> </w:t>
      </w:r>
      <w:r>
        <w:t xml:space="preserve">Safety-critical procedures quoted verbatim — never paraphrased.</w:t>
      </w:r>
    </w:p>
    <w:p>
      <w:pPr>
        <w:pStyle w:val="Block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MHI technicians spend 20–40% of their wrench</w:t>
      </w:r>
      <w:r>
        <w:t xml:space="preserve"> </w:t>
      </w:r>
      <w:r>
        <w:t xml:space="preserve">time hunting for the right manual page. Equipment Hub collapses that</w:t>
      </w:r>
      <w:r>
        <w:t xml:space="preserve"> </w:t>
      </w:r>
      <w:r>
        <w:t xml:space="preserve">to a single QR scan — and every interaction is audit-logged for</w:t>
      </w:r>
      <w:r>
        <w:t xml:space="preserve"> </w:t>
      </w:r>
      <w:r>
        <w:t xml:space="preserve">compliance, training records, and procedure evidence.</w:t>
      </w:r>
    </w:p>
    <w:bookmarkEnd w:id="15"/>
    <w:bookmarkEnd w:id="16"/>
    <w:bookmarkStart w:id="47" w:name="features"/>
    <w:p>
      <w:pPr>
        <w:pStyle w:val="Heading1"/>
      </w:pPr>
      <w:r>
        <w:t xml:space="preserve">Features</w:t>
      </w:r>
    </w:p>
    <w:bookmarkStart w:id="19" w:name="identification"/>
    <w:p>
      <w:pPr>
        <w:pStyle w:val="Heading2"/>
      </w:pPr>
      <w:r>
        <w:t xml:space="preserve">01 · Identification</w:t>
      </w:r>
    </w:p>
    <w:p>
      <w:pPr>
        <w:pStyle w:val="FirstParagraph"/>
      </w:pPr>
      <w:r>
        <w:rPr>
          <w:b/>
          <w:bCs/>
        </w:rPr>
        <w:t xml:space="preserve">One scan. The whole asset.</w:t>
      </w:r>
    </w:p>
    <w:p>
      <w:pPr>
        <w:pStyle w:val="BodyText"/>
      </w:pPr>
      <w:r>
        <w:t xml:space="preserve">Brand-aware UI shows model code, serial, content revision, customer,</w:t>
      </w:r>
      <w:r>
        <w:t xml:space="preserve"> </w:t>
      </w:r>
      <w:r>
        <w:t xml:space="preserve">install date, and any open work orders — before the tech even reads a</w:t>
      </w:r>
      <w:r>
        <w:t xml:space="preserve"> </w:t>
      </w:r>
      <w:r>
        <w:t xml:space="preserve">manual.</w:t>
      </w:r>
    </w:p>
    <w:p>
      <w:pPr>
        <w:pStyle w:val="CaptionedFigure"/>
      </w:pPr>
      <w:r>
        <w:drawing>
          <wp:inline>
            <wp:extent cx="2286000" cy="4953000"/>
            <wp:effectExtent b="0" l="0" r="0" t="0"/>
            <wp:docPr descr="Asset overview" title="" id="17" name="Picture"/>
            <a:graphic>
              <a:graphicData uri="http://schemas.openxmlformats.org/drawingml/2006/picture">
                <pic:pic>
                  <pic:nvPicPr>
                    <pic:cNvPr descr="example-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Asset overview</w:t>
      </w:r>
    </w:p>
    <w:p>
      <w:pPr>
        <w:pStyle w:val="Compact"/>
        <w:numPr>
          <w:ilvl w:val="0"/>
          <w:numId w:val="1002"/>
        </w:numPr>
      </w:pPr>
      <w:r>
        <w:t xml:space="preserve">Scoped to the exact serial — two identical machines at different</w:t>
      </w:r>
      <w:r>
        <w:t xml:space="preserve"> </w:t>
      </w:r>
      <w:r>
        <w:t xml:space="preserve">sites can have different content versions</w:t>
      </w:r>
    </w:p>
    <w:p>
      <w:pPr>
        <w:pStyle w:val="Compact"/>
        <w:numPr>
          <w:ilvl w:val="0"/>
          <w:numId w:val="1002"/>
        </w:numPr>
      </w:pPr>
      <w:r>
        <w:t xml:space="preserve">Branded per OEM with custom logos, colors, and accessibility-validated</w:t>
      </w:r>
      <w:r>
        <w:t xml:space="preserve"> </w:t>
      </w:r>
      <w:r>
        <w:t xml:space="preserve">contrast</w:t>
      </w:r>
    </w:p>
    <w:p>
      <w:pPr>
        <w:pStyle w:val="Compact"/>
        <w:numPr>
          <w:ilvl w:val="0"/>
          <w:numId w:val="1002"/>
        </w:numPr>
      </w:pPr>
      <w:r>
        <w:t xml:space="preserve">Server-side QR resolution — re-target on equipment swap, revoke on</w:t>
      </w:r>
      <w:r>
        <w:t xml:space="preserve"> </w:t>
      </w:r>
      <w:r>
        <w:t xml:space="preserve">theft</w:t>
      </w:r>
    </w:p>
    <w:bookmarkEnd w:id="19"/>
    <w:bookmarkStart w:id="23" w:name="documentation"/>
    <w:p>
      <w:pPr>
        <w:pStyle w:val="Heading2"/>
      </w:pPr>
      <w:r>
        <w:t xml:space="preserve">02 · Documentation</w:t>
      </w:r>
    </w:p>
    <w:p>
      <w:pPr>
        <w:pStyle w:val="FirstParagraph"/>
      </w:pPr>
      <w:r>
        <w:rPr>
          <w:b/>
          <w:bCs/>
        </w:rPr>
        <w:t xml:space="preserve">Sectioned by part. Anchored to the page.</w:t>
      </w:r>
    </w:p>
    <w:p>
      <w:pPr>
        <w:pStyle w:val="BodyText"/>
      </w:pPr>
      <w:r>
        <w:t xml:space="preserve">Manuals split into part-specific sections. Page ranges for PDFs, time</w:t>
      </w:r>
      <w:r>
        <w:t xml:space="preserve"> </w:t>
      </w:r>
      <w:r>
        <w:t xml:space="preserve">codes for video, text excerpts for markdown. Authored once against an</w:t>
      </w:r>
      <w:r>
        <w:t xml:space="preserve"> </w:t>
      </w:r>
      <w:r>
        <w:t xml:space="preserve">asset model.</w:t>
      </w:r>
    </w:p>
    <w:p>
      <w:pPr>
        <w:pStyle w:val="CaptionedFigure"/>
      </w:pPr>
      <w:r>
        <w:drawing>
          <wp:inline>
            <wp:extent cx="2286000" cy="4953000"/>
            <wp:effectExtent b="0" l="0" r="0" t="0"/>
            <wp:docPr descr="Sectioned documentation list" title="" id="21" name="Picture"/>
            <a:graphic>
              <a:graphicData uri="http://schemas.openxmlformats.org/drawingml/2006/picture">
                <pic:pic>
                  <pic:nvPicPr>
                    <pic:cNvPr descr="example-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Sectioned documentation list</w:t>
      </w:r>
    </w:p>
    <w:p>
      <w:pPr>
        <w:pStyle w:val="Compact"/>
        <w:numPr>
          <w:ilvl w:val="0"/>
          <w:numId w:val="1003"/>
        </w:numPr>
      </w:pPr>
      <w:r>
        <w:t xml:space="preserve">Page anchors with optional Y-crops for sub-page boundaries</w:t>
      </w:r>
    </w:p>
    <w:p>
      <w:pPr>
        <w:pStyle w:val="Compact"/>
        <w:numPr>
          <w:ilvl w:val="0"/>
          <w:numId w:val="1003"/>
        </w:numPr>
      </w:pPr>
      <w:r>
        <w:t xml:space="preserve">Automatic re-validation when an OEM publishes a manual revision</w:t>
      </w:r>
    </w:p>
    <w:p>
      <w:pPr>
        <w:pStyle w:val="Compact"/>
        <w:numPr>
          <w:ilvl w:val="0"/>
          <w:numId w:val="1003"/>
        </w:numPr>
      </w:pPr>
      <w:r>
        <w:t xml:space="preserve">Procedures author-able as structured checklists with step-by-step</w:t>
      </w:r>
      <w:r>
        <w:t xml:space="preserve"> </w:t>
      </w:r>
      <w:r>
        <w:t xml:space="preserve">evidence</w:t>
      </w:r>
    </w:p>
    <w:bookmarkEnd w:id="23"/>
    <w:bookmarkStart w:id="27" w:name="ai-assistant"/>
    <w:p>
      <w:pPr>
        <w:pStyle w:val="Heading2"/>
      </w:pPr>
      <w:r>
        <w:t xml:space="preserve">03 · AI Assistant</w:t>
      </w:r>
    </w:p>
    <w:p>
      <w:pPr>
        <w:pStyle w:val="FirstParagraph"/>
      </w:pPr>
      <w:r>
        <w:rPr>
          <w:b/>
          <w:bCs/>
        </w:rPr>
        <w:t xml:space="preserve">An AI that knows your equipment.</w:t>
      </w:r>
    </w:p>
    <w:p>
      <w:pPr>
        <w:pStyle w:val="BodyText"/>
      </w:pPr>
      <w:r>
        <w:t xml:space="preserve">Ask anything about the equipment. Answers are grounded on the published</w:t>
      </w:r>
      <w:r>
        <w:t xml:space="preserve"> </w:t>
      </w:r>
      <w:r>
        <w:t xml:space="preserve">content for that exact serial — every claim traces back to a section in</w:t>
      </w:r>
      <w:r>
        <w:t xml:space="preserve"> </w:t>
      </w:r>
      <w:r>
        <w:t xml:space="preserve">the manuals. Safety-critical procedures are quoted verbatim, never</w:t>
      </w:r>
      <w:r>
        <w:t xml:space="preserve"> </w:t>
      </w:r>
      <w:r>
        <w:t xml:space="preserve">paraphrased.</w:t>
      </w:r>
    </w:p>
    <w:p>
      <w:pPr>
        <w:pStyle w:val="CaptionedFigure"/>
      </w:pPr>
      <w:r>
        <w:drawing>
          <wp:inline>
            <wp:extent cx="2286000" cy="4953000"/>
            <wp:effectExtent b="0" l="0" r="0" t="0"/>
            <wp:docPr descr="AI assistant grounded on the asset" title="" id="25" name="Picture"/>
            <a:graphic>
              <a:graphicData uri="http://schemas.openxmlformats.org/drawingml/2006/picture">
                <pic:pic>
                  <pic:nvPicPr>
                    <pic:cNvPr descr="example-3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assistant grounded on the asset</w:t>
      </w:r>
    </w:p>
    <w:p>
      <w:pPr>
        <w:pStyle w:val="Compact"/>
        <w:numPr>
          <w:ilvl w:val="0"/>
          <w:numId w:val="1004"/>
        </w:numPr>
      </w:pPr>
      <w:r>
        <w:t xml:space="preserve">RAG retrieval over the asset’s pinned content version</w:t>
      </w:r>
    </w:p>
    <w:p>
      <w:pPr>
        <w:pStyle w:val="Compact"/>
        <w:numPr>
          <w:ilvl w:val="0"/>
          <w:numId w:val="1004"/>
        </w:numPr>
      </w:pPr>
      <w:r>
        <w:t xml:space="preserve">Refuses to summarize lockout/tagout — quotes the OEM directly</w:t>
      </w:r>
    </w:p>
    <w:p>
      <w:pPr>
        <w:pStyle w:val="Compact"/>
        <w:numPr>
          <w:ilvl w:val="0"/>
          <w:numId w:val="1004"/>
        </w:numPr>
      </w:pPr>
      <w:r>
        <w:t xml:space="preserve">Source citations on every paragraph</w:t>
      </w:r>
    </w:p>
    <w:bookmarkEnd w:id="27"/>
    <w:bookmarkStart w:id="31" w:name="procedure-viewer"/>
    <w:p>
      <w:pPr>
        <w:pStyle w:val="Heading2"/>
      </w:pPr>
      <w:r>
        <w:t xml:space="preserve">04 · Procedure Viewer</w:t>
      </w:r>
    </w:p>
    <w:p>
      <w:pPr>
        <w:pStyle w:val="FirstParagraph"/>
      </w:pPr>
      <w:r>
        <w:rPr>
          <w:b/>
          <w:bCs/>
        </w:rPr>
        <w:t xml:space="preserve">Open straight to the right page.</w:t>
      </w:r>
    </w:p>
    <w:p>
      <w:pPr>
        <w:pStyle w:val="BodyText"/>
      </w:pPr>
      <w:r>
        <w:t xml:space="preserve">PDF sections render at the exact page range with safety warnings</w:t>
      </w:r>
      <w:r>
        <w:t xml:space="preserve"> </w:t>
      </w:r>
      <w:r>
        <w:t xml:space="preserve">visually flagged. Pinch-to-zoom on phones, fullscreen on tablets.</w:t>
      </w:r>
      <w:r>
        <w:t xml:space="preserve"> </w:t>
      </w:r>
      <w:r>
        <w:t xml:space="preserve">Every view is audit-logged with timestamp, user, and content revision.</w:t>
      </w:r>
    </w:p>
    <w:p>
      <w:pPr>
        <w:pStyle w:val="CaptionedFigure"/>
      </w:pPr>
      <w:r>
        <w:drawing>
          <wp:inline>
            <wp:extent cx="2286000" cy="4953000"/>
            <wp:effectExtent b="0" l="0" r="0" t="0"/>
            <wp:docPr descr="PDF section view with safety banner" title="" id="29" name="Picture"/>
            <a:graphic>
              <a:graphicData uri="http://schemas.openxmlformats.org/drawingml/2006/picture">
                <pic:pic>
                  <pic:nvPicPr>
                    <pic:cNvPr descr="example-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section view with safety banner</w:t>
      </w:r>
    </w:p>
    <w:p>
      <w:pPr>
        <w:pStyle w:val="Compact"/>
        <w:numPr>
          <w:ilvl w:val="0"/>
          <w:numId w:val="1005"/>
        </w:numPr>
      </w:pPr>
      <w:r>
        <w:t xml:space="preserve">Native PDF rendering (pdfjs); no print-and-scan workflow</w:t>
      </w:r>
    </w:p>
    <w:p>
      <w:pPr>
        <w:pStyle w:val="Compact"/>
        <w:numPr>
          <w:ilvl w:val="0"/>
          <w:numId w:val="1005"/>
        </w:numPr>
      </w:pPr>
      <w:r>
        <w:t xml:space="preserve">Safety-critical banner forces verbatim review before override</w:t>
      </w:r>
    </w:p>
    <w:p>
      <w:pPr>
        <w:pStyle w:val="Compact"/>
        <w:numPr>
          <w:ilvl w:val="0"/>
          <w:numId w:val="1005"/>
        </w:numPr>
      </w:pPr>
      <w:r>
        <w:t xml:space="preserve">Scoped to the asset’s pinned content version — frozen for audit</w:t>
      </w:r>
    </w:p>
    <w:bookmarkEnd w:id="31"/>
    <w:bookmarkStart w:id="35" w:name="parts-catalog"/>
    <w:p>
      <w:pPr>
        <w:pStyle w:val="Heading2"/>
      </w:pPr>
      <w:r>
        <w:t xml:space="preserve">05 · Parts Catalog</w:t>
      </w:r>
    </w:p>
    <w:p>
      <w:pPr>
        <w:pStyle w:val="FirstParagraph"/>
      </w:pPr>
      <w:r>
        <w:rPr>
          <w:b/>
          <w:bCs/>
        </w:rPr>
        <w:t xml:space="preserve">Every part, every diagram, one tap.</w:t>
      </w:r>
    </w:p>
    <w:p>
      <w:pPr>
        <w:pStyle w:val="BodyText"/>
      </w:pPr>
      <w:r>
        <w:t xml:space="preserve">Searchable by part number, name, position, or cross-reference. Each</w:t>
      </w:r>
      <w:r>
        <w:t xml:space="preserve"> </w:t>
      </w:r>
      <w:r>
        <w:t xml:space="preserve">part links to its install procedure, exploded views, and OEM-branded</w:t>
      </w:r>
      <w:r>
        <w:t xml:space="preserve"> </w:t>
      </w:r>
      <w:r>
        <w:t xml:space="preserve">ordering — re-routing aftermarket parts revenue back to the OEM that</w:t>
      </w:r>
      <w:r>
        <w:t xml:space="preserve"> </w:t>
      </w:r>
      <w:r>
        <w:t xml:space="preserve">built the equipment.</w:t>
      </w:r>
    </w:p>
    <w:p>
      <w:pPr>
        <w:pStyle w:val="CaptionedFigure"/>
      </w:pPr>
      <w:r>
        <w:drawing>
          <wp:inline>
            <wp:extent cx="2286000" cy="4953000"/>
            <wp:effectExtent b="0" l="0" r="0" t="0"/>
            <wp:docPr descr="Parts list with search" title="" id="33" name="Picture"/>
            <a:graphic>
              <a:graphicData uri="http://schemas.openxmlformats.org/drawingml/2006/picture">
                <pic:pic>
                  <pic:nvPicPr>
                    <pic:cNvPr descr="example-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Parts list with search</w:t>
      </w:r>
    </w:p>
    <w:p>
      <w:pPr>
        <w:pStyle w:val="Compact"/>
        <w:numPr>
          <w:ilvl w:val="0"/>
          <w:numId w:val="1006"/>
        </w:numPr>
      </w:pPr>
      <w:r>
        <w:t xml:space="preserve">BOM hierarchy with parent-part drill-down</w:t>
      </w:r>
    </w:p>
    <w:p>
      <w:pPr>
        <w:pStyle w:val="Compact"/>
        <w:numPr>
          <w:ilvl w:val="0"/>
          <w:numId w:val="1006"/>
        </w:numPr>
      </w:pPr>
      <w:r>
        <w:t xml:space="preserve">Cross-reference search for legacy part numbers</w:t>
      </w:r>
    </w:p>
    <w:p>
      <w:pPr>
        <w:pStyle w:val="Compact"/>
        <w:numPr>
          <w:ilvl w:val="0"/>
          <w:numId w:val="1006"/>
        </w:numPr>
      </w:pPr>
      <w:r>
        <w:t xml:space="preserve">OEM-controlled ordering links — capture aftermarket leakage</w:t>
      </w:r>
    </w:p>
    <w:bookmarkEnd w:id="35"/>
    <w:bookmarkStart w:id="39" w:name="issue-reporting"/>
    <w:p>
      <w:pPr>
        <w:pStyle w:val="Heading2"/>
      </w:pPr>
      <w:r>
        <w:t xml:space="preserve">06 · Issue Reporting</w:t>
      </w:r>
    </w:p>
    <w:p>
      <w:pPr>
        <w:pStyle w:val="FirstParagraph"/>
      </w:pPr>
      <w:r>
        <w:rPr>
          <w:b/>
          <w:bCs/>
        </w:rPr>
        <w:t xml:space="preserve">Report from the floor in 30 seconds.</w:t>
      </w:r>
    </w:p>
    <w:p>
      <w:pPr>
        <w:pStyle w:val="BodyText"/>
      </w:pPr>
      <w:r>
        <w:t xml:space="preserve">Severity, photos, attachments — issues route to maintenance with the</w:t>
      </w:r>
      <w:r>
        <w:t xml:space="preserve"> </w:t>
      </w:r>
      <w:r>
        <w:t xml:space="preserve">asset, scan history, and content rev already attached. Phase 2 syncs</w:t>
      </w:r>
      <w:r>
        <w:t xml:space="preserve"> </w:t>
      </w:r>
      <w:r>
        <w:t xml:space="preserve">work orders to your CMMS via webhook (Maximo, UpKeep, Fiix) so your</w:t>
      </w:r>
      <w:r>
        <w:t xml:space="preserve"> </w:t>
      </w:r>
      <w:r>
        <w:t xml:space="preserve">existing system stays the source of truth.</w:t>
      </w:r>
    </w:p>
    <w:p>
      <w:pPr>
        <w:pStyle w:val="CaptionedFigure"/>
      </w:pPr>
      <w:r>
        <w:drawing>
          <wp:inline>
            <wp:extent cx="2286000" cy="4953000"/>
            <wp:effectExtent b="0" l="0" r="0" t="0"/>
            <wp:docPr descr="Work order creation form" title="" id="37" name="Picture"/>
            <a:graphic>
              <a:graphicData uri="http://schemas.openxmlformats.org/drawingml/2006/picture">
                <pic:pic>
                  <pic:nvPicPr>
                    <pic:cNvPr descr="example-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order creation form</w:t>
      </w:r>
    </w:p>
    <w:p>
      <w:pPr>
        <w:pStyle w:val="Compact"/>
        <w:numPr>
          <w:ilvl w:val="0"/>
          <w:numId w:val="1007"/>
        </w:numPr>
      </w:pPr>
      <w:r>
        <w:t xml:space="preserve">Native camera capture with auto-attached EXIF metadata</w:t>
      </w:r>
    </w:p>
    <w:p>
      <w:pPr>
        <w:pStyle w:val="Compact"/>
        <w:numPr>
          <w:ilvl w:val="0"/>
          <w:numId w:val="1007"/>
        </w:numPr>
      </w:pPr>
      <w:r>
        <w:t xml:space="preserve">Five severity levels with color-coded urgency</w:t>
      </w:r>
    </w:p>
    <w:p>
      <w:pPr>
        <w:pStyle w:val="Compact"/>
        <w:numPr>
          <w:ilvl w:val="0"/>
          <w:numId w:val="1007"/>
        </w:numPr>
      </w:pPr>
      <w:r>
        <w:t xml:space="preserve">CMMS bidirectional sync on roadmap</w:t>
      </w:r>
    </w:p>
    <w:bookmarkEnd w:id="39"/>
    <w:bookmarkStart w:id="46" w:name="field-authoring"/>
    <w:p>
      <w:pPr>
        <w:pStyle w:val="Heading2"/>
      </w:pPr>
      <w:r>
        <w:t xml:space="preserve">07 · Field Authoring</w:t>
      </w:r>
    </w:p>
    <w:p>
      <w:pPr>
        <w:pStyle w:val="FirstParagraph"/>
      </w:pPr>
      <w:r>
        <w:rPr>
          <w:b/>
          <w:bCs/>
        </w:rPr>
        <w:t xml:space="preserve">Capture tribal knowledge in real time.</w:t>
      </w:r>
    </w:p>
    <w:p>
      <w:pPr>
        <w:pStyle w:val="BodyText"/>
      </w:pPr>
      <w:r>
        <w:t xml:space="preserve">Techs document procedures right at the equipment. Voice-to-title,</w:t>
      </w:r>
      <w:r>
        <w:t xml:space="preserve"> </w:t>
      </w:r>
      <w:r>
        <w:t xml:space="preserve">step-by-step photo and video evidence, time-stamped on every action.</w:t>
      </w:r>
      <w:r>
        <w:t xml:space="preserve"> </w:t>
      </w:r>
      <w:r>
        <w:t xml:space="preserve">Saved as</w:t>
      </w:r>
      <w:r>
        <w:t xml:space="preserve"> </w:t>
      </w:r>
      <w:r>
        <w:rPr>
          <w:i/>
          <w:iCs/>
        </w:rPr>
        <w:t xml:space="preserve">unverified</w:t>
      </w:r>
      <w:r>
        <w:t xml:space="preserve"> </w:t>
      </w:r>
      <w:r>
        <w:t xml:space="preserve">drafts; an admin promotes them to published</w:t>
      </w:r>
      <w:r>
        <w:t xml:space="preserve"> </w:t>
      </w:r>
      <w:r>
        <w:t xml:space="preserve">content. Turn institutional knowledge into authored content without a</w:t>
      </w:r>
      <w:r>
        <w:t xml:space="preserve"> </w:t>
      </w:r>
      <w:r>
        <w:t xml:space="preserve">paper checklist in sight.</w:t>
      </w:r>
    </w:p>
    <w:p>
      <w:pPr>
        <w:pStyle w:val="BodyText"/>
      </w:pPr>
      <w:r>
        <w:drawing>
          <wp:inline>
            <wp:extent cx="2011680" cy="4358640"/>
            <wp:effectExtent b="0" l="0" r="0" t="0"/>
            <wp:docPr descr="Procedure documentation start" title="" id="41" name="Picture"/>
            <a:graphic>
              <a:graphicData uri="http://schemas.openxmlformats.org/drawingml/2006/picture">
                <pic:pic>
                  <pic:nvPicPr>
                    <pic:cNvPr descr="example-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5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011680" cy="4358640"/>
            <wp:effectExtent b="0" l="0" r="0" t="0"/>
            <wp:docPr descr="Procedure step capture" title="" id="44" name="Picture"/>
            <a:graphic>
              <a:graphicData uri="http://schemas.openxmlformats.org/drawingml/2006/picture">
                <pic:pic>
                  <pic:nvPicPr>
                    <pic:cNvPr descr="example-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5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Voice input for step titles and notes — gloved hands welcome</w:t>
      </w:r>
    </w:p>
    <w:p>
      <w:pPr>
        <w:pStyle w:val="Compact"/>
        <w:numPr>
          <w:ilvl w:val="0"/>
          <w:numId w:val="1008"/>
        </w:numPr>
      </w:pPr>
      <w:r>
        <w:t xml:space="preserve">Auto-saved drafts survive battery death, app crash, lost signal</w:t>
      </w:r>
    </w:p>
    <w:p>
      <w:pPr>
        <w:pStyle w:val="Compact"/>
        <w:numPr>
          <w:ilvl w:val="0"/>
          <w:numId w:val="1008"/>
        </w:numPr>
      </w:pPr>
      <w:r>
        <w:t xml:space="preserve">Admin promotion workflow keeps the field log honest</w:t>
      </w:r>
    </w:p>
    <w:p>
      <w:pPr>
        <w:pStyle w:val="Compact"/>
        <w:numPr>
          <w:ilvl w:val="0"/>
          <w:numId w:val="1008"/>
        </w:numPr>
      </w:pPr>
      <w:r>
        <w:t xml:space="preserve">Every step gets timestamped photo/video evidence</w:t>
      </w:r>
    </w:p>
    <w:p>
      <w:pPr>
        <w:pStyle w:val="Compact"/>
        <w:numPr>
          <w:ilvl w:val="0"/>
          <w:numId w:val="1008"/>
        </w:numPr>
      </w:pPr>
      <w:r>
        <w:t xml:space="preserve">Procedures become reusable training material on promotion</w:t>
      </w:r>
    </w:p>
    <w:bookmarkEnd w:id="46"/>
    <w:bookmarkEnd w:id="47"/>
    <w:bookmarkStart w:id="48" w:name="three-sided-platform"/>
    <w:p>
      <w:pPr>
        <w:pStyle w:val="Heading1"/>
      </w:pPr>
      <w:r>
        <w:t xml:space="preserve">Three-sided platform</w:t>
      </w:r>
    </w:p>
    <w:p>
      <w:pPr>
        <w:pStyle w:val="FirstParagraph"/>
      </w:pPr>
      <w:r>
        <w:rPr>
          <w:b/>
          <w:bCs/>
        </w:rPr>
        <w:t xml:space="preserve">Same QR. Three buyers. Different value.</w:t>
      </w:r>
    </w:p>
    <w:p>
      <w:pPr>
        <w:pStyle w:val="BodyText"/>
      </w:pPr>
      <w:r>
        <w:t xml:space="preserve">OEMs, integrators, and end-customers each pay for different value from</w:t>
      </w:r>
      <w:r>
        <w:t xml:space="preserve"> </w:t>
      </w:r>
      <w:r>
        <w:t xml:space="preserve">the same physical asset. The QR sticker outlives any single contract —</w:t>
      </w:r>
      <w:r>
        <w:t xml:space="preserve"> </w:t>
      </w:r>
      <w:r>
        <w:t xml:space="preserve">revenue compounds across the equipment’s full 20-year service life.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3126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What they buy</w:t>
            </w:r>
          </w:p>
        </w:tc>
        <w:tc>
          <w:tcPr/>
          <w:p>
            <w:pPr>
              <w:pStyle w:val="Compact"/>
            </w:pPr>
            <w:r>
              <w:t xml:space="preserve">Starting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</w:t>
            </w:r>
          </w:p>
        </w:tc>
        <w:tc>
          <w:tcPr/>
          <w:p>
            <w:pPr>
              <w:pStyle w:val="Compact"/>
            </w:pPr>
            <w:r>
              <w:t xml:space="preserve">Branded content distribution + aftermarket parts revenue capture</w:t>
            </w:r>
          </w:p>
        </w:tc>
        <w:tc>
          <w:tcPr/>
          <w:p>
            <w:pPr>
              <w:pStyle w:val="Compact"/>
            </w:pPr>
            <w:r>
              <w:t xml:space="preserve">$30k / 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Integrator</w:t>
            </w:r>
          </w:p>
        </w:tc>
        <w:tc>
          <w:tcPr/>
          <w:p>
            <w:pPr>
              <w:pStyle w:val="Compact"/>
            </w:pPr>
            <w:r>
              <w:t xml:space="preserve">Service-margin protection across active project portfolio</w:t>
            </w:r>
          </w:p>
        </w:tc>
        <w:tc>
          <w:tcPr/>
          <w:p>
            <w:pPr>
              <w:pStyle w:val="Compact"/>
            </w:pPr>
            <w:r>
              <w:t xml:space="preserve">$42k / 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End-Customer</w:t>
            </w:r>
          </w:p>
        </w:tc>
        <w:tc>
          <w:tcPr/>
          <w:p>
            <w:pPr>
              <w:pStyle w:val="Compact"/>
            </w:pPr>
            <w:r>
              <w:t xml:space="preserve">Unified facility documentation + compliance audit trail</w:t>
            </w:r>
          </w:p>
        </w:tc>
        <w:tc>
          <w:tcPr/>
          <w:p>
            <w:pPr>
              <w:pStyle w:val="Compact"/>
            </w:pPr>
            <w:r>
              <w:t xml:space="preserve">$80k / yr per site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“The whole point is to make the QR sticker on the equipment outlive</w:t>
      </w:r>
      <w:r>
        <w:rPr>
          <w:i/>
          <w:iCs/>
        </w:rPr>
        <w:t xml:space="preserve"> </w:t>
      </w:r>
      <w:r>
        <w:rPr>
          <w:i/>
          <w:iCs/>
        </w:rPr>
        <w:t xml:space="preserve">any single contract that put it there.”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SANTECH</w:t>
      </w:r>
      <w:r>
        <w:t xml:space="preserve">, Documentation services since 2003</w:t>
      </w:r>
    </w:p>
    <w:bookmarkEnd w:id="48"/>
    <w:bookmarkStart w:id="52" w:name="beta-program"/>
    <w:p>
      <w:pPr>
        <w:pStyle w:val="Heading1"/>
      </w:pPr>
      <w:r>
        <w:t xml:space="preserve">Beta Program</w:t>
      </w:r>
    </w:p>
    <w:p>
      <w:pPr>
        <w:pStyle w:val="FirstParagraph"/>
      </w:pPr>
      <w:r>
        <w:rPr>
          <w:b/>
          <w:bCs/>
        </w:rPr>
        <w:t xml:space="preserve">Five companies. Ninety days. $0 to participate.</w:t>
      </w:r>
    </w:p>
    <w:p>
      <w:pPr>
        <w:pStyle w:val="BodyText"/>
      </w:pPr>
      <w:r>
        <w:t xml:space="preserve">We’re selecting five MHI integrators and OEMs for a structured 90-day</w:t>
      </w:r>
      <w:r>
        <w:t xml:space="preserve"> </w:t>
      </w:r>
      <w:r>
        <w:t xml:space="preserve">beta. SANTECH authors your content, ships branded QR labels, runs</w:t>
      </w:r>
      <w:r>
        <w:t xml:space="preserve"> </w:t>
      </w:r>
      <w:r>
        <w:t xml:space="preserve">weekly check-ins, and gives you founding-member pricing at day 90.</w:t>
      </w:r>
    </w:p>
    <w:p>
      <w:pPr>
        <w:pStyle w:val="BodyText"/>
      </w:pPr>
      <w:r>
        <w:rPr>
          <w:b/>
          <w:bCs/>
        </w:rPr>
        <w:t xml:space="preserve">Estimated value of included services: ~$25,000.</w:t>
      </w:r>
    </w:p>
    <w:bookmarkStart w:id="49" w:name="whats-included"/>
    <w:p>
      <w:pPr>
        <w:pStyle w:val="Heading2"/>
      </w:pPr>
      <w:r>
        <w:t xml:space="preserve">What’s included</w:t>
      </w:r>
    </w:p>
    <w:p>
      <w:pPr>
        <w:pStyle w:val="Compact"/>
        <w:numPr>
          <w:ilvl w:val="0"/>
          <w:numId w:val="1009"/>
        </w:numPr>
      </w:pPr>
      <w:r>
        <w:t xml:space="preserve">Tenant setup and configuration with custom branding</w:t>
      </w:r>
    </w:p>
    <w:p>
      <w:pPr>
        <w:pStyle w:val="Compact"/>
        <w:numPr>
          <w:ilvl w:val="0"/>
          <w:numId w:val="1009"/>
        </w:numPr>
      </w:pPr>
      <w:r>
        <w:t xml:space="preserve">Content authoring of one major equipment line by SANTECH</w:t>
      </w:r>
    </w:p>
    <w:p>
      <w:pPr>
        <w:pStyle w:val="Compact"/>
        <w:numPr>
          <w:ilvl w:val="0"/>
          <w:numId w:val="1009"/>
        </w:numPr>
      </w:pPr>
      <w:r>
        <w:t xml:space="preserve">Up to 200 branded QR labels printed and shipped</w:t>
      </w:r>
    </w:p>
    <w:p>
      <w:pPr>
        <w:pStyle w:val="Compact"/>
        <w:numPr>
          <w:ilvl w:val="0"/>
          <w:numId w:val="1009"/>
        </w:numPr>
      </w:pPr>
      <w:r>
        <w:t xml:space="preserve">AI chat with 5,000 included messages per month</w:t>
      </w:r>
    </w:p>
    <w:p>
      <w:pPr>
        <w:pStyle w:val="Compact"/>
        <w:numPr>
          <w:ilvl w:val="0"/>
          <w:numId w:val="1009"/>
        </w:numPr>
      </w:pPr>
      <w:r>
        <w:t xml:space="preserve">Dedicated customer success contact + weekly check-ins</w:t>
      </w:r>
    </w:p>
    <w:p>
      <w:pPr>
        <w:pStyle w:val="Compact"/>
        <w:numPr>
          <w:ilvl w:val="0"/>
          <w:numId w:val="1009"/>
        </w:numPr>
      </w:pPr>
      <w:r>
        <w:t xml:space="preserve">2-hour onboarding session for technicians</w:t>
      </w:r>
    </w:p>
    <w:bookmarkEnd w:id="49"/>
    <w:bookmarkStart w:id="50" w:name="pricing-tiers"/>
    <w:p>
      <w:pPr>
        <w:pStyle w:val="Heading2"/>
      </w:pPr>
      <w:r>
        <w:t xml:space="preserve">Pricing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Integrator</w:t>
            </w:r>
          </w:p>
        </w:tc>
        <w:tc>
          <w:tcPr/>
          <w:p>
            <w:pPr>
              <w:pStyle w:val="Compact"/>
            </w:pPr>
            <w:r>
              <w:t xml:space="preserve">$42 – 120k / 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</w:t>
            </w:r>
          </w:p>
        </w:tc>
        <w:tc>
          <w:tcPr/>
          <w:p>
            <w:pPr>
              <w:pStyle w:val="Compact"/>
            </w:pPr>
            <w:r>
              <w:t xml:space="preserve">$30 – 250k / 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End-Customer</w:t>
            </w:r>
          </w:p>
        </w:tc>
        <w:tc>
          <w:tcPr/>
          <w:p>
            <w:pPr>
              <w:pStyle w:val="Compact"/>
            </w:pPr>
            <w:r>
              <w:t xml:space="preserve">$80 – 150k / yr per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Founding member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off list, locked 24 months</w:t>
            </w:r>
          </w:p>
        </w:tc>
      </w:tr>
    </w:tbl>
    <w:bookmarkEnd w:id="50"/>
    <w:bookmarkStart w:id="51" w:name="founding-member-terms"/>
    <w:p>
      <w:pPr>
        <w:pStyle w:val="Heading2"/>
      </w:pPr>
      <w:r>
        <w:t xml:space="preserve">Founding-member terms</w:t>
      </w:r>
    </w:p>
    <w:p>
      <w:pPr>
        <w:pStyle w:val="FirstParagraph"/>
      </w:pPr>
      <w:r>
        <w:t xml:space="preserve">If you convert at day 90, you lock 50% off list pricing for 24 months.</w:t>
      </w:r>
      <w:r>
        <w:t xml:space="preserve"> </w:t>
      </w:r>
      <w:r>
        <w:t xml:space="preserve">Tenant continues seamlessly with no data loss, no QR re-stickering, no</w:t>
      </w:r>
      <w:r>
        <w:t xml:space="preserve"> </w:t>
      </w:r>
      <w:r>
        <w:t xml:space="preserve">retraining. Authoring services available at standard rates for</w:t>
      </w:r>
      <w:r>
        <w:t xml:space="preserve"> </w:t>
      </w:r>
      <w:r>
        <w:t xml:space="preserve">expansion beyond beta scope.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Equipment Hub · Built by SANTECH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Hub</dc:title>
  <dc:creator>SANTECH</dc:creator>
  <cp:keywords/>
  <dcterms:created xsi:type="dcterms:W3CDTF">2026-05-08T23:41:11Z</dcterms:created>
  <dcterms:modified xsi:type="dcterms:W3CDTF">2026-05-08T23:41:11Z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Connected Worker Platform for Material Handling &amp; Industrial Automation</vt:lpwstr>
  </property>
</Properties>
</file>