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 Santhiya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santhiya.r.ad.2022@snsce.ac.in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Poppins" w:cs="Poppins" w:eastAsia="Poppins" w:hAnsi="Poppins"/>
          <w:b w:val="0"/>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Summarize and analyze research on innovative teaching methods in higher education.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Concepts, innovative technologies, learning approaches and trend topics in education 4.0: A scoping literature review</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 Prompt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a summary of the research paper focusing on advancements on innovative teaching in higher education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scoping literature review delves into the multi-faceted domain of Education 4.0, characterized by the convergence of technological advancements and evolving pedagogical strategies. Key findings highlight the shift towards a more personalized, technology-enhanced learning environment where students engage with content through interactive and immersive experiences. Technologies like AI and VR are found to be pivotal in transforming traditional learning models, enabling more adaptive and engaging educational experiences.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Iteration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Refine the summary to include key methodologies used in the research.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review employs a scoping methodology to systematically gather and analyze literature from diverse sources, including peer-reviewed journals, conference proceedings, and industry reports. It involves mapping the existing research landscape, identifying gaps, and synthesizing findings to provide a holistic view of Education 4.0.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Iteration 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Further refine the summary to include the main findings and any proposed future directions for renewable energy technology advancements.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reviews advancements advanced technologies such as artificial intelligence (AI), virtual reality (VR), augmented reality (AR), and blockchain are revolutionizing higher education. AI enhances personalized learning through adaptive learning platforms and intelligent tutoring systems, while VR and AR offer immersive learning experiences that simulate real-world scenarios. Blockchain technology is being explored for secure credentialing and transparent academic record-keeping.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Prompt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Combine all elements from previous iterations to produce a comprehensive summary.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reviews advancements in education 4.0 promotes pedagogical models that prioritize student agency and personalized learning paths. Flipped classrooms and competency-based education are gaining traction, allowing students to progress at their own pace and engage in more interactive and hands-on learning experiences. These approaches support deeper learning and better alignment with real-world skills.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Insights and Applications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3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paper provides several key insights into the advancements and future prospects of higher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Here's an in-depth look at innovative technology.AI can tailor learning experiences based on individual student data, adapting content and support to each learner's needs. AI tools automate administrative tasks and grading, freeing educators to focus on teaching. VR offers immersive learning experiences that can simulate real-world environments, while AR enhances physical spaces with digital overlays. Both technologies increase student engagement through interactive and experiential learning. Blockchain provides a secure method for verifying and storing academic credentials and achievements. Enhances the transparency of academic records and credentialing processes. Learning analytics provide actionable insights into student performance, enabling more informed instructional decisions. Helps identify at-risk students and areas where interventions are needed.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3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15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Platforms like DreamBox or Knewton adjust the learning path in real-time based on student performance. Virtual tutors like Squirrel AI provide personalized assistance and feedback to students. Platforms like Labster provide virtual science labs for hands-on experimentation without physical constraints. Tools like Google Expeditions allow students to explore historical sites or anatomical structures via 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Blockchain platforms like MIT's Digital Diploma store and verify academic credentials securely. Platforms like ODEM use blockchain to create a decentralized marketplace for educational resources and services. Tools like Blackboard Analytics and Canvas Insights offer visualizations of student performance metrics. Systems that use data to alert educators about students who may need additional support. Platforms like Kahoot! and Duolingo use game mechanics to teach various subjects. Games like SimCity or Civilization used for teaching concepts in economics, history, or strategic 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Tools like Google Workspace enable real-time collaboration. Cloud services offer on-demand access to educational tools and storage. IoT devices manage environmental controls and educational tools. Track and analyze student health and engagement.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3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Effectiveness: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improvements in student performance and engagement.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ease of integration into existing systems and user experience for both students and educators.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Bias and Fairness: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AI systems for potential biases in recommendations and decisions.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how well VR/AR improves understanding and retention of complex concepts.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the ease of use and availability of required hardware.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the financial investment needed for VR/AR equipment and content development.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Scalability: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the ability of blockchain solutions to handle large volumes of transactions and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how easily blockchain technology integrates with existing educational systems.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Regulatory Compliance: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Ensure that blockchain applications comply with educational standards and data protection regulations.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the precision of predictive models in identifying at-risk students and predicting outcomes.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how well insights can be translated into effective interventions.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how data privacy is maintained and ensure compliance with regulations such as GDPR.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changes in student engagement and motivation levels.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the impact of gamified learning on academic performance and knowledge retention.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the effectiveness of game design in achieving educational goals.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how well IoT devices integrate with existing educational infrastructure.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the security of data collected by IoT devices and ensure compliance with privacy standards.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the effectiveness of IoT devices in improving learning outcomes and operational efficiency.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Measure reliability and speed of cloud services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Assess cost-effectiveness compared to traditional infrastructure.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Experience: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Evaluate ease of use for students and educators.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technologies are reshaping higher education by enhancing learning experiences, improving administrative efficiency, and fostering new methods of engagement and personalization. Evaluating these technologies involves assessing their effectiveness, integration challenges, and overall impact on educational outcomes.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holds promise for highly personalized and efficient education but requires careful implementation to avoid reinforcing existing inequalities and ensure equitable access for all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holds promise for highly personalized and efficient education but requires careful implementation to avoid reinforcing existing inequalities and ensure equitable access for all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Blockchain’s potential for secure credentialing and transparency is significant, but widespread adoption will depend on overcoming technical and regulatory 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analytics can greatly enhance educational outcomes by providing actionable insights, but maintaining data privacy and ensuring the responsible use of data are essential.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Gamification can enhance motivation and engagement but requires thoughtful design to ensure that game elements align with educational objectives and do not overshadow learning content.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IoT can significantly enhance learning environments, but it requires careful attention to data security and integration challenges. Ensuring that IoT solutions are effectively implemented and secured is critical. Cloud computing supports flexible and collaborative learning environments, but institutions must consider costs and ensure reliable service to maximize benefits.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6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Poppin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2590291124000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