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24"/>
          <w:szCs w:val="24"/>
        </w:rPr>
        <w:t xml:space="preserve">Emotion Detection &amp; Learning Support Engine</w:t>
      </w:r>
    </w:p>
    <w:p>
      <w:pPr>
        <w:spacing w:after="400"/>
      </w:pPr>
    </w:p>
    <w:p>
      <w:pPr>
        <w:jc w:val="center"/>
      </w:pPr>
      <w:r>
        <w:rPr>
          <w:b/>
          <w:bCs/>
          <w:sz w:val="44"/>
          <w:szCs w:val="44"/>
        </w:rPr>
        <w:t xml:space="preserve">Project Design Phase</w:t>
      </w:r>
    </w:p>
    <w:p>
      <w:pPr>
        <w:spacing w:after="600" w:before="200"/>
        <w:jc w:val="center"/>
      </w:pPr>
      <w:r>
        <w:rPr>
          <w:i/>
          <w:iCs/>
          <w:color w:val="555555"/>
          <w:sz w:val="26"/>
          <w:szCs w:val="26"/>
        </w:rPr>
        <w:t xml:space="preserve">Problem-solution mapping, proposed solution, solution architecture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Team: </w:t>
      </w:r>
      <w:r>
        <w:rPr>
          <w:sz w:val="22"/>
          <w:szCs w:val="22"/>
        </w:rPr>
        <w:t xml:space="preserve">Medidhi V Naga Sri Surya Satya Santhoshi, V. Abhinaya Santhoshi, R. Greeshma, N. Soniya, U. Manju Sree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May - July 2026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3 Months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Problem – Solution Mapping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7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Proposed Solution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Learner distress goes unnoticed in text-based interactions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classify emotion from learner text in real time</w:t>
            </w:r>
          </w:p>
        </w:tc>
      </w:tr>
      <w:tr>
        <w:tc>
          <w:tcPr>
            <w:tcW w:type="dxa" w:w="47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personalized response to how a learner feels</w:t>
            </w:r>
          </w:p>
        </w:tc>
        <w:tc>
          <w:tcPr>
            <w:tcW w:type="dxa" w:w="47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each detected emotion to a tailored learning-support message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visibility into emotional trends across sessions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every prediction and visualize trends on a Plotly dashboard</w:t>
            </w:r>
          </w:p>
        </w:tc>
      </w:tr>
      <w:tr>
        <w:tc>
          <w:tcPr>
            <w:tcW w:type="dxa" w:w="47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sentiment tools are too coarse (positive/negative only)</w:t>
            </w:r>
          </w:p>
        </w:tc>
        <w:tc>
          <w:tcPr>
            <w:tcW w:type="dxa" w:w="47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 6-class BiLSTM classifier for finer-grained emotion detection</w:t>
            </w:r>
          </w:p>
        </w:tc>
      </w:tr>
    </w:tbl>
    <w:p>
      <w:pPr>
        <w:pStyle w:val="Heading1"/>
        <w:spacing w:after="150" w:before="300"/>
      </w:pPr>
      <w:r>
        <w:t xml:space="preserve">2. Proposed Solution</w:t>
      </w:r>
    </w:p>
    <w:p>
      <w:pPr>
        <w:spacing w:after="120"/>
      </w:pPr>
      <w:r>
        <w:t xml:space="preserve">The Emotion Detection &amp; Learning Support Engine is a Streamlit web application backed by a BiLSTM (Bidirectional Long Short-Term Memory) deep learning model. The learner enters free text; the system tokenizes and pads the input, runs it through the trained BiLSTM model, decodes the predicted class back to an emotion label, and returns a supportive, emotion-specific learning recommendation. Every prediction is appended to a CSV log, which feeds a Plotly-based analytics dashboard showing emotion distribution over time.</w:t>
      </w:r>
    </w:p>
    <w:p>
      <w:pPr>
        <w:spacing w:after="120"/>
      </w:pPr>
      <w:r>
        <w:t xml:space="preserve">A Bidirectional LSTM was chosen over a standard LSTM because it reads the input sequence in both forward and backward directions, capturing context from both sides of a word — important for short, informal learner text where sentiment cues can appear anywhere in the sentence.</w:t>
      </w:r>
    </w:p>
    <w:p>
      <w:pPr>
        <w:pStyle w:val="Heading1"/>
        <w:spacing w:after="150" w:before="300"/>
      </w:pPr>
      <w:r>
        <w:t xml:space="preserve">3. Solution Architecture</w:t>
      </w:r>
    </w:p>
    <w:p>
      <w:pPr>
        <w:pStyle w:val="Heading2"/>
        <w:spacing w:after="120" w:before="240"/>
      </w:pPr>
      <w:r>
        <w:t xml:space="preserve">3.1 Component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00"/>
      </w:tblGrid>
      <w:tr>
        <w:trPr>
          <w:tblHeader/>
        </w:trPr>
        <w:tc>
          <w:tcPr>
            <w:tcW w:type="dxa" w:w="33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UI (app.py)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Collects learner text, displays prediction and guidance</w:t>
            </w:r>
          </w:p>
        </w:tc>
      </w:tr>
      <w:tr>
        <w:tc>
          <w:tcPr>
            <w:tcW w:type="dxa" w:w="33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Tokenizer (tokenizer.pkl)</w:t>
            </w:r>
          </w:p>
        </w:tc>
        <w:tc>
          <w:tcPr>
            <w:tcW w:type="dxa" w:w="61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Converts raw text into integer sequences matching training vocabulary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BiLSTM Model (bilstm_model.h5)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classifier — outputs probability distribution over 6 emotions</w:t>
            </w:r>
          </w:p>
        </w:tc>
      </w:tr>
      <w:tr>
        <w:tc>
          <w:tcPr>
            <w:tcW w:type="dxa" w:w="33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 Encoder (label_encoder.pkl)</w:t>
            </w:r>
          </w:p>
        </w:tc>
        <w:tc>
          <w:tcPr>
            <w:tcW w:type="dxa" w:w="61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Converts model output index back to human-readable emotion label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Guidance Engine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mapping from emotion label to a learning-support message</w:t>
            </w:r>
          </w:p>
        </w:tc>
      </w:tr>
      <w:tr>
        <w:tc>
          <w:tcPr>
            <w:tcW w:type="dxa" w:w="33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Logger (emotion_logs.csv)</w:t>
            </w:r>
          </w:p>
        </w:tc>
        <w:tc>
          <w:tcPr>
            <w:tcW w:type="dxa" w:w="61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Persists timestamp, input text, and predicted emotion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Plotly charts summarizing emotion_logs.csv</w:t>
            </w:r>
          </w:p>
        </w:tc>
      </w:tr>
    </w:tbl>
    <w:p>
      <w:pPr>
        <w:pStyle w:val="Heading2"/>
        <w:spacing w:after="120" w:before="240"/>
      </w:pPr>
      <w:r>
        <w:t xml:space="preserve">3.2 Model Architecture (BiLSTM)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Layer — receives padded token sequences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Embedding Layer — maps token IDs to dense word vectors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Bidirectional LSTM Layer(s) — captures forward and backward context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Dense Layer(s) — fully connected layers for feature combination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Layer — Softmax activation over 6 emotion classes</w:t>
      </w:r>
    </w:p>
    <w:p>
      <w:pPr>
        <w:pStyle w:val="Heading2"/>
        <w:spacing w:after="120" w:before="240"/>
      </w:pPr>
      <w:r>
        <w:t xml:space="preserve">3.3 Deployment View</w:t>
      </w:r>
    </w:p>
    <w:p>
      <w:pPr>
        <w:spacing w:after="120"/>
      </w:pPr>
      <w:r>
        <w:t xml:space="preserve">Current deployment is local/Colab-based, using a Streamlit front end. The architecture is designed to be portable to Streamlit Cloud without code changes, since all model artifacts (model, tokenizer, encoder) are serialized and loaded at runtime.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2026-07-18T05:37:59.697Z</dcterms:created>
  <dcterms:modified xsi:type="dcterms:W3CDTF">2026-07-18T05:37:59.697Z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