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1F4E5F"/>
          <w:sz w:val="24"/>
          <w:szCs w:val="24"/>
        </w:rPr>
        <w:t xml:space="preserve">Emotion Detection &amp; Learning Support Engine</w:t>
      </w:r>
    </w:p>
    <w:p>
      <w:pPr>
        <w:spacing w:after="400"/>
      </w:pPr>
    </w:p>
    <w:p>
      <w:pPr>
        <w:jc w:val="center"/>
      </w:pPr>
      <w:r>
        <w:rPr>
          <w:b/>
          <w:bCs/>
          <w:sz w:val="44"/>
          <w:szCs w:val="44"/>
        </w:rPr>
        <w:t xml:space="preserve">Project Documentation</w:t>
      </w:r>
    </w:p>
    <w:p>
      <w:pPr>
        <w:spacing w:after="600" w:before="200"/>
        <w:jc w:val="center"/>
      </w:pPr>
      <w:r>
        <w:rPr>
          <w:i/>
          <w:iCs/>
          <w:color w:val="555555"/>
          <w:sz w:val="26"/>
          <w:szCs w:val="26"/>
        </w:rPr>
        <w:t xml:space="preserve">Functional Specification Document &amp; Final Report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Team: </w:t>
      </w:r>
      <w:r>
        <w:rPr>
          <w:sz w:val="22"/>
          <w:szCs w:val="22"/>
        </w:rPr>
        <w:t xml:space="preserve">Medidhi V Naga Sri Surya Satya Santhoshi, V. Abhinaya Santhoshi, R. Greeshma, N. Soniya, U. Manju Sree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Date: </w:t>
      </w:r>
      <w:r>
        <w:rPr>
          <w:sz w:val="22"/>
          <w:szCs w:val="22"/>
        </w:rPr>
        <w:t xml:space="preserve">May - July 2026</w:t>
      </w:r>
    </w:p>
    <w:p>
      <w:r>
        <w:br w:type="page"/>
      </w:r>
    </w:p>
    <w:p>
      <w:pPr>
        <w:pStyle w:val="Heading1"/>
        <w:spacing w:after="150" w:before="300"/>
      </w:pPr>
      <w:r>
        <w:t xml:space="preserve">Part A — Functional Specification Document (FSD)</w:t>
      </w:r>
    </w:p>
    <w:p>
      <w:pPr>
        <w:pStyle w:val="Heading2"/>
        <w:spacing w:after="120" w:before="240"/>
      </w:pPr>
      <w:r>
        <w:t xml:space="preserve">A.1 Purpose</w:t>
      </w:r>
    </w:p>
    <w:p>
      <w:pPr>
        <w:spacing w:after="120"/>
      </w:pPr>
      <w:r>
        <w:t xml:space="preserve">This document specifies the functional behavior of the Emotion Detection &amp; Learning Support Engine for developers, testers, and reviewers.</w:t>
      </w:r>
    </w:p>
    <w:p>
      <w:pPr>
        <w:pStyle w:val="Heading2"/>
        <w:spacing w:after="120" w:before="240"/>
      </w:pPr>
      <w:r>
        <w:t xml:space="preserve">A.2 Scope</w:t>
      </w:r>
    </w:p>
    <w:p>
      <w:pPr>
        <w:spacing w:after="120"/>
      </w:pPr>
      <w:r>
        <w:t xml:space="preserve">The system covers text-based emotion detection and learning guidance for individual learners. It does not cover voice, video, or facial-expression-based emotion detection in this version.</w:t>
      </w:r>
    </w:p>
    <w:p>
      <w:pPr>
        <w:pStyle w:val="Heading2"/>
        <w:spacing w:after="120" w:before="240"/>
      </w:pPr>
      <w:r>
        <w:t xml:space="preserve">A.3 System Modules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 Module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Accepts free-text learner input via Streamlit UI</w:t>
            </w:r>
          </w:p>
        </w:tc>
      </w:tr>
      <w:tr>
        <w:tc>
          <w:tcPr>
            <w:tcW w:type="dxa" w:w="32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Preprocessing Module</w:t>
            </w:r>
          </w:p>
        </w:tc>
        <w:tc>
          <w:tcPr>
            <w:tcW w:type="dxa" w:w="62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Cleans and tokenizes text using the saved tokenizer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Prediction Module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Runs the BiLSTM model to classify emotion</w:t>
            </w:r>
          </w:p>
        </w:tc>
      </w:tr>
      <w:tr>
        <w:tc>
          <w:tcPr>
            <w:tcW w:type="dxa" w:w="32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Guidance Module</w:t>
            </w:r>
          </w:p>
        </w:tc>
        <w:tc>
          <w:tcPr>
            <w:tcW w:type="dxa" w:w="62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Maps predicted emotion to a support message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Logging Module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Appends each prediction to emotion_logs.csv</w:t>
            </w:r>
          </w:p>
        </w:tc>
      </w:tr>
      <w:tr>
        <w:tc>
          <w:tcPr>
            <w:tcW w:type="dxa" w:w="32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Analytics Module</w:t>
            </w:r>
          </w:p>
        </w:tc>
        <w:tc>
          <w:tcPr>
            <w:tcW w:type="dxa" w:w="62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Renders Plotly visualizations of logged emotions</w:t>
            </w:r>
          </w:p>
        </w:tc>
      </w:tr>
    </w:tbl>
    <w:p>
      <w:pPr>
        <w:pStyle w:val="Heading2"/>
        <w:spacing w:after="120" w:before="240"/>
      </w:pPr>
      <w:r>
        <w:t xml:space="preserve">A.4 Functional Flow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User submits text through the Streamlit interface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Text is cleaned and converted to a padded token sequence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BiLSTM model outputs a probability distribution over 6 emotions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Highest-probability class is decoded to an emotion label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Guidance module returns a message tailored to that emotion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Prediction is logged with a timestamp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7. Dashboard reflects the updated log on next view</w:t>
      </w:r>
    </w:p>
    <w:p>
      <w:pPr>
        <w:pStyle w:val="Heading2"/>
        <w:spacing w:after="120" w:before="240"/>
      </w:pPr>
      <w:r>
        <w:t xml:space="preserve">A.5 Error Handling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Empty input is rejected with a prompt to enter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Out-of-vocabulary words are handled via the tokenizer's OOV token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 or file load failures surface a clear error rather than a silent crash</w:t>
      </w:r>
    </w:p>
    <w:p>
      <w:r>
        <w:br w:type="page"/>
      </w:r>
    </w:p>
    <w:p>
      <w:pPr>
        <w:pStyle w:val="Heading1"/>
        <w:spacing w:after="150" w:before="300"/>
      </w:pPr>
      <w:r>
        <w:t xml:space="preserve">Part B — Final Report</w:t>
      </w:r>
    </w:p>
    <w:p>
      <w:pPr>
        <w:pStyle w:val="Heading2"/>
        <w:spacing w:after="120" w:before="240"/>
      </w:pPr>
      <w:r>
        <w:t xml:space="preserve">B.1 Project Summary</w:t>
      </w:r>
    </w:p>
    <w:p>
      <w:pPr>
        <w:spacing w:after="120"/>
      </w:pPr>
      <w:r>
        <w:t xml:space="preserve">The Emotion Detection &amp; Learning Support Engine is an AI-powered application that detects a learner's emotional state from free text using a BiLSTM deep learning model, then delivers a personalized learning-support message. Predictions are logged and visualized to surface emotional trends over time, supporting timely intervention by instructors.</w:t>
      </w:r>
    </w:p>
    <w:p>
      <w:pPr>
        <w:pStyle w:val="Heading2"/>
        <w:spacing w:after="120" w:before="240"/>
      </w:pPr>
      <w:r>
        <w:t xml:space="preserve">B.2 Objectives Achieved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Built and trained a BiLSTM emotion classifier across 6 emotion classes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Achieved 96.87% training accuracy and 87.06% validation accuracy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Delivered a functional Streamlit application for real-time prediction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Implemented CSV-based logging and a Plotly analytics dashboard</w:t>
      </w:r>
    </w:p>
    <w:p>
      <w:pPr>
        <w:pStyle w:val="Heading2"/>
        <w:spacing w:after="120" w:before="240"/>
      </w:pPr>
      <w:r>
        <w:t xml:space="preserve">B.3 Results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8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Training Accuracy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96.87%</w:t>
            </w:r>
          </w:p>
        </w:tc>
      </w:tr>
      <w:tr>
        <w:tc>
          <w:tcPr>
            <w:tcW w:type="dxa" w:w="48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 Accuracy</w:t>
            </w:r>
          </w:p>
        </w:tc>
        <w:tc>
          <w:tcPr>
            <w:tcW w:type="dxa" w:w="48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87.06%</w:t>
            </w:r>
          </w:p>
        </w:tc>
      </w:tr>
      <w:tr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Emotion Classes Supported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(Anger, Fear, Joy, Love, Sadness, Surprise)</w:t>
            </w:r>
          </w:p>
        </w:tc>
      </w:tr>
      <w:tr>
        <w:tc>
          <w:tcPr>
            <w:tcW w:type="dxa" w:w="48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Deployment Target</w:t>
            </w:r>
          </w:p>
        </w:tc>
        <w:tc>
          <w:tcPr>
            <w:tcW w:type="dxa" w:w="48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Streamlit (local / cloud-ready)</w:t>
            </w:r>
          </w:p>
        </w:tc>
      </w:tr>
    </w:tbl>
    <w:p>
      <w:pPr>
        <w:pStyle w:val="Heading2"/>
        <w:spacing w:after="120" w:before="240"/>
      </w:pPr>
      <w:r>
        <w:t xml:space="preserve">B.4 Limitations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Validation accuracy trails training accuracy, indicating some overfitting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Only 6 emotion categories are currently supported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Guidance messages are rule-based rather than dynamically generated</w:t>
      </w:r>
    </w:p>
    <w:p>
      <w:pPr>
        <w:pStyle w:val="Heading2"/>
        <w:spacing w:after="120" w:before="240"/>
      </w:pPr>
      <w:r>
        <w:t xml:space="preserve">B.5 Future Enhancements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Integration with Gemini AI for more dynamic, context-aware guidance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Full deployment on Streamlit Cloud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Addition of a BERT-based model for comparison against BiLSTM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Real-time analytics dashboard with live updates</w:t>
      </w:r>
    </w:p>
    <w:p>
      <w:pPr>
        <w:pStyle w:val="Heading2"/>
        <w:spacing w:after="120" w:before="240"/>
      </w:pPr>
      <w:r>
        <w:t xml:space="preserve">B.6 Conclusion</w:t>
      </w:r>
    </w:p>
    <w:p>
      <w:pPr>
        <w:spacing w:after="120"/>
      </w:pPr>
      <w:r>
        <w:t xml:space="preserve">The project demonstrates a working, end-to-end pipeline from raw learner text to emotion-aware learning support, validating the feasibility of using deep learning-based emotion detection to improve engagement on digital learning platforms.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2026-07-18T05:38:00.191Z</dcterms:created>
  <dcterms:modified xsi:type="dcterms:W3CDTF">2026-07-18T05:38:00.191Z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