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F5E5A"/>
          <w:sz w:val="22"/>
          <w:szCs w:val="22"/>
        </w:rPr>
        <w:t xml:space="preserve">Project brief</w:t>
      </w:r>
    </w:p>
    <w:p>
      <w:pPr>
        <w:spacing w:after="100"/>
      </w:pPr>
      <w:r>
        <w:rPr>
          <w:rFonts w:ascii="Calibri" w:cs="Calibri" w:eastAsia="Calibri" w:hAnsi="Calibri"/>
          <w:b/>
          <w:bCs/>
          <w:color w:val="085041"/>
          <w:sz w:val="44"/>
          <w:szCs w:val="44"/>
        </w:rPr>
        <w:t xml:space="preserve">Compound Risk Intelligence Platform</w:t>
      </w:r>
    </w:p>
    <w:p>
      <w:pPr>
        <w:spacing w:after="60"/>
      </w:pPr>
      <w:r>
        <w:rPr>
          <w:rFonts w:ascii="Calibri" w:cs="Calibri" w:eastAsia="Calibri" w:hAnsi="Calibri"/>
          <w:i/>
          <w:iCs/>
          <w:color w:val="5F5E5A"/>
          <w:sz w:val="26"/>
          <w:szCs w:val="26"/>
        </w:rPr>
        <w:t xml:space="preserve">AI-powered industrial safety intelligence for zero-harm operations</w:t>
      </w:r>
    </w:p>
    <w:p>
      <w:pPr>
        <w:spacing w:after="320"/>
      </w:pPr>
      <w:r>
        <w:rPr>
          <w:rFonts w:ascii="Calibri" w:cs="Calibri" w:eastAsia="Calibri" w:hAnsi="Calibri"/>
          <w:color w:val="888780"/>
          <w:sz w:val="20"/>
          <w:szCs w:val="20"/>
        </w:rPr>
        <w:t xml:space="preserve">ET AI Hackathon — Industrial Intelligence / Worker Safety / Geospatial Safety Analytics · 20-day build plan</w:t>
      </w:r>
    </w:p>
    <w:p>
      <w:pPr>
        <w:pBdr>
          <w:bottom w:val="single" w:color="B4B2A9" w:sz="6"/>
        </w:pBdr>
        <w:spacing w:after="320"/>
      </w:pPr>
    </w:p>
    <w:p>
      <w:pPr>
        <w:pStyle w:val="Heading1"/>
        <w:spacing w:after="160" w:before="320"/>
      </w:pPr>
      <w:r>
        <w:t xml:space="preserve">Executive summary</w:t>
      </w:r>
    </w:p>
    <w:p>
      <w:pPr>
        <w:spacing w:after="140" w:line="300"/>
      </w:pPr>
      <w:r>
        <w:rPr>
          <w:rFonts w:ascii="Calibri" w:cs="Calibri" w:eastAsia="Calibri" w:hAnsi="Calibri"/>
          <w:sz w:val="22"/>
          <w:szCs w:val="22"/>
        </w:rPr>
        <w:t xml:space="preserve">Indian heavy industry has the sensors, cameras, permit systems, and maintenance software it needs, but treats each as an isolated stream. Safety officers manually cross-reference gas readings, permits, maintenance backlogs, and shift patterns — a process FICCI's 2024 survey found over 60% of large facilities still handle through manual handoffs. Compound risks, where several individually-benign signals combine into a dangerous condition, are the failure mode that recurs across incident investigations.</w:t>
      </w:r>
    </w:p>
    <w:p>
      <w:pPr>
        <w:spacing w:after="140" w:line="300"/>
      </w:pPr>
      <w:r>
        <w:rPr>
          <w:rFonts w:ascii="Calibri" w:cs="Calibri" w:eastAsia="Calibri" w:hAnsi="Calibri"/>
          <w:sz w:val="22"/>
          <w:szCs w:val="22"/>
        </w:rPr>
        <w:t xml:space="preserve">This brief proposes a Compound Risk Intelligence Layer: a platform that sits above existing plant systems, fuses their outputs through a multi-agent architecture, scores risk in real time, explains every alert in plain language, and cites the exact OISD/DGMS/Factory Act clause it relates to. It does not replace SCADA, CCTV, or permit software — it correlates what they already know.</w:t>
      </w:r>
    </w:p>
    <w:p>
      <w:pPr>
        <w:spacing w:after="140" w:line="300"/>
      </w:pPr>
      <w:r>
        <w:rPr>
          <w:rFonts w:ascii="Calibri" w:cs="Calibri" w:eastAsia="Calibri" w:hAnsi="Calibri"/>
          <w:sz w:val="22"/>
          <w:szCs w:val="22"/>
        </w:rPr>
        <w:t xml:space="preserve">The plan below is scoped deliberately for a 20-day build: four modules built live and fully working, two shown as architected-but-mocked, so the demo is deep rather than broad.</w:t>
      </w:r>
    </w:p>
    <w:p>
      <w:pPr>
        <w:pStyle w:val="Heading1"/>
        <w:spacing w:after="160" w:before="320"/>
      </w:pPr>
      <w:r>
        <w:t xml:space="preserve">Problem context</w:t>
      </w:r>
    </w:p>
    <w:p>
      <w:pPr>
        <w:spacing w:after="140" w:line="300"/>
      </w:pPr>
      <w:r>
        <w:rPr>
          <w:rFonts w:ascii="Calibri" w:cs="Calibri" w:eastAsia="Calibri" w:hAnsi="Calibri"/>
          <w:sz w:val="22"/>
          <w:szCs w:val="22"/>
        </w:rPr>
        <w:t xml:space="preserve">The original brief cites an explosion at Visakhapatnam Steel Plant as its anchor example. That reference needs correcting before it goes into a pitch deck: the incident occurred in June 2026 (not January 2025), at the Steel Melting Shop during a casting operation, and preliminary investigation attributed it to gases entrapped within molten steel in a ladle — a metallurgical process failure, not a case of ambient gas sensors detecting a leak that went unactioned. Eight to nine workers died. The same plant suffered a similar accident in 2012 (19 deaths, oxygen converter commissioning), suggesting a recurring equipment-failure pattern at this site specifically, rather than a generic 'data existed but wasn't fused' story.</w:t>
      </w:r>
    </w:p>
    <w:tbl>
      <w:tblPr>
        <w:tblW w:type="dxa" w:w="9360"/>
        <w:tblBorders>
          <w:top w:val="single" w:color="993C1D" w:sz="4"/>
          <w:left w:val="single" w:color="993C1D" w:sz="4"/>
          <w:bottom w:val="single" w:color="993C1D" w:sz="4"/>
          <w:right w:val="single" w:color="993C1D" w:sz="4"/>
          <w:insideH w:val="none"/>
          <w:insideV w:val="none"/>
        </w:tblBorders>
      </w:tblPr>
      <w:tblGrid>
        <w:gridCol w:w="100"/>
      </w:tblGrid>
      <w:tr>
        <w:tc>
          <w:tcPr>
            <w:tcW w:type="dxa" w:w="9360"/>
            <w:shd w:fill="FAECE7" w:val="clear"/>
            <w:tcMar>
              <w:top w:type="dxa" w:w="160"/>
              <w:left w:type="dxa" w:w="200"/>
              <w:bottom w:type="dxa" w:w="160"/>
              <w:right w:type="dxa" w:w="200"/>
            </w:tcMar>
          </w:tcPr>
          <w:p>
            <w:pPr>
              <w:spacing w:after="80"/>
            </w:pPr>
            <w:r>
              <w:rPr>
                <w:rFonts w:ascii="Calibri" w:cs="Calibri" w:eastAsia="Calibri" w:hAnsi="Calibri"/>
                <w:b/>
                <w:bCs/>
                <w:color w:val="993C1D"/>
                <w:sz w:val="22"/>
                <w:szCs w:val="22"/>
              </w:rPr>
              <w:t xml:space="preserve">Correction to carry into the deck</w:t>
            </w:r>
          </w:p>
          <w:p>
            <w:pPr>
              <w:spacing w:after="60" w:line="270"/>
            </w:pPr>
            <w:r>
              <w:rPr>
                <w:rFonts w:ascii="Calibri" w:cs="Calibri" w:eastAsia="Calibri" w:hAnsi="Calibri"/>
                <w:color w:val="4A1B0C"/>
                <w:sz w:val="21"/>
                <w:szCs w:val="21"/>
              </w:rPr>
              <w:t xml:space="preserve">Do not repeat the claim that gas detectors, permit-to-work controls, and SCADA all existed and simply weren't connected at Vizag — the preliminary report does not support that framing.</w:t>
            </w:r>
          </w:p>
          <w:p>
            <w:pPr>
              <w:spacing w:after="60" w:line="270"/>
            </w:pPr>
            <w:r>
              <w:rPr>
                <w:rFonts w:ascii="Calibri" w:cs="Calibri" w:eastAsia="Calibri" w:hAnsi="Calibri"/>
                <w:color w:val="4A1B0C"/>
                <w:sz w:val="21"/>
                <w:szCs w:val="21"/>
              </w:rPr>
              <w:t xml:space="preserve">Use the incident, if at all, only for the general pattern (recurring plant-specific failures) rather than as evidence for the sensor-fusion narrative. Lead the deck with the market fragmentation argument instead — it is well supported and doesn't depend on one incident's exact facts.</w:t>
            </w:r>
          </w:p>
        </w:tc>
      </w:tr>
    </w:tbl>
    <w:p>
      <w:pPr>
        <w:spacing w:after="140" w:line="300"/>
      </w:pPr>
      <w:r>
        <w:rPr>
          <w:rFonts w:ascii="Calibri" w:cs="Calibri" w:eastAsia="Calibri" w:hAnsi="Calibri"/>
          <w:sz w:val="22"/>
          <w:szCs w:val="22"/>
        </w:rPr>
        <w:t xml:space="preserve">The broader statistics are directionally real but inconsistently scoped across sources: DGFASLI figures for fatal workplace accidents range from roughly 1,100/year (registered factories, 2017–20 average) to 6,500+/year depending on which sectors and years are included. Pick one figure, state its scope explicitly (e.g. "registered factories, 2023"), and do not blend figures from different scopes in the same sentence. Independently reported trends worth using: hazardous-process factories grew roughly 69% (26,877 to 45,374) between 2010 and 2023 while inspection coverage of them fell from about 62% to 39%, and the national factory-inspector workforce shrank over the same period — a widening enforcement gap a decision-support layer can partially offset.</w:t>
      </w:r>
    </w:p>
    <w:p>
      <w:pPr>
        <w:pStyle w:val="Heading1"/>
        <w:spacing w:after="160" w:before="320"/>
      </w:pPr>
      <w:r>
        <w:t xml:space="preserve">Market landscape</w:t>
      </w:r>
    </w:p>
    <w:p>
      <w:pPr>
        <w:spacing w:after="140" w:line="300"/>
      </w:pPr>
      <w:r>
        <w:rPr>
          <w:rFonts w:ascii="Calibri" w:cs="Calibri" w:eastAsia="Calibri" w:hAnsi="Calibri"/>
          <w:sz w:val="22"/>
          <w:szCs w:val="22"/>
        </w:rPr>
        <w:t xml:space="preserve">No single competitor covers compound risk fusion, geospatial context, permit intelligence, regulatory RAG, and emergency response together. The space is fragmented by modality — that fragmentation is the opportunity.</w:t>
      </w:r>
    </w:p>
    <w:p>
      <w:pPr>
        <w:pStyle w:val="Heading2"/>
        <w:spacing w:after="120" w:before="240"/>
      </w:pPr>
      <w:r>
        <w:t xml:space="preserve">Computer-vision / behavioral safety monitoring</w:t>
      </w:r>
    </w:p>
    <w:tbl>
      <w:tblPr>
        <w:tblW w:type="dxa" w:w="9360"/>
        <w:tblBorders>
          <w:top w:val="single" w:color="B4B2A9" w:sz="2"/>
          <w:left w:val="single" w:color="B4B2A9" w:sz="2"/>
          <w:bottom w:val="single" w:color="B4B2A9" w:sz="2"/>
          <w:right w:val="single" w:color="B4B2A9" w:sz="2"/>
          <w:insideH w:val="single" w:color="B4B2A9" w:sz="2"/>
          <w:insideV w:val="single" w:color="B4B2A9" w:sz="2"/>
        </w:tblBorders>
      </w:tblPr>
      <w:tblGrid>
        <w:gridCol w:w="2400"/>
        <w:gridCol w:w="3800"/>
        <w:gridCol w:w="3160"/>
      </w:tblGrid>
      <w:tr>
        <w:trPr>
          <w:tblHeader/>
        </w:trPr>
        <w:tc>
          <w:tcPr>
            <w:tcW w:type="dxa" w:w="240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Company</w:t>
            </w:r>
          </w:p>
        </w:tc>
        <w:tc>
          <w:tcPr>
            <w:tcW w:type="dxa" w:w="380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Approach</w:t>
            </w:r>
          </w:p>
        </w:tc>
        <w:tc>
          <w:tcPr>
            <w:tcW w:type="dxa" w:w="316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Reported outcome (vendor-reported)</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Intenseye</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CV on existing CCTV, 50+ unsafe-act categories, privacy-first (no facial recognition)</w:t>
            </w:r>
          </w:p>
        </w:tc>
        <w:tc>
          <w:tcPr>
            <w:tcW w:type="dxa" w:w="3160"/>
            <w:tcMar>
              <w:top w:type="dxa" w:w="100"/>
              <w:left w:type="dxa" w:w="120"/>
              <w:bottom w:type="dxa" w:w="100"/>
              <w:right w:type="dxa" w:w="120"/>
            </w:tcMar>
          </w:tcPr>
          <w:p>
            <w:r>
              <w:rPr>
                <w:rFonts w:ascii="Calibri" w:cs="Calibri" w:eastAsia="Calibri" w:hAnsi="Calibri"/>
                <w:b w:val="false"/>
                <w:bCs w:val="false"/>
                <w:color w:val="1A1A1A"/>
                <w:sz w:val="20"/>
                <w:szCs w:val="20"/>
              </w:rPr>
              <w:t xml:space="preserve">60% hazard reduction, 27% lower lost-day rate (Swire Coca-Cola case study)</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Protex AI</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Edge-processed CV on existing CCTV, zone-based rules, heatmaps</w:t>
            </w:r>
          </w:p>
        </w:tc>
        <w:tc>
          <w:tcPr>
            <w:tcW w:type="dxa" w:w="3160"/>
            <w:tcMar>
              <w:top w:type="dxa" w:w="100"/>
              <w:left w:type="dxa" w:w="120"/>
              <w:bottom w:type="dxa" w:w="100"/>
              <w:right w:type="dxa" w:w="120"/>
            </w:tcMar>
          </w:tcPr>
          <w:p>
            <w:r>
              <w:rPr>
                <w:rFonts w:ascii="Calibri" w:cs="Calibri" w:eastAsia="Calibri" w:hAnsi="Calibri"/>
                <w:b w:val="false"/>
                <w:bCs w:val="false"/>
                <w:color w:val="1A1A1A"/>
                <w:sz w:val="20"/>
                <w:szCs w:val="20"/>
              </w:rPr>
              <w:t xml:space="preserve">80% incident reduction in 10 weeks (Marks &amp; Spencer)</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Voxel AI</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Purpose-built site intelligence, ergonomics + vehicle safety</w:t>
            </w:r>
          </w:p>
        </w:tc>
        <w:tc>
          <w:tcPr>
            <w:tcW w:type="dxa" w:w="3160"/>
            <w:tcMar>
              <w:top w:type="dxa" w:w="100"/>
              <w:left w:type="dxa" w:w="120"/>
              <w:bottom w:type="dxa" w:w="100"/>
              <w:right w:type="dxa" w:w="120"/>
            </w:tcMar>
          </w:tcPr>
          <w:p>
            <w:r>
              <w:rPr>
                <w:rFonts w:ascii="Calibri" w:cs="Calibri" w:eastAsia="Calibri" w:hAnsi="Calibri"/>
                <w:b w:val="false"/>
                <w:bCs w:val="false"/>
                <w:color w:val="1A1A1A"/>
                <w:sz w:val="20"/>
                <w:szCs w:val="20"/>
              </w:rPr>
              <w:t xml:space="preserve">77% injury reduction, $1.1M annual savings (Americold)</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Everguard.ai (Sentri360)</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CV + IoT wearable sensor fusion, steel/construction focus</w:t>
            </w:r>
          </w:p>
        </w:tc>
        <w:tc>
          <w:tcPr>
            <w:tcW w:type="dxa" w:w="3160"/>
            <w:tcMar>
              <w:top w:type="dxa" w:w="100"/>
              <w:left w:type="dxa" w:w="120"/>
              <w:bottom w:type="dxa" w:w="100"/>
              <w:right w:type="dxa" w:w="120"/>
            </w:tcMar>
          </w:tcPr>
          <w:p>
            <w:r>
              <w:rPr>
                <w:rFonts w:ascii="Calibri" w:cs="Calibri" w:eastAsia="Calibri" w:hAnsi="Calibri"/>
                <w:b w:val="false"/>
                <w:bCs w:val="false"/>
                <w:color w:val="1A1A1A"/>
                <w:sz w:val="20"/>
                <w:szCs w:val="20"/>
              </w:rPr>
              <w:t xml:space="preserve">Deployed in South Korea and US steel plants</w:t>
            </w:r>
          </w:p>
        </w:tc>
      </w:tr>
    </w:tbl>
    <w:p>
      <w:pPr>
        <w:spacing w:before="160"/>
      </w:pPr>
    </w:p>
    <w:p>
      <w:pPr>
        <w:pStyle w:val="Heading2"/>
        <w:spacing w:after="120" w:before="240"/>
      </w:pPr>
      <w:r>
        <w:t xml:space="preserve">Digital permit-to-work platforms</w:t>
      </w:r>
    </w:p>
    <w:tbl>
      <w:tblPr>
        <w:tblW w:type="dxa" w:w="9360"/>
        <w:tblBorders>
          <w:top w:val="single" w:color="B4B2A9" w:sz="2"/>
          <w:left w:val="single" w:color="B4B2A9" w:sz="2"/>
          <w:bottom w:val="single" w:color="B4B2A9" w:sz="2"/>
          <w:right w:val="single" w:color="B4B2A9" w:sz="2"/>
          <w:insideH w:val="single" w:color="B4B2A9" w:sz="2"/>
          <w:insideV w:val="single" w:color="B4B2A9" w:sz="2"/>
        </w:tblBorders>
      </w:tblPr>
      <w:tblGrid>
        <w:gridCol w:w="2400"/>
        <w:gridCol w:w="3800"/>
        <w:gridCol w:w="3160"/>
      </w:tblGrid>
      <w:tr>
        <w:trPr>
          <w:tblHeader/>
        </w:trPr>
        <w:tc>
          <w:tcPr>
            <w:tcW w:type="dxa" w:w="240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Company</w:t>
            </w:r>
          </w:p>
        </w:tc>
        <w:tc>
          <w:tcPr>
            <w:tcW w:type="dxa" w:w="380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What it does</w:t>
            </w:r>
          </w:p>
        </w:tc>
        <w:tc>
          <w:tcPr>
            <w:tcW w:type="dxa" w:w="316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Gap vs. this proposal</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iFactory</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Cross-references gas readings and LEL thresholds against open permits, auto-suspends conflicts</w:t>
            </w:r>
          </w:p>
        </w:tc>
        <w:tc>
          <w:tcPr>
            <w:tcW w:type="dxa" w:w="3160"/>
            <w:tcMar>
              <w:top w:type="dxa" w:w="100"/>
              <w:left w:type="dxa" w:w="120"/>
              <w:bottom w:type="dxa" w:w="100"/>
              <w:right w:type="dxa" w:w="120"/>
            </w:tcMar>
          </w:tcPr>
          <w:p>
            <w:r>
              <w:rPr>
                <w:rFonts w:ascii="Calibri" w:cs="Calibri" w:eastAsia="Calibri" w:hAnsi="Calibri"/>
                <w:b w:val="false"/>
                <w:bCs w:val="false"/>
                <w:color w:val="1A1A1A"/>
                <w:sz w:val="20"/>
                <w:szCs w:val="20"/>
              </w:rPr>
              <w:t xml:space="preserve">Point solution — no fusion with CCTV, incident history, or predictive scoring</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DNV Synergi Life</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PTW linked to JSA, isolation/LOTO, incident modules</w:t>
            </w:r>
          </w:p>
        </w:tc>
        <w:tc>
          <w:tcPr>
            <w:tcW w:type="dxa" w:w="3160"/>
            <w:tcMar>
              <w:top w:type="dxa" w:w="100"/>
              <w:left w:type="dxa" w:w="120"/>
              <w:bottom w:type="dxa" w:w="100"/>
              <w:right w:type="dxa" w:w="120"/>
            </w:tcMar>
          </w:tcPr>
          <w:p>
            <w:r>
              <w:rPr>
                <w:rFonts w:ascii="Calibri" w:cs="Calibri" w:eastAsia="Calibri" w:hAnsi="Calibri"/>
                <w:b w:val="false"/>
                <w:bCs w:val="false"/>
                <w:color w:val="1A1A1A"/>
                <w:sz w:val="20"/>
                <w:szCs w:val="20"/>
              </w:rPr>
              <w:t xml:space="preserve">Enterprise-heavy, not tuned to OISD/DGMS/Factory Act</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Sphera Control of Work</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Dynamic process-safety barrier-model mapping</w:t>
            </w:r>
          </w:p>
        </w:tc>
        <w:tc>
          <w:tcPr>
            <w:tcW w:type="dxa" w:w="3160"/>
            <w:tcMar>
              <w:top w:type="dxa" w:w="100"/>
              <w:left w:type="dxa" w:w="120"/>
              <w:bottom w:type="dxa" w:w="100"/>
              <w:right w:type="dxa" w:w="120"/>
            </w:tcMar>
          </w:tcPr>
          <w:p>
            <w:r>
              <w:rPr>
                <w:rFonts w:ascii="Calibri" w:cs="Calibri" w:eastAsia="Calibri" w:hAnsi="Calibri"/>
                <w:b w:val="false"/>
                <w:bCs w:val="false"/>
                <w:color w:val="1A1A1A"/>
                <w:sz w:val="20"/>
                <w:szCs w:val="20"/>
              </w:rPr>
              <w:t xml:space="preserve">Heavy, consultancy-driven deployment</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viAct, Kissflow, ToolKitX and similar</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Workflow digitization, approval routing, dashboards</w:t>
            </w:r>
          </w:p>
        </w:tc>
        <w:tc>
          <w:tcPr>
            <w:tcW w:type="dxa" w:w="3160"/>
            <w:tcMar>
              <w:top w:type="dxa" w:w="100"/>
              <w:left w:type="dxa" w:w="120"/>
              <w:bottom w:type="dxa" w:w="100"/>
              <w:right w:type="dxa" w:w="120"/>
            </w:tcMar>
          </w:tcPr>
          <w:p>
            <w:r>
              <w:rPr>
                <w:rFonts w:ascii="Calibri" w:cs="Calibri" w:eastAsia="Calibri" w:hAnsi="Calibri"/>
                <w:b w:val="false"/>
                <w:bCs w:val="false"/>
                <w:color w:val="1A1A1A"/>
                <w:sz w:val="20"/>
                <w:szCs w:val="20"/>
              </w:rPr>
              <w:t xml:space="preserve">Rule-based digitization, limited real-time sensor fusion</w:t>
            </w:r>
          </w:p>
        </w:tc>
      </w:tr>
    </w:tbl>
    <w:p>
      <w:pPr>
        <w:spacing w:before="160"/>
      </w:pPr>
    </w:p>
    <w:p>
      <w:pPr>
        <w:pStyle w:val="Heading2"/>
        <w:spacing w:after="120" w:before="240"/>
      </w:pPr>
      <w:r>
        <w:t xml:space="preserve">Industrial AI / automation platforms</w:t>
      </w:r>
    </w:p>
    <w:p>
      <w:pPr>
        <w:spacing w:after="140" w:line="300"/>
      </w:pPr>
      <w:r>
        <w:rPr>
          <w:rFonts w:ascii="Calibri" w:cs="Calibri" w:eastAsia="Calibri" w:hAnsi="Calibri"/>
          <w:sz w:val="22"/>
          <w:szCs w:val="22"/>
        </w:rPr>
        <w:t xml:space="preserve">Honeywell Forge, AVEVA Industrial AI, ABB Genix, and Siemens Industrial AI are strong on asset monitoring, predictive maintenance, and process optimization, but safety is a secondary module within a much broader operations platform rather than the primary, cross-domain focus.</w:t>
      </w:r>
    </w:p>
    <w:p>
      <w:pPr>
        <w:pStyle w:val="Heading2"/>
        <w:spacing w:after="120" w:before="240"/>
      </w:pPr>
      <w:r>
        <w:t xml:space="preserve">The gap</w:t>
      </w:r>
    </w:p>
    <w:p>
      <w:pPr>
        <w:pStyle w:val="ListParagraph"/>
        <w:numPr>
          <w:ilvl w:val="0"/>
          <w:numId w:val="2"/>
        </w:numPr>
        <w:spacing w:after="80" w:line="280"/>
      </w:pPr>
      <w:r>
        <w:rPr>
          <w:rFonts w:ascii="Calibri" w:cs="Calibri" w:eastAsia="Calibri" w:hAnsi="Calibri"/>
          <w:b/>
          <w:bCs/>
          <w:sz w:val="22"/>
          <w:szCs w:val="22"/>
        </w:rPr>
        <w:t xml:space="preserve">Modality fusion: </w:t>
      </w:r>
      <w:r>
        <w:rPr>
          <w:rFonts w:ascii="Calibri" w:cs="Calibri" w:eastAsia="Calibri" w:hAnsi="Calibri"/>
          <w:sz w:val="22"/>
          <w:szCs w:val="22"/>
        </w:rPr>
        <w:t xml:space="preserve"> No commercial product correlates CCTV, IoT/SCADA, permits, and maintenance/shift data in one compound-risk engine.</w:t>
      </w:r>
    </w:p>
    <w:p>
      <w:pPr>
        <w:pStyle w:val="ListParagraph"/>
        <w:numPr>
          <w:ilvl w:val="0"/>
          <w:numId w:val="2"/>
        </w:numPr>
        <w:spacing w:after="80" w:line="280"/>
      </w:pPr>
      <w:r>
        <w:rPr>
          <w:rFonts w:ascii="Calibri" w:cs="Calibri" w:eastAsia="Calibri" w:hAnsi="Calibri"/>
          <w:b/>
          <w:bCs/>
          <w:sz w:val="22"/>
          <w:szCs w:val="22"/>
        </w:rPr>
        <w:t xml:space="preserve">India-specific regulation: </w:t>
      </w:r>
      <w:r>
        <w:rPr>
          <w:rFonts w:ascii="Calibri" w:cs="Calibri" w:eastAsia="Calibri" w:hAnsi="Calibri"/>
          <w:sz w:val="22"/>
          <w:szCs w:val="22"/>
        </w:rPr>
        <w:t xml:space="preserve"> Competing tools are built for OSHA/EU frameworks; none natively encode OISD, DGMS, and Factory Act 1948 / OSH Code 2020 into a queryable knowledge base.</w:t>
      </w:r>
    </w:p>
    <w:p>
      <w:pPr>
        <w:pStyle w:val="ListParagraph"/>
        <w:numPr>
          <w:ilvl w:val="0"/>
          <w:numId w:val="2"/>
        </w:numPr>
        <w:spacing w:after="80" w:line="280"/>
      </w:pPr>
      <w:r>
        <w:rPr>
          <w:rFonts w:ascii="Calibri" w:cs="Calibri" w:eastAsia="Calibri" w:hAnsi="Calibri"/>
          <w:b/>
          <w:bCs/>
          <w:sz w:val="22"/>
          <w:szCs w:val="22"/>
        </w:rPr>
        <w:t xml:space="preserve">Anticipatory learning: </w:t>
      </w:r>
      <w:r>
        <w:rPr>
          <w:rFonts w:ascii="Calibri" w:cs="Calibri" w:eastAsia="Calibri" w:hAnsi="Calibri"/>
          <w:sz w:val="22"/>
          <w:szCs w:val="22"/>
        </w:rPr>
        <w:t xml:space="preserve"> Near-miss and incident data is stored but rarely pattern-mined to surface recurring precursors before they recur.</w:t>
      </w:r>
    </w:p>
    <w:p>
      <w:pPr>
        <w:pStyle w:val="ListParagraph"/>
        <w:numPr>
          <w:ilvl w:val="0"/>
          <w:numId w:val="2"/>
        </w:numPr>
        <w:spacing w:after="80" w:line="280"/>
      </w:pPr>
      <w:r>
        <w:rPr>
          <w:rFonts w:ascii="Calibri" w:cs="Calibri" w:eastAsia="Calibri" w:hAnsi="Calibri"/>
          <w:b/>
          <w:bCs/>
          <w:sz w:val="22"/>
          <w:szCs w:val="22"/>
        </w:rPr>
        <w:t xml:space="preserve">Emergency response: </w:t>
      </w:r>
      <w:r>
        <w:rPr>
          <w:rFonts w:ascii="Calibri" w:cs="Calibri" w:eastAsia="Calibri" w:hAnsi="Calibri"/>
          <w:sz w:val="22"/>
          <w:szCs w:val="22"/>
        </w:rPr>
        <w:t xml:space="preserve"> Once a trigger fires, evacuation, team alerting, evidence preservation, and preliminary reporting remain largely manual.</w:t>
      </w:r>
    </w:p>
    <w:p>
      <w:pPr>
        <w:spacing w:after="140" w:line="300"/>
      </w:pPr>
      <w:r>
        <w:rPr>
          <w:rFonts w:ascii="Calibri" w:cs="Calibri" w:eastAsia="Calibri" w:hAnsi="Calibri"/>
          <w:i/>
          <w:iCs/>
          <w:sz w:val="22"/>
          <w:szCs w:val="22"/>
        </w:rPr>
        <w:t xml:space="preserve">One-line positioning: point solutions watch one signal — this platform correlates all of them, explains why, and cites the regulation it violates.</w:t>
      </w:r>
    </w:p>
    <w:p>
      <w:pPr>
        <w:pStyle w:val="Heading1"/>
        <w:spacing w:after="160" w:before="320"/>
      </w:pPr>
      <w:r>
        <w:t xml:space="preserve">Proposed solution</w:t>
      </w:r>
    </w:p>
    <w:p>
      <w:pPr>
        <w:spacing w:after="140" w:line="300"/>
      </w:pPr>
      <w:r>
        <w:rPr>
          <w:rFonts w:ascii="Calibri" w:cs="Calibri" w:eastAsia="Calibri" w:hAnsi="Calibri"/>
          <w:sz w:val="22"/>
          <w:szCs w:val="22"/>
        </w:rPr>
        <w:t xml:space="preserve">A Compound Risk Intelligence Layer sitting above existing plant systems: an ingestion layer that normalizes IoT/SCADA, CCTV, permit, and maintenance/shift data; a multi-agent detection engine where each agent specializes in one domain; an orchestrator that looks for co-occurring conditions across agents that individually look benign; a geospatial heatmap over the plant layout; a regulatory RAG agent that attaches the relevant OISD/DGMS/Factory Act clause to every flagged condition; and an emergency response orchestrator for the critical first minutes after a confirmed trigger.</w:t>
      </w:r>
    </w:p>
    <w:p>
      <w:pPr>
        <w:pStyle w:val="Heading2"/>
        <w:spacing w:after="120" w:before="240"/>
      </w:pPr>
      <w:r>
        <w:t xml:space="preserve">Architecture</w:t>
      </w:r>
    </w:p>
    <w:p>
      <w:pPr>
        <w:spacing w:after="140" w:line="300"/>
      </w:pPr>
      <w:r>
        <w:rPr>
          <w:rFonts w:ascii="Calibri" w:cs="Calibri" w:eastAsia="Calibri" w:hAnsi="Calibri"/>
          <w:sz w:val="22"/>
          <w:szCs w:val="22"/>
        </w:rPr>
        <w:t xml:space="preserve">Synthetic data sources (gas/IoT time series, permit records, maintenance logs, shift rosters) feed a FastAPI ingestion and normalization layer. Three domain agents — gas/SCADA trend detection, permit conflict detection, and maintenance/shift overdue tracking — each analyze one data stream. An orchestrator/fusion agent correlates their outputs into a single compound risk score with a plain-language explanation of which signals combined and why. That score feeds two output modules in parallel: a geospatial heatmap showing live risk zones on the plant floorplan, and a regulatory RAG module that attaches the relevant statutory clause to each alert. Both feed a single safety officer dashboard. See the accompanying architecture diagram for the full data flow.</w:t>
      </w:r>
    </w:p>
    <w:p>
      <w:pPr>
        <w:pStyle w:val="Heading1"/>
        <w:spacing w:after="160" w:before="320"/>
      </w:pPr>
      <w:r>
        <w:t xml:space="preserve">Scope for a 20-day build</w:t>
      </w:r>
    </w:p>
    <w:p>
      <w:pPr>
        <w:spacing w:after="140" w:line="300"/>
      </w:pPr>
      <w:r>
        <w:rPr>
          <w:rFonts w:ascii="Calibri" w:cs="Calibri" w:eastAsia="Calibri" w:hAnsi="Calibri"/>
          <w:sz w:val="22"/>
          <w:szCs w:val="22"/>
        </w:rPr>
        <w:t xml:space="preserve">The full six-workstream vision from the original brief is not credibly buildable end-to-end by a small team in 20 days. Judging rewards depth (Technical Excellence 20%, Innovation 25%) over breadth attempted shallowly. Split the six workstreams into what gets built live and what gets shown as an architected, partially-mocked extension.</w:t>
      </w:r>
    </w:p>
    <w:tbl>
      <w:tblPr>
        <w:tblW w:type="dxa" w:w="9360"/>
        <w:tblBorders>
          <w:top w:val="single" w:color="B4B2A9" w:sz="2"/>
          <w:left w:val="single" w:color="B4B2A9" w:sz="2"/>
          <w:bottom w:val="single" w:color="B4B2A9" w:sz="2"/>
          <w:right w:val="single" w:color="B4B2A9" w:sz="2"/>
          <w:insideH w:val="single" w:color="B4B2A9" w:sz="2"/>
          <w:insideV w:val="single" w:color="B4B2A9" w:sz="2"/>
        </w:tblBorders>
      </w:tblPr>
      <w:tblGrid>
        <w:gridCol w:w="2700"/>
        <w:gridCol w:w="2900"/>
        <w:gridCol w:w="3760"/>
      </w:tblGrid>
      <w:tr>
        <w:trPr>
          <w:tblHeader/>
        </w:trPr>
        <w:tc>
          <w:tcPr>
            <w:tcW w:type="dxa" w:w="270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Module</w:t>
            </w:r>
          </w:p>
        </w:tc>
        <w:tc>
          <w:tcPr>
            <w:tcW w:type="dxa" w:w="290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Status for demo</w:t>
            </w:r>
          </w:p>
        </w:tc>
        <w:tc>
          <w:tcPr>
            <w:tcW w:type="dxa" w:w="376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Why</w:t>
            </w:r>
          </w:p>
        </w:tc>
      </w:tr>
      <w:tr>
        <w:tc>
          <w:tcPr>
            <w:tcW w:type="dxa" w:w="2700"/>
            <w:tcMar>
              <w:top w:type="dxa" w:w="100"/>
              <w:left w:type="dxa" w:w="120"/>
              <w:bottom w:type="dxa" w:w="100"/>
              <w:right w:type="dxa" w:w="120"/>
            </w:tcMar>
          </w:tcPr>
          <w:p>
            <w:r>
              <w:rPr>
                <w:rFonts w:ascii="Calibri" w:cs="Calibri" w:eastAsia="Calibri" w:hAnsi="Calibri"/>
                <w:b w:val="false"/>
                <w:bCs w:val="false"/>
                <w:color w:val="1A1A1A"/>
                <w:sz w:val="20"/>
                <w:szCs w:val="20"/>
              </w:rPr>
              <w:t xml:space="preserve">Compound risk detection engine</w:t>
            </w:r>
          </w:p>
        </w:tc>
        <w:tc>
          <w:tcPr>
            <w:tcW w:type="dxa" w:w="29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Live</w:t>
            </w:r>
          </w:p>
        </w:tc>
        <w:tc>
          <w:tcPr>
            <w:tcW w:type="dxa" w:w="3760"/>
            <w:tcMar>
              <w:top w:type="dxa" w:w="100"/>
              <w:left w:type="dxa" w:w="120"/>
              <w:bottom w:type="dxa" w:w="100"/>
              <w:right w:type="dxa" w:w="120"/>
            </w:tcMar>
          </w:tcPr>
          <w:p>
            <w:r>
              <w:rPr>
                <w:rFonts w:ascii="Calibri" w:cs="Calibri" w:eastAsia="Calibri" w:hAnsi="Calibri"/>
                <w:b w:val="false"/>
                <w:bCs w:val="false"/>
                <w:color w:val="1A1A1A"/>
                <w:sz w:val="20"/>
                <w:szCs w:val="20"/>
              </w:rPr>
              <w:t xml:space="preserve">Core differentiator — must work end-to-end on stage</w:t>
            </w:r>
          </w:p>
        </w:tc>
      </w:tr>
      <w:tr>
        <w:tc>
          <w:tcPr>
            <w:tcW w:type="dxa" w:w="2700"/>
            <w:tcMar>
              <w:top w:type="dxa" w:w="100"/>
              <w:left w:type="dxa" w:w="120"/>
              <w:bottom w:type="dxa" w:w="100"/>
              <w:right w:type="dxa" w:w="120"/>
            </w:tcMar>
          </w:tcPr>
          <w:p>
            <w:r>
              <w:rPr>
                <w:rFonts w:ascii="Calibri" w:cs="Calibri" w:eastAsia="Calibri" w:hAnsi="Calibri"/>
                <w:b w:val="false"/>
                <w:bCs w:val="false"/>
                <w:color w:val="1A1A1A"/>
                <w:sz w:val="20"/>
                <w:szCs w:val="20"/>
              </w:rPr>
              <w:t xml:space="preserve">Digital permit intelligence agent</w:t>
            </w:r>
          </w:p>
        </w:tc>
        <w:tc>
          <w:tcPr>
            <w:tcW w:type="dxa" w:w="29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Live (folded into the engine as one agent)</w:t>
            </w:r>
          </w:p>
        </w:tc>
        <w:tc>
          <w:tcPr>
            <w:tcW w:type="dxa" w:w="3760"/>
            <w:tcMar>
              <w:top w:type="dxa" w:w="100"/>
              <w:left w:type="dxa" w:w="120"/>
              <w:bottom w:type="dxa" w:w="100"/>
              <w:right w:type="dxa" w:w="120"/>
            </w:tcMar>
          </w:tcPr>
          <w:p>
            <w:r>
              <w:rPr>
                <w:rFonts w:ascii="Calibri" w:cs="Calibri" w:eastAsia="Calibri" w:hAnsi="Calibri"/>
                <w:b w:val="false"/>
                <w:bCs w:val="false"/>
                <w:color w:val="1A1A1A"/>
                <w:sz w:val="20"/>
                <w:szCs w:val="20"/>
              </w:rPr>
              <w:t xml:space="preserve">Feeds the fusion score directly; not worth a separate module</w:t>
            </w:r>
          </w:p>
        </w:tc>
      </w:tr>
      <w:tr>
        <w:tc>
          <w:tcPr>
            <w:tcW w:type="dxa" w:w="2700"/>
            <w:tcMar>
              <w:top w:type="dxa" w:w="100"/>
              <w:left w:type="dxa" w:w="120"/>
              <w:bottom w:type="dxa" w:w="100"/>
              <w:right w:type="dxa" w:w="120"/>
            </w:tcMar>
          </w:tcPr>
          <w:p>
            <w:r>
              <w:rPr>
                <w:rFonts w:ascii="Calibri" w:cs="Calibri" w:eastAsia="Calibri" w:hAnsi="Calibri"/>
                <w:b w:val="false"/>
                <w:bCs w:val="false"/>
                <w:color w:val="1A1A1A"/>
                <w:sz w:val="20"/>
                <w:szCs w:val="20"/>
              </w:rPr>
              <w:t xml:space="preserve">Geospatial safety heatmap</w:t>
            </w:r>
          </w:p>
        </w:tc>
        <w:tc>
          <w:tcPr>
            <w:tcW w:type="dxa" w:w="29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Live</w:t>
            </w:r>
          </w:p>
        </w:tc>
        <w:tc>
          <w:tcPr>
            <w:tcW w:type="dxa" w:w="3760"/>
            <w:tcMar>
              <w:top w:type="dxa" w:w="100"/>
              <w:left w:type="dxa" w:w="120"/>
              <w:bottom w:type="dxa" w:w="100"/>
              <w:right w:type="dxa" w:w="120"/>
            </w:tcMar>
          </w:tcPr>
          <w:p>
            <w:r>
              <w:rPr>
                <w:rFonts w:ascii="Calibri" w:cs="Calibri" w:eastAsia="Calibri" w:hAnsi="Calibri"/>
                <w:b w:val="false"/>
                <w:bCs w:val="false"/>
                <w:color w:val="1A1A1A"/>
                <w:sz w:val="20"/>
                <w:szCs w:val="20"/>
              </w:rPr>
              <w:t xml:space="preserve">Strong visual proof point; a georeferenced floorplan SVG is enough, no real GIS needed</w:t>
            </w:r>
          </w:p>
        </w:tc>
      </w:tr>
      <w:tr>
        <w:tc>
          <w:tcPr>
            <w:tcW w:type="dxa" w:w="2700"/>
            <w:tcMar>
              <w:top w:type="dxa" w:w="100"/>
              <w:left w:type="dxa" w:w="120"/>
              <w:bottom w:type="dxa" w:w="100"/>
              <w:right w:type="dxa" w:w="120"/>
            </w:tcMar>
          </w:tcPr>
          <w:p>
            <w:r>
              <w:rPr>
                <w:rFonts w:ascii="Calibri" w:cs="Calibri" w:eastAsia="Calibri" w:hAnsi="Calibri"/>
                <w:b w:val="false"/>
                <w:bCs w:val="false"/>
                <w:color w:val="1A1A1A"/>
                <w:sz w:val="20"/>
                <w:szCs w:val="20"/>
              </w:rPr>
              <w:t xml:space="preserve">Incident/regulatory RAG agent</w:t>
            </w:r>
          </w:p>
        </w:tc>
        <w:tc>
          <w:tcPr>
            <w:tcW w:type="dxa" w:w="29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Live</w:t>
            </w:r>
          </w:p>
        </w:tc>
        <w:tc>
          <w:tcPr>
            <w:tcW w:type="dxa" w:w="3760"/>
            <w:tcMar>
              <w:top w:type="dxa" w:w="100"/>
              <w:left w:type="dxa" w:w="120"/>
              <w:bottom w:type="dxa" w:w="100"/>
              <w:right w:type="dxa" w:w="120"/>
            </w:tcMar>
          </w:tcPr>
          <w:p>
            <w:r>
              <w:rPr>
                <w:rFonts w:ascii="Calibri" w:cs="Calibri" w:eastAsia="Calibri" w:hAnsi="Calibri"/>
                <w:b w:val="false"/>
                <w:bCs w:val="false"/>
                <w:color w:val="1A1A1A"/>
                <w:sz w:val="20"/>
                <w:szCs w:val="20"/>
              </w:rPr>
              <w:t xml:space="preserve">Strongest differentiator vs. every competitor listed above — every alert cites a real clause</w:t>
            </w:r>
          </w:p>
        </w:tc>
      </w:tr>
      <w:tr>
        <w:tc>
          <w:tcPr>
            <w:tcW w:type="dxa" w:w="2700"/>
            <w:tcMar>
              <w:top w:type="dxa" w:w="100"/>
              <w:left w:type="dxa" w:w="120"/>
              <w:bottom w:type="dxa" w:w="100"/>
              <w:right w:type="dxa" w:w="120"/>
            </w:tcMar>
          </w:tcPr>
          <w:p>
            <w:r>
              <w:rPr>
                <w:rFonts w:ascii="Calibri" w:cs="Calibri" w:eastAsia="Calibri" w:hAnsi="Calibri"/>
                <w:b w:val="false"/>
                <w:bCs w:val="false"/>
                <w:color w:val="1A1A1A"/>
                <w:sz w:val="20"/>
                <w:szCs w:val="20"/>
              </w:rPr>
              <w:t xml:space="preserve">Emergency response orchestrator</w:t>
            </w:r>
          </w:p>
        </w:tc>
        <w:tc>
          <w:tcPr>
            <w:tcW w:type="dxa" w:w="2900"/>
            <w:tcMar>
              <w:top w:type="dxa" w:w="100"/>
              <w:left w:type="dxa" w:w="120"/>
              <w:bottom w:type="dxa" w:w="100"/>
              <w:right w:type="dxa" w:w="120"/>
            </w:tcMar>
          </w:tcPr>
          <w:p>
            <w:r>
              <w:rPr>
                <w:rFonts w:ascii="Calibri" w:cs="Calibri" w:eastAsia="Calibri" w:hAnsi="Calibri"/>
                <w:b w:val="false"/>
                <w:bCs w:val="false"/>
                <w:color w:val="1A1A1A"/>
                <w:sz w:val="20"/>
                <w:szCs w:val="20"/>
              </w:rPr>
              <w:t xml:space="preserve">Mocked (slide + one canned output)</w:t>
            </w:r>
          </w:p>
        </w:tc>
        <w:tc>
          <w:tcPr>
            <w:tcW w:type="dxa" w:w="3760"/>
            <w:tcMar>
              <w:top w:type="dxa" w:w="100"/>
              <w:left w:type="dxa" w:w="120"/>
              <w:bottom w:type="dxa" w:w="100"/>
              <w:right w:type="dxa" w:w="120"/>
            </w:tcMar>
          </w:tcPr>
          <w:p>
            <w:r>
              <w:rPr>
                <w:rFonts w:ascii="Calibri" w:cs="Calibri" w:eastAsia="Calibri" w:hAnsi="Calibri"/>
                <w:b w:val="false"/>
                <w:bCs w:val="false"/>
                <w:color w:val="1A1A1A"/>
                <w:sz w:val="20"/>
                <w:szCs w:val="20"/>
              </w:rPr>
              <w:t xml:space="preserve">High integration cost, low marginal proof value for a 20-day build</w:t>
            </w:r>
          </w:p>
        </w:tc>
      </w:tr>
      <w:tr>
        <w:tc>
          <w:tcPr>
            <w:tcW w:type="dxa" w:w="2700"/>
            <w:tcMar>
              <w:top w:type="dxa" w:w="100"/>
              <w:left w:type="dxa" w:w="120"/>
              <w:bottom w:type="dxa" w:w="100"/>
              <w:right w:type="dxa" w:w="120"/>
            </w:tcMar>
          </w:tcPr>
          <w:p>
            <w:r>
              <w:rPr>
                <w:rFonts w:ascii="Calibri" w:cs="Calibri" w:eastAsia="Calibri" w:hAnsi="Calibri"/>
                <w:b w:val="false"/>
                <w:bCs w:val="false"/>
                <w:color w:val="1A1A1A"/>
                <w:sz w:val="20"/>
                <w:szCs w:val="20"/>
              </w:rPr>
              <w:t xml:space="preserve">CCTV / computer-vision layer</w:t>
            </w:r>
          </w:p>
        </w:tc>
        <w:tc>
          <w:tcPr>
            <w:tcW w:type="dxa" w:w="2900"/>
            <w:tcMar>
              <w:top w:type="dxa" w:w="100"/>
              <w:left w:type="dxa" w:w="120"/>
              <w:bottom w:type="dxa" w:w="100"/>
              <w:right w:type="dxa" w:w="120"/>
            </w:tcMar>
          </w:tcPr>
          <w:p>
            <w:r>
              <w:rPr>
                <w:rFonts w:ascii="Calibri" w:cs="Calibri" w:eastAsia="Calibri" w:hAnsi="Calibri"/>
                <w:b w:val="false"/>
                <w:bCs w:val="false"/>
                <w:color w:val="1A1A1A"/>
                <w:sz w:val="20"/>
                <w:szCs w:val="20"/>
              </w:rPr>
              <w:t xml:space="preserve">Mentioned only (future data source)</w:t>
            </w:r>
          </w:p>
        </w:tc>
        <w:tc>
          <w:tcPr>
            <w:tcW w:type="dxa" w:w="3760"/>
            <w:tcMar>
              <w:top w:type="dxa" w:w="100"/>
              <w:left w:type="dxa" w:w="120"/>
              <w:bottom w:type="dxa" w:w="100"/>
              <w:right w:type="dxa" w:w="120"/>
            </w:tcMar>
          </w:tcPr>
          <w:p>
            <w:r>
              <w:rPr>
                <w:rFonts w:ascii="Calibri" w:cs="Calibri" w:eastAsia="Calibri" w:hAnsi="Calibri"/>
                <w:b w:val="false"/>
                <w:bCs w:val="false"/>
                <w:color w:val="1A1A1A"/>
                <w:sz w:val="20"/>
                <w:szCs w:val="20"/>
              </w:rPr>
              <w:t xml:space="preserve">Biggest time sink, least differentiation — every CV competitor already does this well</w:t>
            </w:r>
          </w:p>
        </w:tc>
      </w:tr>
    </w:tbl>
    <w:p>
      <w:pPr>
        <w:pStyle w:val="Heading1"/>
        <w:spacing w:after="160" w:before="320"/>
      </w:pPr>
      <w:r>
        <w:t xml:space="preserve">Technology stack</w:t>
      </w:r>
    </w:p>
    <w:tbl>
      <w:tblPr>
        <w:tblW w:type="dxa" w:w="9360"/>
        <w:tblBorders>
          <w:top w:val="single" w:color="B4B2A9" w:sz="2"/>
          <w:left w:val="single" w:color="B4B2A9" w:sz="2"/>
          <w:bottom w:val="single" w:color="B4B2A9" w:sz="2"/>
          <w:right w:val="single" w:color="B4B2A9" w:sz="2"/>
          <w:insideH w:val="single" w:color="B4B2A9" w:sz="2"/>
          <w:insideV w:val="single" w:color="B4B2A9" w:sz="2"/>
        </w:tblBorders>
      </w:tblPr>
      <w:tblGrid>
        <w:gridCol w:w="2300"/>
        <w:gridCol w:w="3600"/>
        <w:gridCol w:w="3460"/>
      </w:tblGrid>
      <w:tr>
        <w:trPr>
          <w:tblHeader/>
        </w:trPr>
        <w:tc>
          <w:tcPr>
            <w:tcW w:type="dxa" w:w="230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360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Choice</w:t>
            </w:r>
          </w:p>
        </w:tc>
        <w:tc>
          <w:tcPr>
            <w:tcW w:type="dxa" w:w="346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Note</w:t>
            </w:r>
          </w:p>
        </w:tc>
      </w:tr>
      <w:tr>
        <w:tc>
          <w:tcPr>
            <w:tcW w:type="dxa" w:w="2300"/>
            <w:tcMar>
              <w:top w:type="dxa" w:w="100"/>
              <w:left w:type="dxa" w:w="120"/>
              <w:bottom w:type="dxa" w:w="100"/>
              <w:right w:type="dxa" w:w="120"/>
            </w:tcMar>
          </w:tcPr>
          <w:p>
            <w:r>
              <w:rPr>
                <w:rFonts w:ascii="Calibri" w:cs="Calibri" w:eastAsia="Calibri" w:hAnsi="Calibri"/>
                <w:b w:val="false"/>
                <w:bCs w:val="false"/>
                <w:color w:val="1A1A1A"/>
                <w:sz w:val="20"/>
                <w:szCs w:val="20"/>
              </w:rPr>
              <w:t xml:space="preserve">Backend</w:t>
            </w:r>
          </w:p>
        </w:tc>
        <w:tc>
          <w:tcPr>
            <w:tcW w:type="dxa" w:w="3600"/>
            <w:tcMar>
              <w:top w:type="dxa" w:w="100"/>
              <w:left w:type="dxa" w:w="120"/>
              <w:bottom w:type="dxa" w:w="100"/>
              <w:right w:type="dxa" w:w="120"/>
            </w:tcMar>
          </w:tcPr>
          <w:p>
            <w:r>
              <w:rPr>
                <w:rFonts w:ascii="Calibri" w:cs="Calibri" w:eastAsia="Calibri" w:hAnsi="Calibri"/>
                <w:b w:val="false"/>
                <w:bCs w:val="false"/>
                <w:color w:val="1A1A1A"/>
                <w:sz w:val="20"/>
                <w:szCs w:val="20"/>
              </w:rPr>
              <w:t xml:space="preserve">Python + FastAPI</w:t>
            </w:r>
          </w:p>
        </w:tc>
        <w:tc>
          <w:tcPr>
            <w:tcW w:type="dxa" w:w="3460"/>
            <w:tcMar>
              <w:top w:type="dxa" w:w="100"/>
              <w:left w:type="dxa" w:w="120"/>
              <w:bottom w:type="dxa" w:w="100"/>
              <w:right w:type="dxa" w:w="120"/>
            </w:tcMar>
          </w:tcPr>
          <w:p>
            <w:r>
              <w:rPr>
                <w:rFonts w:ascii="Calibri" w:cs="Calibri" w:eastAsia="Calibri" w:hAnsi="Calibri"/>
                <w:b w:val="false"/>
                <w:bCs w:val="false"/>
                <w:color w:val="1A1A1A"/>
                <w:sz w:val="20"/>
                <w:szCs w:val="20"/>
              </w:rPr>
              <w:t xml:space="preserve">Ingestion, agent orchestration endpoints</w:t>
            </w:r>
          </w:p>
        </w:tc>
      </w:tr>
      <w:tr>
        <w:tc>
          <w:tcPr>
            <w:tcW w:type="dxa" w:w="2300"/>
            <w:tcMar>
              <w:top w:type="dxa" w:w="100"/>
              <w:left w:type="dxa" w:w="120"/>
              <w:bottom w:type="dxa" w:w="100"/>
              <w:right w:type="dxa" w:w="120"/>
            </w:tcMar>
          </w:tcPr>
          <w:p>
            <w:r>
              <w:rPr>
                <w:rFonts w:ascii="Calibri" w:cs="Calibri" w:eastAsia="Calibri" w:hAnsi="Calibri"/>
                <w:b w:val="false"/>
                <w:bCs w:val="false"/>
                <w:color w:val="1A1A1A"/>
                <w:sz w:val="20"/>
                <w:szCs w:val="20"/>
              </w:rPr>
              <w:t xml:space="preserve">Agent orchestration</w:t>
            </w:r>
          </w:p>
        </w:tc>
        <w:tc>
          <w:tcPr>
            <w:tcW w:type="dxa" w:w="3600"/>
            <w:tcMar>
              <w:top w:type="dxa" w:w="100"/>
              <w:left w:type="dxa" w:w="120"/>
              <w:bottom w:type="dxa" w:w="100"/>
              <w:right w:type="dxa" w:w="120"/>
            </w:tcMar>
          </w:tcPr>
          <w:p>
            <w:r>
              <w:rPr>
                <w:rFonts w:ascii="Calibri" w:cs="Calibri" w:eastAsia="Calibri" w:hAnsi="Calibri"/>
                <w:b w:val="false"/>
                <w:bCs w:val="false"/>
                <w:color w:val="1A1A1A"/>
                <w:sz w:val="20"/>
                <w:szCs w:val="20"/>
              </w:rPr>
              <w:t xml:space="preserve">LangGraph, or a hand-rolled state machine</w:t>
            </w:r>
          </w:p>
        </w:tc>
        <w:tc>
          <w:tcPr>
            <w:tcW w:type="dxa" w:w="3460"/>
            <w:tcMar>
              <w:top w:type="dxa" w:w="100"/>
              <w:left w:type="dxa" w:w="120"/>
              <w:bottom w:type="dxa" w:w="100"/>
              <w:right w:type="dxa" w:w="120"/>
            </w:tcMar>
          </w:tcPr>
          <w:p>
            <w:r>
              <w:rPr>
                <w:rFonts w:ascii="Calibri" w:cs="Calibri" w:eastAsia="Calibri" w:hAnsi="Calibri"/>
                <w:b w:val="false"/>
                <w:bCs w:val="false"/>
                <w:color w:val="1A1A1A"/>
                <w:sz w:val="20"/>
                <w:szCs w:val="20"/>
              </w:rPr>
              <w:t xml:space="preserve">Use the simpler option if the team hasn't used LangGraph before — don't spend build days learning a framework</w:t>
            </w:r>
          </w:p>
        </w:tc>
      </w:tr>
      <w:tr>
        <w:tc>
          <w:tcPr>
            <w:tcW w:type="dxa" w:w="2300"/>
            <w:tcMar>
              <w:top w:type="dxa" w:w="100"/>
              <w:left w:type="dxa" w:w="120"/>
              <w:bottom w:type="dxa" w:w="100"/>
              <w:right w:type="dxa" w:w="120"/>
            </w:tcMar>
          </w:tcPr>
          <w:p>
            <w:r>
              <w:rPr>
                <w:rFonts w:ascii="Calibri" w:cs="Calibri" w:eastAsia="Calibri" w:hAnsi="Calibri"/>
                <w:b w:val="false"/>
                <w:bCs w:val="false"/>
                <w:color w:val="1A1A1A"/>
                <w:sz w:val="20"/>
                <w:szCs w:val="20"/>
              </w:rPr>
              <w:t xml:space="preserve">Vector store</w:t>
            </w:r>
          </w:p>
        </w:tc>
        <w:tc>
          <w:tcPr>
            <w:tcW w:type="dxa" w:w="3600"/>
            <w:tcMar>
              <w:top w:type="dxa" w:w="100"/>
              <w:left w:type="dxa" w:w="120"/>
              <w:bottom w:type="dxa" w:w="100"/>
              <w:right w:type="dxa" w:w="120"/>
            </w:tcMar>
          </w:tcPr>
          <w:p>
            <w:r>
              <w:rPr>
                <w:rFonts w:ascii="Calibri" w:cs="Calibri" w:eastAsia="Calibri" w:hAnsi="Calibri"/>
                <w:b w:val="false"/>
                <w:bCs w:val="false"/>
                <w:color w:val="1A1A1A"/>
                <w:sz w:val="20"/>
                <w:szCs w:val="20"/>
              </w:rPr>
              <w:t xml:space="preserve">Chroma or FAISS</w:t>
            </w:r>
          </w:p>
        </w:tc>
        <w:tc>
          <w:tcPr>
            <w:tcW w:type="dxa" w:w="3460"/>
            <w:tcMar>
              <w:top w:type="dxa" w:w="100"/>
              <w:left w:type="dxa" w:w="120"/>
              <w:bottom w:type="dxa" w:w="100"/>
              <w:right w:type="dxa" w:w="120"/>
            </w:tcMar>
          </w:tcPr>
          <w:p>
            <w:r>
              <w:rPr>
                <w:rFonts w:ascii="Calibri" w:cs="Calibri" w:eastAsia="Calibri" w:hAnsi="Calibri"/>
                <w:b w:val="false"/>
                <w:bCs w:val="false"/>
                <w:color w:val="1A1A1A"/>
                <w:sz w:val="20"/>
                <w:szCs w:val="20"/>
              </w:rPr>
              <w:t xml:space="preserve">Regulatory RAG corpus + synthetic near-miss reports</w:t>
            </w:r>
          </w:p>
        </w:tc>
      </w:tr>
      <w:tr>
        <w:tc>
          <w:tcPr>
            <w:tcW w:type="dxa" w:w="2300"/>
            <w:tcMar>
              <w:top w:type="dxa" w:w="100"/>
              <w:left w:type="dxa" w:w="120"/>
              <w:bottom w:type="dxa" w:w="100"/>
              <w:right w:type="dxa" w:w="120"/>
            </w:tcMar>
          </w:tcPr>
          <w:p>
            <w:r>
              <w:rPr>
                <w:rFonts w:ascii="Calibri" w:cs="Calibri" w:eastAsia="Calibri" w:hAnsi="Calibri"/>
                <w:b w:val="false"/>
                <w:bCs w:val="false"/>
                <w:color w:val="1A1A1A"/>
                <w:sz w:val="20"/>
                <w:szCs w:val="20"/>
              </w:rPr>
              <w:t xml:space="preserve">Knowledge relationships</w:t>
            </w:r>
          </w:p>
        </w:tc>
        <w:tc>
          <w:tcPr>
            <w:tcW w:type="dxa" w:w="3600"/>
            <w:tcMar>
              <w:top w:type="dxa" w:w="100"/>
              <w:left w:type="dxa" w:w="120"/>
              <w:bottom w:type="dxa" w:w="100"/>
              <w:right w:type="dxa" w:w="120"/>
            </w:tcMar>
          </w:tcPr>
          <w:p>
            <w:r>
              <w:rPr>
                <w:rFonts w:ascii="Calibri" w:cs="Calibri" w:eastAsia="Calibri" w:hAnsi="Calibri"/>
                <w:b w:val="false"/>
                <w:bCs w:val="false"/>
                <w:color w:val="1A1A1A"/>
                <w:sz w:val="20"/>
                <w:szCs w:val="20"/>
              </w:rPr>
              <w:t xml:space="preserve">Plain dicts/joins for the demo; describe as a knowledge graph on the architecture slide</w:t>
            </w:r>
          </w:p>
        </w:tc>
        <w:tc>
          <w:tcPr>
            <w:tcW w:type="dxa" w:w="3460"/>
            <w:tcMar>
              <w:top w:type="dxa" w:w="100"/>
              <w:left w:type="dxa" w:w="120"/>
              <w:bottom w:type="dxa" w:w="100"/>
              <w:right w:type="dxa" w:w="120"/>
            </w:tcMar>
          </w:tcPr>
          <w:p>
            <w:r>
              <w:rPr>
                <w:rFonts w:ascii="Calibri" w:cs="Calibri" w:eastAsia="Calibri" w:hAnsi="Calibri"/>
                <w:b w:val="false"/>
                <w:bCs w:val="false"/>
                <w:color w:val="1A1A1A"/>
                <w:sz w:val="20"/>
                <w:szCs w:val="20"/>
              </w:rPr>
              <w:t xml:space="preserve">Neo4j is a nice-to-mention differentiator but a real time sink to build and debug in 20 days</w:t>
            </w:r>
          </w:p>
        </w:tc>
      </w:tr>
      <w:tr>
        <w:tc>
          <w:tcPr>
            <w:tcW w:type="dxa" w:w="2300"/>
            <w:tcMar>
              <w:top w:type="dxa" w:w="100"/>
              <w:left w:type="dxa" w:w="120"/>
              <w:bottom w:type="dxa" w:w="100"/>
              <w:right w:type="dxa" w:w="120"/>
            </w:tcMar>
          </w:tcPr>
          <w:p>
            <w:r>
              <w:rPr>
                <w:rFonts w:ascii="Calibri" w:cs="Calibri" w:eastAsia="Calibri" w:hAnsi="Calibri"/>
                <w:b w:val="false"/>
                <w:bCs w:val="false"/>
                <w:color w:val="1A1A1A"/>
                <w:sz w:val="20"/>
                <w:szCs w:val="20"/>
              </w:rPr>
              <w:t xml:space="preserve">LLM</w:t>
            </w:r>
          </w:p>
        </w:tc>
        <w:tc>
          <w:tcPr>
            <w:tcW w:type="dxa" w:w="3600"/>
            <w:tcMar>
              <w:top w:type="dxa" w:w="100"/>
              <w:left w:type="dxa" w:w="120"/>
              <w:bottom w:type="dxa" w:w="100"/>
              <w:right w:type="dxa" w:w="120"/>
            </w:tcMar>
          </w:tcPr>
          <w:p>
            <w:r>
              <w:rPr>
                <w:rFonts w:ascii="Calibri" w:cs="Calibri" w:eastAsia="Calibri" w:hAnsi="Calibri"/>
                <w:b w:val="false"/>
                <w:bCs w:val="false"/>
                <w:color w:val="1A1A1A"/>
                <w:sz w:val="20"/>
                <w:szCs w:val="20"/>
              </w:rPr>
              <w:t xml:space="preserve">Claude API</w:t>
            </w:r>
          </w:p>
        </w:tc>
        <w:tc>
          <w:tcPr>
            <w:tcW w:type="dxa" w:w="3460"/>
            <w:tcMar>
              <w:top w:type="dxa" w:w="100"/>
              <w:left w:type="dxa" w:w="120"/>
              <w:bottom w:type="dxa" w:w="100"/>
              <w:right w:type="dxa" w:w="120"/>
            </w:tcMar>
          </w:tcPr>
          <w:p>
            <w:r>
              <w:rPr>
                <w:rFonts w:ascii="Calibri" w:cs="Calibri" w:eastAsia="Calibri" w:hAnsi="Calibri"/>
                <w:b w:val="false"/>
                <w:bCs w:val="false"/>
                <w:color w:val="1A1A1A"/>
                <w:sz w:val="20"/>
                <w:szCs w:val="20"/>
              </w:rPr>
              <w:t xml:space="preserve">Reasoning/orchestrator agent, alert explanations, auto-generated report text</w:t>
            </w:r>
          </w:p>
        </w:tc>
      </w:tr>
      <w:tr>
        <w:tc>
          <w:tcPr>
            <w:tcW w:type="dxa" w:w="2300"/>
            <w:tcMar>
              <w:top w:type="dxa" w:w="100"/>
              <w:left w:type="dxa" w:w="120"/>
              <w:bottom w:type="dxa" w:w="100"/>
              <w:right w:type="dxa" w:w="120"/>
            </w:tcMar>
          </w:tcPr>
          <w:p>
            <w:r>
              <w:rPr>
                <w:rFonts w:ascii="Calibri" w:cs="Calibri" w:eastAsia="Calibri" w:hAnsi="Calibri"/>
                <w:b w:val="false"/>
                <w:bCs w:val="false"/>
                <w:color w:val="1A1A1A"/>
                <w:sz w:val="20"/>
                <w:szCs w:val="20"/>
              </w:rPr>
              <w:t xml:space="preserve">Frontend</w:t>
            </w:r>
          </w:p>
        </w:tc>
        <w:tc>
          <w:tcPr>
            <w:tcW w:type="dxa" w:w="3600"/>
            <w:tcMar>
              <w:top w:type="dxa" w:w="100"/>
              <w:left w:type="dxa" w:w="120"/>
              <w:bottom w:type="dxa" w:w="100"/>
              <w:right w:type="dxa" w:w="120"/>
            </w:tcMar>
          </w:tcPr>
          <w:p>
            <w:r>
              <w:rPr>
                <w:rFonts w:ascii="Calibri" w:cs="Calibri" w:eastAsia="Calibri" w:hAnsi="Calibri"/>
                <w:b w:val="false"/>
                <w:bCs w:val="false"/>
                <w:color w:val="1A1A1A"/>
                <w:sz w:val="20"/>
                <w:szCs w:val="20"/>
              </w:rPr>
              <w:t xml:space="preserve">React + Tailwind, recharts for the risk-score timeline</w:t>
            </w:r>
          </w:p>
        </w:tc>
        <w:tc>
          <w:tcPr>
            <w:tcW w:type="dxa" w:w="3460"/>
            <w:tcMar>
              <w:top w:type="dxa" w:w="100"/>
              <w:left w:type="dxa" w:w="120"/>
              <w:bottom w:type="dxa" w:w="100"/>
              <w:right w:type="dxa" w:w="120"/>
            </w:tcMar>
          </w:tcPr>
          <w:p>
            <w:r>
              <w:rPr>
                <w:rFonts w:ascii="Calibri" w:cs="Calibri" w:eastAsia="Calibri" w:hAnsi="Calibri"/>
                <w:b w:val="false"/>
                <w:bCs w:val="false"/>
                <w:color w:val="1A1A1A"/>
                <w:sz w:val="20"/>
                <w:szCs w:val="20"/>
              </w:rPr>
              <w:t xml:space="preserve">SVG floorplan for the heatmap</w:t>
            </w:r>
          </w:p>
        </w:tc>
      </w:tr>
      <w:tr>
        <w:tc>
          <w:tcPr>
            <w:tcW w:type="dxa" w:w="2300"/>
            <w:tcMar>
              <w:top w:type="dxa" w:w="100"/>
              <w:left w:type="dxa" w:w="120"/>
              <w:bottom w:type="dxa" w:w="100"/>
              <w:right w:type="dxa" w:w="120"/>
            </w:tcMar>
          </w:tcPr>
          <w:p>
            <w:r>
              <w:rPr>
                <w:rFonts w:ascii="Calibri" w:cs="Calibri" w:eastAsia="Calibri" w:hAnsi="Calibri"/>
                <w:b w:val="false"/>
                <w:bCs w:val="false"/>
                <w:color w:val="1A1A1A"/>
                <w:sz w:val="20"/>
                <w:szCs w:val="20"/>
              </w:rPr>
              <w:t xml:space="preserve">Data</w:t>
            </w:r>
          </w:p>
        </w:tc>
        <w:tc>
          <w:tcPr>
            <w:tcW w:type="dxa" w:w="3600"/>
            <w:tcMar>
              <w:top w:type="dxa" w:w="100"/>
              <w:left w:type="dxa" w:w="120"/>
              <w:bottom w:type="dxa" w:w="100"/>
              <w:right w:type="dxa" w:w="120"/>
            </w:tcMar>
          </w:tcPr>
          <w:p>
            <w:r>
              <w:rPr>
                <w:rFonts w:ascii="Calibri" w:cs="Calibri" w:eastAsia="Calibri" w:hAnsi="Calibri"/>
                <w:b w:val="false"/>
                <w:bCs w:val="false"/>
                <w:color w:val="1A1A1A"/>
                <w:sz w:val="20"/>
                <w:szCs w:val="20"/>
              </w:rPr>
              <w:t xml:space="preserve">Fully synthetic, generated in-house</w:t>
            </w:r>
          </w:p>
        </w:tc>
        <w:tc>
          <w:tcPr>
            <w:tcW w:type="dxa" w:w="3460"/>
            <w:tcMar>
              <w:top w:type="dxa" w:w="100"/>
              <w:left w:type="dxa" w:w="120"/>
              <w:bottom w:type="dxa" w:w="100"/>
              <w:right w:type="dxa" w:w="120"/>
            </w:tcMar>
          </w:tcPr>
          <w:p>
            <w:r>
              <w:rPr>
                <w:rFonts w:ascii="Calibri" w:cs="Calibri" w:eastAsia="Calibri" w:hAnsi="Calibri"/>
                <w:b w:val="false"/>
                <w:bCs w:val="false"/>
                <w:color w:val="1A1A1A"/>
                <w:sz w:val="20"/>
                <w:szCs w:val="20"/>
              </w:rPr>
              <w:t xml:space="preserve">State this explicitly in the deck — do not imply real plant validation</w:t>
            </w:r>
          </w:p>
        </w:tc>
      </w:tr>
    </w:tbl>
    <w:p>
      <w:pPr>
        <w:pStyle w:val="Heading1"/>
        <w:spacing w:after="160" w:before="320"/>
      </w:pPr>
      <w:r>
        <w:t xml:space="preserve">20-day timeline</w:t>
      </w:r>
    </w:p>
    <w:tbl>
      <w:tblPr>
        <w:tblW w:type="dxa" w:w="9360"/>
        <w:tblBorders>
          <w:top w:val="single" w:color="B4B2A9" w:sz="2"/>
          <w:left w:val="single" w:color="B4B2A9" w:sz="2"/>
          <w:bottom w:val="single" w:color="B4B2A9" w:sz="2"/>
          <w:right w:val="single" w:color="B4B2A9" w:sz="2"/>
          <w:insideH w:val="single" w:color="B4B2A9" w:sz="2"/>
          <w:insideV w:val="single" w:color="B4B2A9" w:sz="2"/>
        </w:tblBorders>
      </w:tblPr>
      <w:tblGrid>
        <w:gridCol w:w="1600"/>
        <w:gridCol w:w="7760"/>
      </w:tblGrid>
      <w:tr>
        <w:trPr>
          <w:tblHeader/>
        </w:trPr>
        <w:tc>
          <w:tcPr>
            <w:tcW w:type="dxa" w:w="160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Days</w:t>
            </w:r>
          </w:p>
        </w:tc>
        <w:tc>
          <w:tcPr>
            <w:tcW w:type="dxa" w:w="7760"/>
            <w:shd w:fill="0F6E56" w:val="clear"/>
            <w:tcMar>
              <w:top w:type="dxa" w:w="100"/>
              <w:left w:type="dxa" w:w="120"/>
              <w:bottom w:type="dxa" w:w="100"/>
              <w:right w:type="dxa" w:w="120"/>
            </w:tcMar>
          </w:tcPr>
          <w:p>
            <w:r>
              <w:rPr>
                <w:rFonts w:ascii="Calibri" w:cs="Calibri" w:eastAsia="Calibri" w:hAnsi="Calibri"/>
                <w:b/>
                <w:bCs/>
                <w:color w:val="FFFFFF"/>
                <w:sz w:val="20"/>
                <w:szCs w:val="20"/>
              </w:rPr>
              <w:t xml:space="preserve">Focus</w:t>
            </w:r>
          </w:p>
        </w:tc>
      </w:tr>
      <w:tr>
        <w:tc>
          <w:tcPr>
            <w:tcW w:type="dxa" w:w="1600"/>
            <w:tcMar>
              <w:top w:type="dxa" w:w="100"/>
              <w:left w:type="dxa" w:w="120"/>
              <w:bottom w:type="dxa" w:w="100"/>
              <w:right w:type="dxa" w:w="120"/>
            </w:tcMar>
          </w:tcPr>
          <w:p>
            <w:r>
              <w:rPr>
                <w:rFonts w:ascii="Calibri" w:cs="Calibri" w:eastAsia="Calibri" w:hAnsi="Calibri"/>
                <w:b w:val="false"/>
                <w:bCs w:val="false"/>
                <w:color w:val="1A1A1A"/>
                <w:sz w:val="20"/>
                <w:szCs w:val="20"/>
              </w:rPr>
              <w:t xml:space="preserve">1–2</w:t>
            </w:r>
          </w:p>
        </w:tc>
        <w:tc>
          <w:tcPr>
            <w:tcW w:type="dxa" w:w="7760"/>
            <w:tcMar>
              <w:top w:type="dxa" w:w="100"/>
              <w:left w:type="dxa" w:w="120"/>
              <w:bottom w:type="dxa" w:w="100"/>
              <w:right w:type="dxa" w:w="120"/>
            </w:tcMar>
          </w:tcPr>
          <w:p>
            <w:r>
              <w:rPr>
                <w:rFonts w:ascii="Calibri" w:cs="Calibri" w:eastAsia="Calibri" w:hAnsi="Calibri"/>
                <w:b w:val="false"/>
                <w:bCs w:val="false"/>
                <w:color w:val="1A1A1A"/>
                <w:sz w:val="20"/>
                <w:szCs w:val="20"/>
              </w:rPr>
              <w:t xml:space="preserve">Finalize scope, assign roles, write the synthetic data generator spec, pull 5–10 real OISD/DGMS/Factory Act clauses for the RAG corpus</w:t>
            </w:r>
          </w:p>
        </w:tc>
      </w:tr>
      <w:tr>
        <w:tc>
          <w:tcPr>
            <w:tcW w:type="dxa" w:w="1600"/>
            <w:tcMar>
              <w:top w:type="dxa" w:w="100"/>
              <w:left w:type="dxa" w:w="120"/>
              <w:bottom w:type="dxa" w:w="100"/>
              <w:right w:type="dxa" w:w="120"/>
            </w:tcMar>
          </w:tcPr>
          <w:p>
            <w:r>
              <w:rPr>
                <w:rFonts w:ascii="Calibri" w:cs="Calibri" w:eastAsia="Calibri" w:hAnsi="Calibri"/>
                <w:b w:val="false"/>
                <w:bCs w:val="false"/>
                <w:color w:val="1A1A1A"/>
                <w:sz w:val="20"/>
                <w:szCs w:val="20"/>
              </w:rPr>
              <w:t xml:space="preserve">3–5</w:t>
            </w:r>
          </w:p>
        </w:tc>
        <w:tc>
          <w:tcPr>
            <w:tcW w:type="dxa" w:w="7760"/>
            <w:tcMar>
              <w:top w:type="dxa" w:w="100"/>
              <w:left w:type="dxa" w:w="120"/>
              <w:bottom w:type="dxa" w:w="100"/>
              <w:right w:type="dxa" w:w="120"/>
            </w:tcMar>
          </w:tcPr>
          <w:p>
            <w:r>
              <w:rPr>
                <w:rFonts w:ascii="Calibri" w:cs="Calibri" w:eastAsia="Calibri" w:hAnsi="Calibri"/>
                <w:b w:val="false"/>
                <w:bCs w:val="false"/>
                <w:color w:val="1A1A1A"/>
                <w:sz w:val="20"/>
                <w:szCs w:val="20"/>
              </w:rPr>
              <w:t xml:space="preserve">Build the data simulation layer and FastAPI ingestion; get gas/permit/maintenance data flowing end-to-end</w:t>
            </w:r>
          </w:p>
        </w:tc>
      </w:tr>
      <w:tr>
        <w:tc>
          <w:tcPr>
            <w:tcW w:type="dxa" w:w="1600"/>
            <w:tcMar>
              <w:top w:type="dxa" w:w="100"/>
              <w:left w:type="dxa" w:w="120"/>
              <w:bottom w:type="dxa" w:w="100"/>
              <w:right w:type="dxa" w:w="120"/>
            </w:tcMar>
          </w:tcPr>
          <w:p>
            <w:r>
              <w:rPr>
                <w:rFonts w:ascii="Calibri" w:cs="Calibri" w:eastAsia="Calibri" w:hAnsi="Calibri"/>
                <w:b w:val="false"/>
                <w:bCs w:val="false"/>
                <w:color w:val="1A1A1A"/>
                <w:sz w:val="20"/>
                <w:szCs w:val="20"/>
              </w:rPr>
              <w:t xml:space="preserve">6–9</w:t>
            </w:r>
          </w:p>
        </w:tc>
        <w:tc>
          <w:tcPr>
            <w:tcW w:type="dxa" w:w="7760"/>
            <w:tcMar>
              <w:top w:type="dxa" w:w="100"/>
              <w:left w:type="dxa" w:w="120"/>
              <w:bottom w:type="dxa" w:w="100"/>
              <w:right w:type="dxa" w:w="120"/>
            </w:tcMar>
          </w:tcPr>
          <w:p>
            <w:r>
              <w:rPr>
                <w:rFonts w:ascii="Calibri" w:cs="Calibri" w:eastAsia="Calibri" w:hAnsi="Calibri"/>
                <w:b w:val="false"/>
                <w:bCs w:val="false"/>
                <w:color w:val="1A1A1A"/>
                <w:sz w:val="20"/>
                <w:szCs w:val="20"/>
              </w:rPr>
              <w:t xml:space="preserve">Build the three domain agents and orchestrator fusion logic; get one compound-risk scenario firing correctly (e.g. hot work permit + rising gas + no fire watch logged)</w:t>
            </w:r>
          </w:p>
        </w:tc>
      </w:tr>
      <w:tr>
        <w:tc>
          <w:tcPr>
            <w:tcW w:type="dxa" w:w="1600"/>
            <w:tcMar>
              <w:top w:type="dxa" w:w="100"/>
              <w:left w:type="dxa" w:w="120"/>
              <w:bottom w:type="dxa" w:w="100"/>
              <w:right w:type="dxa" w:w="120"/>
            </w:tcMar>
          </w:tcPr>
          <w:p>
            <w:r>
              <w:rPr>
                <w:rFonts w:ascii="Calibri" w:cs="Calibri" w:eastAsia="Calibri" w:hAnsi="Calibri"/>
                <w:b w:val="false"/>
                <w:bCs w:val="false"/>
                <w:color w:val="1A1A1A"/>
                <w:sz w:val="20"/>
                <w:szCs w:val="20"/>
              </w:rPr>
              <w:t xml:space="preserve">10–12</w:t>
            </w:r>
          </w:p>
        </w:tc>
        <w:tc>
          <w:tcPr>
            <w:tcW w:type="dxa" w:w="7760"/>
            <w:tcMar>
              <w:top w:type="dxa" w:w="100"/>
              <w:left w:type="dxa" w:w="120"/>
              <w:bottom w:type="dxa" w:w="100"/>
              <w:right w:type="dxa" w:w="120"/>
            </w:tcMar>
          </w:tcPr>
          <w:p>
            <w:r>
              <w:rPr>
                <w:rFonts w:ascii="Calibri" w:cs="Calibri" w:eastAsia="Calibri" w:hAnsi="Calibri"/>
                <w:b w:val="false"/>
                <w:bCs w:val="false"/>
                <w:color w:val="1A1A1A"/>
                <w:sz w:val="20"/>
                <w:szCs w:val="20"/>
              </w:rPr>
              <w:t xml:space="preserve">Build the regulatory RAG — ingest clauses, get citation-on-alert working</w:t>
            </w:r>
          </w:p>
        </w:tc>
      </w:tr>
      <w:tr>
        <w:tc>
          <w:tcPr>
            <w:tcW w:type="dxa" w:w="1600"/>
            <w:tcMar>
              <w:top w:type="dxa" w:w="100"/>
              <w:left w:type="dxa" w:w="120"/>
              <w:bottom w:type="dxa" w:w="100"/>
              <w:right w:type="dxa" w:w="120"/>
            </w:tcMar>
          </w:tcPr>
          <w:p>
            <w:r>
              <w:rPr>
                <w:rFonts w:ascii="Calibri" w:cs="Calibri" w:eastAsia="Calibri" w:hAnsi="Calibri"/>
                <w:b w:val="false"/>
                <w:bCs w:val="false"/>
                <w:color w:val="1A1A1A"/>
                <w:sz w:val="20"/>
                <w:szCs w:val="20"/>
              </w:rPr>
              <w:t xml:space="preserve">13–15</w:t>
            </w:r>
          </w:p>
        </w:tc>
        <w:tc>
          <w:tcPr>
            <w:tcW w:type="dxa" w:w="7760"/>
            <w:tcMar>
              <w:top w:type="dxa" w:w="100"/>
              <w:left w:type="dxa" w:w="120"/>
              <w:bottom w:type="dxa" w:w="100"/>
              <w:right w:type="dxa" w:w="120"/>
            </w:tcMar>
          </w:tcPr>
          <w:p>
            <w:r>
              <w:rPr>
                <w:rFonts w:ascii="Calibri" w:cs="Calibri" w:eastAsia="Calibri" w:hAnsi="Calibri"/>
                <w:b w:val="false"/>
                <w:bCs w:val="false"/>
                <w:color w:val="1A1A1A"/>
                <w:sz w:val="20"/>
                <w:szCs w:val="20"/>
              </w:rPr>
              <w:t xml:space="preserve">Build the frontend: heatmap, risk-score timeline, explainable alert panel</w:t>
            </w:r>
          </w:p>
        </w:tc>
      </w:tr>
      <w:tr>
        <w:tc>
          <w:tcPr>
            <w:tcW w:type="dxa" w:w="1600"/>
            <w:tcMar>
              <w:top w:type="dxa" w:w="100"/>
              <w:left w:type="dxa" w:w="120"/>
              <w:bottom w:type="dxa" w:w="100"/>
              <w:right w:type="dxa" w:w="120"/>
            </w:tcMar>
          </w:tcPr>
          <w:p>
            <w:r>
              <w:rPr>
                <w:rFonts w:ascii="Calibri" w:cs="Calibri" w:eastAsia="Calibri" w:hAnsi="Calibri"/>
                <w:b w:val="false"/>
                <w:bCs w:val="false"/>
                <w:color w:val="1A1A1A"/>
                <w:sz w:val="20"/>
                <w:szCs w:val="20"/>
              </w:rPr>
              <w:t xml:space="preserve">16–17</w:t>
            </w:r>
          </w:p>
        </w:tc>
        <w:tc>
          <w:tcPr>
            <w:tcW w:type="dxa" w:w="7760"/>
            <w:tcMar>
              <w:top w:type="dxa" w:w="100"/>
              <w:left w:type="dxa" w:w="120"/>
              <w:bottom w:type="dxa" w:w="100"/>
              <w:right w:type="dxa" w:w="120"/>
            </w:tcMar>
          </w:tcPr>
          <w:p>
            <w:r>
              <w:rPr>
                <w:rFonts w:ascii="Calibri" w:cs="Calibri" w:eastAsia="Calibri" w:hAnsi="Calibri"/>
                <w:b w:val="false"/>
                <w:bCs w:val="false"/>
                <w:color w:val="1A1A1A"/>
                <w:sz w:val="20"/>
                <w:szCs w:val="20"/>
              </w:rPr>
              <w:t xml:space="preserve">Integration pass — connect frontend to the live backend, fix the seams</w:t>
            </w:r>
          </w:p>
        </w:tc>
      </w:tr>
      <w:tr>
        <w:tc>
          <w:tcPr>
            <w:tcW w:type="dxa" w:w="1600"/>
            <w:tcMar>
              <w:top w:type="dxa" w:w="100"/>
              <w:left w:type="dxa" w:w="120"/>
              <w:bottom w:type="dxa" w:w="100"/>
              <w:right w:type="dxa" w:w="120"/>
            </w:tcMar>
          </w:tcPr>
          <w:p>
            <w:r>
              <w:rPr>
                <w:rFonts w:ascii="Calibri" w:cs="Calibri" w:eastAsia="Calibri" w:hAnsi="Calibri"/>
                <w:b w:val="false"/>
                <w:bCs w:val="false"/>
                <w:color w:val="1A1A1A"/>
                <w:sz w:val="20"/>
                <w:szCs w:val="20"/>
              </w:rPr>
              <w:t xml:space="preserve">18</w:t>
            </w:r>
          </w:p>
        </w:tc>
        <w:tc>
          <w:tcPr>
            <w:tcW w:type="dxa" w:w="7760"/>
            <w:tcMar>
              <w:top w:type="dxa" w:w="100"/>
              <w:left w:type="dxa" w:w="120"/>
              <w:bottom w:type="dxa" w:w="100"/>
              <w:right w:type="dxa" w:w="120"/>
            </w:tcMar>
          </w:tcPr>
          <w:p>
            <w:r>
              <w:rPr>
                <w:rFonts w:ascii="Calibri" w:cs="Calibri" w:eastAsia="Calibri" w:hAnsi="Calibri"/>
                <w:b w:val="false"/>
                <w:bCs w:val="false"/>
                <w:color w:val="1A1A1A"/>
                <w:sz w:val="20"/>
                <w:szCs w:val="20"/>
              </w:rPr>
              <w:t xml:space="preserve">Build the emergency-response slide/stub and the auto-generated report demo</w:t>
            </w:r>
          </w:p>
        </w:tc>
      </w:tr>
      <w:tr>
        <w:tc>
          <w:tcPr>
            <w:tcW w:type="dxa" w:w="1600"/>
            <w:tcMar>
              <w:top w:type="dxa" w:w="100"/>
              <w:left w:type="dxa" w:w="120"/>
              <w:bottom w:type="dxa" w:w="100"/>
              <w:right w:type="dxa" w:w="120"/>
            </w:tcMar>
          </w:tcPr>
          <w:p>
            <w:r>
              <w:rPr>
                <w:rFonts w:ascii="Calibri" w:cs="Calibri" w:eastAsia="Calibri" w:hAnsi="Calibri"/>
                <w:b w:val="false"/>
                <w:bCs w:val="false"/>
                <w:color w:val="1A1A1A"/>
                <w:sz w:val="20"/>
                <w:szCs w:val="20"/>
              </w:rPr>
              <w:t xml:space="preserve">19</w:t>
            </w:r>
          </w:p>
        </w:tc>
        <w:tc>
          <w:tcPr>
            <w:tcW w:type="dxa" w:w="7760"/>
            <w:tcMar>
              <w:top w:type="dxa" w:w="100"/>
              <w:left w:type="dxa" w:w="120"/>
              <w:bottom w:type="dxa" w:w="100"/>
              <w:right w:type="dxa" w:w="120"/>
            </w:tcMar>
          </w:tcPr>
          <w:p>
            <w:r>
              <w:rPr>
                <w:rFonts w:ascii="Calibri" w:cs="Calibri" w:eastAsia="Calibri" w:hAnsi="Calibri"/>
                <w:b w:val="false"/>
                <w:bCs w:val="false"/>
                <w:color w:val="1A1A1A"/>
                <w:sz w:val="20"/>
                <w:szCs w:val="20"/>
              </w:rPr>
              <w:t xml:space="preserve">Full dry-run demo, record a backup video, finalize the architecture diagram and deck</w:t>
            </w:r>
          </w:p>
        </w:tc>
      </w:tr>
      <w:tr>
        <w:tc>
          <w:tcPr>
            <w:tcW w:type="dxa" w:w="1600"/>
            <w:tcMar>
              <w:top w:type="dxa" w:w="100"/>
              <w:left w:type="dxa" w:w="120"/>
              <w:bottom w:type="dxa" w:w="100"/>
              <w:right w:type="dxa" w:w="120"/>
            </w:tcMar>
          </w:tcPr>
          <w:p>
            <w:r>
              <w:rPr>
                <w:rFonts w:ascii="Calibri" w:cs="Calibri" w:eastAsia="Calibri" w:hAnsi="Calibri"/>
                <w:b w:val="false"/>
                <w:bCs w:val="false"/>
                <w:color w:val="1A1A1A"/>
                <w:sz w:val="20"/>
                <w:szCs w:val="20"/>
              </w:rPr>
              <w:t xml:space="preserve">20</w:t>
            </w:r>
          </w:p>
        </w:tc>
        <w:tc>
          <w:tcPr>
            <w:tcW w:type="dxa" w:w="7760"/>
            <w:tcMar>
              <w:top w:type="dxa" w:w="100"/>
              <w:left w:type="dxa" w:w="120"/>
              <w:bottom w:type="dxa" w:w="100"/>
              <w:right w:type="dxa" w:w="120"/>
            </w:tcMar>
          </w:tcPr>
          <w:p>
            <w:r>
              <w:rPr>
                <w:rFonts w:ascii="Calibri" w:cs="Calibri" w:eastAsia="Calibri" w:hAnsi="Calibri"/>
                <w:b w:val="false"/>
                <w:bCs w:val="false"/>
                <w:color w:val="1A1A1A"/>
                <w:sz w:val="20"/>
                <w:szCs w:val="20"/>
              </w:rPr>
              <w:t xml:space="preserve">Buffer day — reserved for bugs, not new work</w:t>
            </w:r>
          </w:p>
        </w:tc>
      </w:tr>
    </w:tbl>
    <w:p>
      <w:pPr>
        <w:pStyle w:val="Heading1"/>
        <w:spacing w:after="160" w:before="320"/>
      </w:pPr>
      <w:r>
        <w:t xml:space="preserve">Anticipated questions and how to answer them</w:t>
      </w:r>
    </w:p>
    <w:p>
      <w:pPr>
        <w:pStyle w:val="ListParagraph"/>
        <w:numPr>
          <w:ilvl w:val="0"/>
          <w:numId w:val="2"/>
        </w:numPr>
        <w:spacing w:after="80" w:line="280"/>
      </w:pPr>
      <w:r>
        <w:rPr>
          <w:rFonts w:ascii="Calibri" w:cs="Calibri" w:eastAsia="Calibri" w:hAnsi="Calibri"/>
          <w:b/>
          <w:bCs/>
          <w:sz w:val="22"/>
          <w:szCs w:val="22"/>
        </w:rPr>
        <w:t xml:space="preserve">Real plant data — </w:t>
      </w:r>
      <w:r>
        <w:rPr>
          <w:rFonts w:ascii="Calibri" w:cs="Calibri" w:eastAsia="Calibri" w:hAnsi="Calibri"/>
          <w:sz w:val="22"/>
          <w:szCs w:val="22"/>
        </w:rPr>
        <w:t xml:space="preserve"> the data is fully synthetic. Explain the generation methodology as evidence of rigor; do not imply real-plant validation.</w:t>
      </w:r>
    </w:p>
    <w:p>
      <w:pPr>
        <w:pStyle w:val="ListParagraph"/>
        <w:numPr>
          <w:ilvl w:val="0"/>
          <w:numId w:val="2"/>
        </w:numPr>
        <w:spacing w:after="80" w:line="280"/>
      </w:pPr>
      <w:r>
        <w:rPr>
          <w:rFonts w:ascii="Calibri" w:cs="Calibri" w:eastAsia="Calibri" w:hAnsi="Calibri"/>
          <w:b/>
          <w:bCs/>
          <w:sz w:val="22"/>
          <w:szCs w:val="22"/>
        </w:rPr>
        <w:t xml:space="preserve">Alert fatigue / false positives — </w:t>
      </w:r>
      <w:r>
        <w:rPr>
          <w:rFonts w:ascii="Calibri" w:cs="Calibri" w:eastAsia="Calibri" w:hAnsi="Calibri"/>
          <w:sz w:val="22"/>
          <w:szCs w:val="22"/>
        </w:rPr>
        <w:t xml:space="preserve"> describe the suppression/prioritization logic explicitly, even if simple, so judges see it was considered.</w:t>
      </w:r>
    </w:p>
    <w:p>
      <w:pPr>
        <w:pStyle w:val="ListParagraph"/>
        <w:numPr>
          <w:ilvl w:val="0"/>
          <w:numId w:val="2"/>
        </w:numPr>
        <w:spacing w:after="80" w:line="280"/>
      </w:pPr>
      <w:r>
        <w:rPr>
          <w:rFonts w:ascii="Calibri" w:cs="Calibri" w:eastAsia="Calibri" w:hAnsi="Calibri"/>
          <w:b/>
          <w:bCs/>
          <w:sz w:val="22"/>
          <w:szCs w:val="22"/>
        </w:rPr>
        <w:t xml:space="preserve">Legacy protocol integration — </w:t>
      </w:r>
      <w:r>
        <w:rPr>
          <w:rFonts w:ascii="Calibri" w:cs="Calibri" w:eastAsia="Calibri" w:hAnsi="Calibri"/>
          <w:sz w:val="22"/>
          <w:szCs w:val="22"/>
        </w:rPr>
        <w:t xml:space="preserve"> acknowledge that real plants run legacy Modbus/OPC-UA/proprietary protocols and frame integration as phased, not plug-and-play.</w:t>
      </w:r>
    </w:p>
    <w:p>
      <w:pPr>
        <w:pStyle w:val="ListParagraph"/>
        <w:numPr>
          <w:ilvl w:val="0"/>
          <w:numId w:val="2"/>
        </w:numPr>
        <w:spacing w:after="80" w:line="280"/>
      </w:pPr>
      <w:r>
        <w:rPr>
          <w:rFonts w:ascii="Calibri" w:cs="Calibri" w:eastAsia="Calibri" w:hAnsi="Calibri"/>
          <w:b/>
          <w:bCs/>
          <w:sz w:val="22"/>
          <w:szCs w:val="22"/>
        </w:rPr>
        <w:t xml:space="preserve">Liability for a missed compound risk — </w:t>
      </w:r>
      <w:r>
        <w:rPr>
          <w:rFonts w:ascii="Calibri" w:cs="Calibri" w:eastAsia="Calibri" w:hAnsi="Calibri"/>
          <w:sz w:val="22"/>
          <w:szCs w:val="22"/>
        </w:rPr>
        <w:t xml:space="preserve"> flag this as an open governance question the team has thought about, not a solved one.</w:t>
      </w:r>
    </w:p>
    <w:p>
      <w:pPr>
        <w:pStyle w:val="ListParagraph"/>
        <w:numPr>
          <w:ilvl w:val="0"/>
          <w:numId w:val="2"/>
        </w:numPr>
        <w:spacing w:after="80" w:line="280"/>
      </w:pPr>
      <w:r>
        <w:rPr>
          <w:rFonts w:ascii="Calibri" w:cs="Calibri" w:eastAsia="Calibri" w:hAnsi="Calibri"/>
          <w:b/>
          <w:bCs/>
          <w:sz w:val="22"/>
          <w:szCs w:val="22"/>
        </w:rPr>
        <w:t xml:space="preserve">Competitor benchmark rigor — </w:t>
      </w:r>
      <w:r>
        <w:rPr>
          <w:rFonts w:ascii="Calibri" w:cs="Calibri" w:eastAsia="Calibri" w:hAnsi="Calibri"/>
          <w:sz w:val="22"/>
          <w:szCs w:val="22"/>
        </w:rPr>
        <w:t xml:space="preserve"> cite vendor figures (Intenseye, Protex, Voxel) as vendor-reported case studies, not independently verified benchmarks.</w:t>
      </w:r>
    </w:p>
    <w:p>
      <w:pPr>
        <w:pStyle w:val="Heading1"/>
        <w:spacing w:after="160" w:before="320"/>
      </w:pPr>
      <w:r>
        <w:t xml:space="preserve">Impact numbers for the pitch</w:t>
      </w:r>
    </w:p>
    <w:p>
      <w:pPr>
        <w:spacing w:after="140" w:line="300"/>
      </w:pPr>
      <w:r>
        <w:rPr>
          <w:rFonts w:ascii="Calibri" w:cs="Calibri" w:eastAsia="Calibri" w:hAnsi="Calibri"/>
          <w:sz w:val="22"/>
          <w:szCs w:val="22"/>
        </w:rPr>
        <w:t xml:space="preserve">Use these with the scope caveats noted above: hazardous-process factories grew roughly 69% (26,877 to 45,374) between 2010 and 2023 while inspection coverage of them fell from about 62% to 39%; the workforce in hazardous industries roughly doubled to an estimated 4.72 million workers over the same period; India has on the order of 334,000–364,000 registered factories, most self-certifying compliance. Comparable single-modality tools have demonstrated the category works (Intenseye, Protex AI, and Voxel AI vendor case studies above) — the pitch is that fusing modalities should outperform single-modality baselines on the brief's own evaluation metric: false-negative rate reduction.</w:t>
      </w:r>
    </w:p>
    <w:p>
      <w:pPr>
        <w:pStyle w:val="Heading1"/>
        <w:spacing w:after="160" w:before="320"/>
      </w:pPr>
      <w:r>
        <w:t xml:space="preserve">Pitch narrative arc</w:t>
      </w:r>
    </w:p>
    <w:p>
      <w:pPr>
        <w:pStyle w:val="ListParagraph"/>
        <w:numPr>
          <w:ilvl w:val="0"/>
          <w:numId w:val="2"/>
        </w:numPr>
        <w:spacing w:after="80" w:line="280"/>
      </w:pPr>
      <w:r>
        <w:rPr>
          <w:rFonts w:ascii="Calibri" w:cs="Calibri" w:eastAsia="Calibri" w:hAnsi="Calibri"/>
          <w:b/>
          <w:bCs/>
          <w:sz w:val="22"/>
          <w:szCs w:val="22"/>
        </w:rPr>
        <w:t xml:space="preserve">1. Open with </w:t>
      </w:r>
      <w:r>
        <w:rPr>
          <w:rFonts w:ascii="Calibri" w:cs="Calibri" w:eastAsia="Calibri" w:hAnsi="Calibri"/>
          <w:sz w:val="22"/>
          <w:szCs w:val="22"/>
        </w:rPr>
        <w:t xml:space="preserve"> the fragmentation problem (competitor landscape table) rather than a single incident whose specifics can't be fully verified.</w:t>
      </w:r>
    </w:p>
    <w:p>
      <w:pPr>
        <w:pStyle w:val="ListParagraph"/>
        <w:numPr>
          <w:ilvl w:val="0"/>
          <w:numId w:val="2"/>
        </w:numPr>
        <w:spacing w:after="80" w:line="280"/>
      </w:pPr>
      <w:r>
        <w:rPr>
          <w:rFonts w:ascii="Calibri" w:cs="Calibri" w:eastAsia="Calibri" w:hAnsi="Calibri"/>
          <w:b/>
          <w:bCs/>
          <w:sz w:val="22"/>
          <w:szCs w:val="22"/>
        </w:rPr>
        <w:t xml:space="preserve">2. State the gap </w:t>
      </w:r>
      <w:r>
        <w:rPr>
          <w:rFonts w:ascii="Calibri" w:cs="Calibri" w:eastAsia="Calibri" w:hAnsi="Calibri"/>
          <w:sz w:val="22"/>
          <w:szCs w:val="22"/>
        </w:rPr>
        <w:t xml:space="preserve"> in one line — point solutions watch one signal, this platform correlates all of them.</w:t>
      </w:r>
    </w:p>
    <w:p>
      <w:pPr>
        <w:pStyle w:val="ListParagraph"/>
        <w:numPr>
          <w:ilvl w:val="0"/>
          <w:numId w:val="2"/>
        </w:numPr>
        <w:spacing w:after="80" w:line="280"/>
      </w:pPr>
      <w:r>
        <w:rPr>
          <w:rFonts w:ascii="Calibri" w:cs="Calibri" w:eastAsia="Calibri" w:hAnsi="Calibri"/>
          <w:b/>
          <w:bCs/>
          <w:sz w:val="22"/>
          <w:szCs w:val="22"/>
        </w:rPr>
        <w:t xml:space="preserve">3. Live demo: </w:t>
      </w:r>
      <w:r>
        <w:rPr>
          <w:rFonts w:ascii="Calibri" w:cs="Calibri" w:eastAsia="Calibri" w:hAnsi="Calibri"/>
          <w:sz w:val="22"/>
          <w:szCs w:val="22"/>
        </w:rPr>
        <w:t xml:space="preserve"> synthetic dashboard, a compound risk building across three signals, an explainable alert with a real regulatory citation, and a lead-time headline number (e.g. "flagged 40 minutes before threshold").</w:t>
      </w:r>
    </w:p>
    <w:p>
      <w:pPr>
        <w:pStyle w:val="ListParagraph"/>
        <w:numPr>
          <w:ilvl w:val="0"/>
          <w:numId w:val="2"/>
        </w:numPr>
        <w:spacing w:after="80" w:line="280"/>
      </w:pPr>
      <w:r>
        <w:rPr>
          <w:rFonts w:ascii="Calibri" w:cs="Calibri" w:eastAsia="Calibri" w:hAnsi="Calibri"/>
          <w:b/>
          <w:bCs/>
          <w:sz w:val="22"/>
          <w:szCs w:val="22"/>
        </w:rPr>
        <w:t xml:space="preserve">4. Architecture slide — </w:t>
      </w:r>
      <w:r>
        <w:rPr>
          <w:rFonts w:ascii="Calibri" w:cs="Calibri" w:eastAsia="Calibri" w:hAnsi="Calibri"/>
          <w:sz w:val="22"/>
          <w:szCs w:val="22"/>
        </w:rPr>
        <w:t xml:space="preserve"> emphasize the orchestrator and regulatory RAG as the technical differentiators.</w:t>
      </w:r>
    </w:p>
    <w:p>
      <w:pPr>
        <w:pStyle w:val="ListParagraph"/>
        <w:numPr>
          <w:ilvl w:val="0"/>
          <w:numId w:val="2"/>
        </w:numPr>
        <w:spacing w:after="80" w:line="280"/>
      </w:pPr>
      <w:r>
        <w:rPr>
          <w:rFonts w:ascii="Calibri" w:cs="Calibri" w:eastAsia="Calibri" w:hAnsi="Calibri"/>
          <w:b/>
          <w:bCs/>
          <w:sz w:val="22"/>
          <w:szCs w:val="22"/>
        </w:rPr>
        <w:t xml:space="preserve">5. Close with </w:t>
      </w:r>
      <w:r>
        <w:rPr>
          <w:rFonts w:ascii="Calibri" w:cs="Calibri" w:eastAsia="Calibri" w:hAnsi="Calibri"/>
          <w:sz w:val="22"/>
          <w:szCs w:val="22"/>
        </w:rPr>
        <w:t xml:space="preserve"> enforcement-gap numbers, positioning the platform as a force-multiplier where human inspection capacity is structurally short.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2026-07-01T17:48:55.889Z</dcterms:created>
  <dcterms:modified xsi:type="dcterms:W3CDTF">2026-07-01T17:48:55.889Z</dcterms:modified>
</cp:coreProperties>
</file>

<file path=docProps/custom.xml><?xml version="1.0" encoding="utf-8"?>
<Properties xmlns="http://schemas.openxmlformats.org/officeDocument/2006/custom-properties" xmlns:vt="http://schemas.openxmlformats.org/officeDocument/2006/docPropsVTypes"/>
</file>