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Phase 7 View Materialization Analysis</w:t>
      </w:r>
    </w:p>
    <w:p>
      <w:pPr>
        <w:jc w:val="center"/>
      </w:pPr>
      <w:r>
        <w:rPr>
          <w:b/>
        </w:rPr>
        <w:t>Project: NordaTrade GmbH – Enterprise Sales Analytics System</w:t>
        <w:br/>
        <w:t>Role: Role 4 – Reporting &amp; Integration Engineer</w:t>
      </w:r>
    </w:p>
    <w:p>
      <w:pPr>
        <w:pStyle w:val="Heading1"/>
      </w:pPr>
      <w:r>
        <w:t>1. Purpose</w:t>
      </w:r>
    </w:p>
    <w:p>
      <w:r>
        <w:t>This document reviews the six mandatory Phase 6 report views and discusses whether any of them would be good candidates for materialization. In this project, materialization means storing a pre-computed reporting result instead of calculating it fresh every time it is queried.</w:t>
      </w:r>
    </w:p>
    <w:p>
      <w:r>
        <w:t>The purpose of this document is not to claim that materialization must be implemented now. The purpose is to show which views would be the strongest candidates if reporting performance became an issue.</w:t>
      </w:r>
    </w:p>
    <w:p>
      <w:pPr>
        <w:pStyle w:val="Heading1"/>
      </w:pPr>
      <w:r>
        <w:t>2. Simple Approach Used</w:t>
      </w:r>
    </w:p>
    <w:p>
      <w:r>
        <w:t>The logic used here is simple:</w:t>
      </w:r>
    </w:p>
    <w:p>
      <w:pPr>
        <w:pStyle w:val="ListBullet"/>
      </w:pPr>
      <w:r>
        <w:t>views that combine more logic and more summary data are stronger candidates,</w:t>
      </w:r>
    </w:p>
    <w:p>
      <w:pPr>
        <w:pStyle w:val="ListBullet"/>
      </w:pPr>
      <w:r>
        <w:t>views that are smaller or simpler can usually stay virtual,</w:t>
      </w:r>
    </w:p>
    <w:p>
      <w:pPr>
        <w:pStyle w:val="ListBullet"/>
      </w:pPr>
      <w:r>
        <w:t>materialization is more useful for repeated reporting workloads than for occasional use.</w:t>
      </w:r>
    </w:p>
    <w:p>
      <w:r>
        <w:t>This is a cautious recommendation, not a final production scheduling decision.</w:t>
      </w:r>
    </w:p>
    <w:p>
      <w:pPr>
        <w:pStyle w:val="Heading1"/>
      </w:pPr>
      <w:r>
        <w:t>3. View-by-View Review</w:t>
      </w:r>
    </w:p>
    <w:p>
      <w:pPr>
        <w:pStyle w:val="Heading2"/>
      </w:pPr>
      <w:r>
        <w:t>3.1 vw_sales_executive_summary</w:t>
      </w:r>
    </w:p>
    <w:p>
      <w:r>
        <w:rPr>
          <w:b/>
        </w:rPr>
        <w:t xml:space="preserve">Reason </w:t>
      </w:r>
      <w:r>
        <w:t>This view combines multiple summary-level business metrics for executive reporting. It is one of the views most likely to be reused often because it gives a high-level performance overview.</w:t>
      </w:r>
    </w:p>
    <w:p>
      <w:r>
        <w:rPr>
          <w:b/>
        </w:rPr>
        <w:t xml:space="preserve">Recommendation </w:t>
      </w:r>
      <w:r>
        <w:t>Strong materialization candidate</w:t>
      </w:r>
    </w:p>
    <w:p>
      <w:pPr>
        <w:pStyle w:val="Heading2"/>
      </w:pPr>
      <w:r>
        <w:t>3.2 vw_rep_performance_scorecard</w:t>
      </w:r>
    </w:p>
    <w:p>
      <w:r>
        <w:rPr>
          <w:b/>
        </w:rPr>
        <w:t xml:space="preserve">Reason </w:t>
      </w:r>
      <w:r>
        <w:t>This view supports rep performance reporting and includes period-based performance logic. It is more complex than a simple lookup view and may be queried repeatedly for management review.</w:t>
      </w:r>
    </w:p>
    <w:p>
      <w:r>
        <w:rPr>
          <w:b/>
        </w:rPr>
        <w:t xml:space="preserve">Recommendation </w:t>
      </w:r>
      <w:r>
        <w:t>Materialization candidate</w:t>
      </w:r>
    </w:p>
    <w:p>
      <w:pPr>
        <w:pStyle w:val="Heading2"/>
      </w:pPr>
      <w:r>
        <w:t>3.3 vw_customer_360</w:t>
      </w:r>
    </w:p>
    <w:p>
      <w:r>
        <w:rPr>
          <w:b/>
        </w:rPr>
        <w:t xml:space="preserve">Reason </w:t>
      </w:r>
      <w:r>
        <w:t>This view combines customer metrics, RFM-style logic, and assigned rep information into one row per customer. It brings together several different reporting elements.</w:t>
      </w:r>
    </w:p>
    <w:p>
      <w:r>
        <w:rPr>
          <w:b/>
        </w:rPr>
        <w:t xml:space="preserve">Recommendation </w:t>
      </w:r>
      <w:r>
        <w:t>Materialization candidate</w:t>
      </w:r>
    </w:p>
    <w:p>
      <w:pPr>
        <w:pStyle w:val="Heading2"/>
      </w:pPr>
      <w:r>
        <w:t>3.4 vw_returns_analysis</w:t>
      </w:r>
    </w:p>
    <w:p>
      <w:r>
        <w:rPr>
          <w:b/>
        </w:rPr>
        <w:t xml:space="preserve">Reason </w:t>
      </w:r>
      <w:r>
        <w:t>This view supports return reporting by category, country, reporting period, and reason code. It may become expensive if return analysis is used frequently.</w:t>
      </w:r>
    </w:p>
    <w:p>
      <w:r>
        <w:rPr>
          <w:b/>
        </w:rPr>
        <w:t xml:space="preserve">Recommendation </w:t>
      </w:r>
      <w:r>
        <w:t>Possible materialization candidate</w:t>
      </w:r>
    </w:p>
    <w:p>
      <w:pPr>
        <w:pStyle w:val="Heading2"/>
      </w:pPr>
      <w:r>
        <w:t>3.5 vw_monthly_trend</w:t>
      </w:r>
    </w:p>
    <w:p>
      <w:r>
        <w:rPr>
          <w:b/>
        </w:rPr>
        <w:t xml:space="preserve">Reason </w:t>
      </w:r>
      <w:r>
        <w:t>This view is more focused and narrower than the executive, rep, and customer views. It is still important, but it does not combine as many different business elements.</w:t>
      </w:r>
    </w:p>
    <w:p>
      <w:r>
        <w:rPr>
          <w:b/>
        </w:rPr>
        <w:t xml:space="preserve">Recommendation </w:t>
      </w:r>
      <w:r>
        <w:t>Keep virtual first</w:t>
      </w:r>
    </w:p>
    <w:p>
      <w:pPr>
        <w:pStyle w:val="Heading2"/>
      </w:pPr>
      <w:r>
        <w:t>3.6 vw_product_performance</w:t>
      </w:r>
    </w:p>
    <w:p>
      <w:r>
        <w:rPr>
          <w:b/>
        </w:rPr>
        <w:t xml:space="preserve">Reason </w:t>
      </w:r>
      <w:r>
        <w:t>This view is important for product reporting, but its logic is narrower than the more complex cross-subject views like executive summary or customer 360.</w:t>
      </w:r>
    </w:p>
    <w:p>
      <w:r>
        <w:rPr>
          <w:b/>
        </w:rPr>
        <w:t xml:space="preserve">Recommendation </w:t>
      </w:r>
      <w:r>
        <w:t>Keep virtual first</w:t>
      </w:r>
    </w:p>
    <w:p>
      <w:pPr>
        <w:pStyle w:val="Heading1"/>
      </w:pPr>
      <w:r>
        <w:t>4. Simplified Recommendation Summary</w:t>
      </w:r>
    </w:p>
    <w:tbl>
      <w:tblPr>
        <w:tblStyle w:val="TableGrid"/>
        <w:tblW w:type="auto" w:w="0"/>
        <w:tblLook w:firstColumn="1" w:firstRow="1" w:lastColumn="0" w:lastRow="0" w:noHBand="0" w:noVBand="1" w:val="04A0"/>
      </w:tblPr>
      <w:tblGrid>
        <w:gridCol w:w="4824"/>
        <w:gridCol w:w="4824"/>
      </w:tblGrid>
      <w:tr>
        <w:tc>
          <w:tcPr>
            <w:tcW w:type="dxa" w:w="4824"/>
          </w:tcPr>
          <w:p>
            <w:pPr>
              <w:spacing w:after="0" w:before="0"/>
            </w:pPr>
            <w:r/>
            <w:r>
              <w:rPr>
                <w:b/>
              </w:rPr>
              <w:t>View</w:t>
            </w:r>
          </w:p>
        </w:tc>
        <w:tc>
          <w:tcPr>
            <w:tcW w:type="dxa" w:w="4824"/>
          </w:tcPr>
          <w:p>
            <w:pPr>
              <w:spacing w:after="0" w:before="0"/>
            </w:pPr>
            <w:r/>
            <w:r>
              <w:rPr>
                <w:b/>
              </w:rPr>
              <w:t>Recommendation</w:t>
            </w:r>
          </w:p>
        </w:tc>
      </w:tr>
      <w:tr>
        <w:tc>
          <w:tcPr>
            <w:tcW w:type="dxa" w:w="4824"/>
          </w:tcPr>
          <w:p>
            <w:pPr>
              <w:spacing w:after="0" w:before="0"/>
            </w:pPr>
            <w:r/>
            <w:r>
              <w:rPr>
                <w:b w:val="0"/>
              </w:rPr>
              <w:t>vw_sales_executive_summary</w:t>
            </w:r>
          </w:p>
        </w:tc>
        <w:tc>
          <w:tcPr>
            <w:tcW w:type="dxa" w:w="4824"/>
          </w:tcPr>
          <w:p>
            <w:pPr>
              <w:spacing w:after="0" w:before="0"/>
            </w:pPr>
            <w:r/>
            <w:r>
              <w:rPr>
                <w:b w:val="0"/>
              </w:rPr>
              <w:t>Strong materialization candidate</w:t>
            </w:r>
          </w:p>
        </w:tc>
      </w:tr>
      <w:tr>
        <w:tc>
          <w:tcPr>
            <w:tcW w:type="dxa" w:w="4824"/>
          </w:tcPr>
          <w:p>
            <w:pPr>
              <w:spacing w:after="0" w:before="0"/>
            </w:pPr>
            <w:r/>
            <w:r>
              <w:rPr>
                <w:b w:val="0"/>
              </w:rPr>
              <w:t>vw_rep_performance_scorecard</w:t>
            </w:r>
          </w:p>
        </w:tc>
        <w:tc>
          <w:tcPr>
            <w:tcW w:type="dxa" w:w="4824"/>
          </w:tcPr>
          <w:p>
            <w:pPr>
              <w:spacing w:after="0" w:before="0"/>
            </w:pPr>
            <w:r/>
            <w:r>
              <w:rPr>
                <w:b w:val="0"/>
              </w:rPr>
              <w:t>Materialization candidate</w:t>
            </w:r>
          </w:p>
        </w:tc>
      </w:tr>
      <w:tr>
        <w:tc>
          <w:tcPr>
            <w:tcW w:type="dxa" w:w="4824"/>
          </w:tcPr>
          <w:p>
            <w:pPr>
              <w:spacing w:after="0" w:before="0"/>
            </w:pPr>
            <w:r/>
            <w:r>
              <w:rPr>
                <w:b w:val="0"/>
              </w:rPr>
              <w:t>vw_customer_360</w:t>
            </w:r>
          </w:p>
        </w:tc>
        <w:tc>
          <w:tcPr>
            <w:tcW w:type="dxa" w:w="4824"/>
          </w:tcPr>
          <w:p>
            <w:pPr>
              <w:spacing w:after="0" w:before="0"/>
            </w:pPr>
            <w:r/>
            <w:r>
              <w:rPr>
                <w:b w:val="0"/>
              </w:rPr>
              <w:t>Materialization candidate</w:t>
            </w:r>
          </w:p>
        </w:tc>
      </w:tr>
      <w:tr>
        <w:tc>
          <w:tcPr>
            <w:tcW w:type="dxa" w:w="4824"/>
          </w:tcPr>
          <w:p>
            <w:pPr>
              <w:spacing w:after="0" w:before="0"/>
            </w:pPr>
            <w:r/>
            <w:r>
              <w:rPr>
                <w:b w:val="0"/>
              </w:rPr>
              <w:t>vw_returns_analysis</w:t>
            </w:r>
          </w:p>
        </w:tc>
        <w:tc>
          <w:tcPr>
            <w:tcW w:type="dxa" w:w="4824"/>
          </w:tcPr>
          <w:p>
            <w:pPr>
              <w:spacing w:after="0" w:before="0"/>
            </w:pPr>
            <w:r/>
            <w:r>
              <w:rPr>
                <w:b w:val="0"/>
              </w:rPr>
              <w:t>Possible materialization candidate</w:t>
            </w:r>
          </w:p>
        </w:tc>
      </w:tr>
      <w:tr>
        <w:tc>
          <w:tcPr>
            <w:tcW w:type="dxa" w:w="4824"/>
          </w:tcPr>
          <w:p>
            <w:pPr>
              <w:spacing w:after="0" w:before="0"/>
            </w:pPr>
            <w:r/>
            <w:r>
              <w:rPr>
                <w:b w:val="0"/>
              </w:rPr>
              <w:t>vw_monthly_trend</w:t>
            </w:r>
          </w:p>
        </w:tc>
        <w:tc>
          <w:tcPr>
            <w:tcW w:type="dxa" w:w="4824"/>
          </w:tcPr>
          <w:p>
            <w:pPr>
              <w:spacing w:after="0" w:before="0"/>
            </w:pPr>
            <w:r/>
            <w:r>
              <w:rPr>
                <w:b w:val="0"/>
              </w:rPr>
              <w:t>Keep virtual first</w:t>
            </w:r>
          </w:p>
        </w:tc>
      </w:tr>
      <w:tr>
        <w:tc>
          <w:tcPr>
            <w:tcW w:type="dxa" w:w="4824"/>
          </w:tcPr>
          <w:p>
            <w:pPr>
              <w:spacing w:after="0" w:before="0"/>
            </w:pPr>
            <w:r/>
            <w:r>
              <w:rPr>
                <w:b w:val="0"/>
              </w:rPr>
              <w:t>vw_product_performance</w:t>
            </w:r>
          </w:p>
        </w:tc>
        <w:tc>
          <w:tcPr>
            <w:tcW w:type="dxa" w:w="4824"/>
          </w:tcPr>
          <w:p>
            <w:pPr>
              <w:spacing w:after="0" w:before="0"/>
            </w:pPr>
            <w:r/>
            <w:r>
              <w:rPr>
                <w:b w:val="0"/>
              </w:rPr>
              <w:t>Keep virtual first</w:t>
            </w:r>
          </w:p>
        </w:tc>
      </w:tr>
    </w:tbl>
    <w:p>
      <w:pPr>
        <w:pStyle w:val="Heading1"/>
      </w:pPr>
      <w:r>
        <w:t>5. Final Assessment</w:t>
      </w:r>
    </w:p>
    <w:p>
      <w:r>
        <w:t>This document gives a practical Phase 7 view of which report views are stronger or weaker candidates for pre-computation. It keeps the materialization discussion cautious and focused on current reporting needs.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