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A28DC" w14:textId="34773778" w:rsidR="00CA1AF4" w:rsidRPr="00F31C86" w:rsidRDefault="00F305CB" w:rsidP="00F31C86">
      <w:pPr>
        <w:pStyle w:val="Heading2"/>
        <w:spacing w:before="40" w:line="360" w:lineRule="auto"/>
        <w:rPr>
          <w:rFonts w:ascii="Arial" w:hAnsi="Arial" w:cs="Arial"/>
          <w:color w:val="365F91" w:themeColor="accent1" w:themeShade="BF"/>
          <w:sz w:val="44"/>
          <w:szCs w:val="44"/>
        </w:rPr>
      </w:pPr>
      <w:r w:rsidRPr="00F31C86">
        <w:rPr>
          <w:rFonts w:ascii="Arial" w:hAnsi="Arial" w:cs="Arial"/>
          <w:color w:val="365F91" w:themeColor="accent1" w:themeShade="BF"/>
          <w:sz w:val="44"/>
          <w:szCs w:val="44"/>
        </w:rPr>
        <w:t>Materialization &amp; Performance Strategy</w:t>
      </w:r>
      <w:r w:rsidR="00F31C86" w:rsidRPr="00F31C86">
        <w:rPr>
          <w:rFonts w:ascii="Arial" w:hAnsi="Arial" w:cs="Arial"/>
          <w:color w:val="365F91" w:themeColor="accent1" w:themeShade="BF"/>
          <w:sz w:val="44"/>
          <w:szCs w:val="44"/>
        </w:rPr>
        <w:t xml:space="preserve">: </w:t>
      </w:r>
      <w:r w:rsidR="00F31C86" w:rsidRPr="00F31C86">
        <w:rPr>
          <w:rFonts w:ascii="Arial" w:hAnsi="Arial" w:cs="Arial"/>
          <w:color w:val="365F91" w:themeColor="accent1" w:themeShade="BF"/>
          <w:sz w:val="44"/>
          <w:szCs w:val="44"/>
        </w:rPr>
        <w:t>Optimization of Analytical Views for High-Concurrency Reporting</w:t>
      </w:r>
    </w:p>
    <w:p w14:paraId="49B6D0FA" w14:textId="77777777" w:rsidR="00F31C86" w:rsidRPr="008B24A1" w:rsidRDefault="00F31C86" w:rsidP="00F31C86">
      <w:pPr>
        <w:spacing w:line="360" w:lineRule="auto"/>
        <w:rPr>
          <w:rFonts w:ascii="Arial" w:eastAsiaTheme="majorEastAsia" w:hAnsi="Arial" w:cs="Arial"/>
          <w:b/>
          <w:bCs/>
          <w:color w:val="365F91" w:themeColor="accent1" w:themeShade="BF"/>
          <w:sz w:val="24"/>
          <w:szCs w:val="24"/>
        </w:rPr>
      </w:pPr>
      <w:proofErr w:type="spellStart"/>
      <w:r w:rsidRPr="008B24A1">
        <w:rPr>
          <w:rFonts w:ascii="Arial" w:eastAsiaTheme="majorEastAsia" w:hAnsi="Arial" w:cs="Arial"/>
          <w:b/>
          <w:bCs/>
          <w:color w:val="365F91" w:themeColor="accent1" w:themeShade="BF"/>
          <w:sz w:val="24"/>
          <w:szCs w:val="24"/>
        </w:rPr>
        <w:t>NordaTrade</w:t>
      </w:r>
      <w:proofErr w:type="spellEnd"/>
      <w:r w:rsidRPr="008B24A1">
        <w:rPr>
          <w:rFonts w:ascii="Arial" w:eastAsiaTheme="majorEastAsia" w:hAnsi="Arial" w:cs="Arial"/>
          <w:b/>
          <w:bCs/>
          <w:color w:val="365F91" w:themeColor="accent1" w:themeShade="BF"/>
          <w:sz w:val="24"/>
          <w:szCs w:val="24"/>
        </w:rPr>
        <w:t xml:space="preserve"> GmbH – Enterprise Sales Analytics System</w:t>
      </w:r>
    </w:p>
    <w:p w14:paraId="3528E41D" w14:textId="77777777" w:rsidR="00CA1AF4" w:rsidRPr="00F31C86" w:rsidRDefault="00F305CB" w:rsidP="00F31C86">
      <w:pPr>
        <w:pStyle w:val="Heading1"/>
        <w:spacing w:line="360" w:lineRule="auto"/>
        <w:rPr>
          <w:rFonts w:ascii="Arial" w:hAnsi="Arial" w:cs="Arial"/>
          <w:sz w:val="32"/>
          <w:szCs w:val="32"/>
        </w:rPr>
      </w:pPr>
      <w:r w:rsidRPr="00F31C86">
        <w:rPr>
          <w:rFonts w:ascii="Arial" w:hAnsi="Arial" w:cs="Arial"/>
          <w:sz w:val="32"/>
          <w:szCs w:val="32"/>
        </w:rPr>
        <w:t>Executive Summary</w:t>
      </w:r>
    </w:p>
    <w:p w14:paraId="7CC3EEEB" w14:textId="77777777" w:rsidR="00CA1AF4" w:rsidRPr="00F31C86" w:rsidRDefault="00F305CB" w:rsidP="00F31C86">
      <w:pPr>
        <w:spacing w:line="360" w:lineRule="auto"/>
        <w:rPr>
          <w:rFonts w:ascii="Arial" w:hAnsi="Arial" w:cs="Arial"/>
        </w:rPr>
      </w:pPr>
      <w:r w:rsidRPr="00F31C86">
        <w:rPr>
          <w:rFonts w:ascii="Arial" w:hAnsi="Arial" w:cs="Arial"/>
        </w:rPr>
        <w:t xml:space="preserve">To ensure the system mirrors SAP </w:t>
      </w:r>
      <w:r w:rsidRPr="00F31C86">
        <w:rPr>
          <w:rFonts w:ascii="Arial" w:hAnsi="Arial" w:cs="Arial"/>
        </w:rPr>
        <w:t>BW/4HANA principles, we have evaluated six core analytical views. Views with high computational complexity (window functions or 8+ joins) are recommended for Materialization (Physical Persistence). This prevents query degradation as the underlying data gro</w:t>
      </w:r>
      <w:r w:rsidRPr="00F31C86">
        <w:rPr>
          <w:rFonts w:ascii="Arial" w:hAnsi="Arial" w:cs="Arial"/>
        </w:rPr>
        <w:t>ws from thousands to millions of rows.</w:t>
      </w:r>
    </w:p>
    <w:p w14:paraId="03B1AB08" w14:textId="77777777" w:rsidR="00CA1AF4" w:rsidRPr="00F31C86" w:rsidRDefault="00F305CB" w:rsidP="00F31C86">
      <w:pPr>
        <w:pStyle w:val="Heading1"/>
        <w:spacing w:line="360" w:lineRule="auto"/>
        <w:rPr>
          <w:rFonts w:ascii="Arial" w:hAnsi="Arial" w:cs="Arial"/>
          <w:sz w:val="32"/>
          <w:szCs w:val="32"/>
        </w:rPr>
      </w:pPr>
      <w:r w:rsidRPr="00F31C86">
        <w:rPr>
          <w:rFonts w:ascii="Arial" w:hAnsi="Arial" w:cs="Arial"/>
          <w:sz w:val="32"/>
          <w:szCs w:val="32"/>
        </w:rPr>
        <w:t>1. Strategic View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9"/>
        <w:gridCol w:w="1557"/>
        <w:gridCol w:w="1820"/>
        <w:gridCol w:w="978"/>
        <w:gridCol w:w="1126"/>
      </w:tblGrid>
      <w:tr w:rsidR="00CA1AF4" w:rsidRPr="00F31C86" w14:paraId="26382942" w14:textId="77777777">
        <w:tc>
          <w:tcPr>
            <w:tcW w:w="1728" w:type="dxa"/>
          </w:tcPr>
          <w:p w14:paraId="51FAF68C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View Name</w:t>
            </w:r>
          </w:p>
        </w:tc>
        <w:tc>
          <w:tcPr>
            <w:tcW w:w="1728" w:type="dxa"/>
          </w:tcPr>
          <w:p w14:paraId="23D12BE2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Complexity</w:t>
            </w:r>
          </w:p>
        </w:tc>
        <w:tc>
          <w:tcPr>
            <w:tcW w:w="1728" w:type="dxa"/>
          </w:tcPr>
          <w:p w14:paraId="2A8D3A78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Recommendation</w:t>
            </w:r>
          </w:p>
        </w:tc>
        <w:tc>
          <w:tcPr>
            <w:tcW w:w="1728" w:type="dxa"/>
          </w:tcPr>
          <w:p w14:paraId="0708DE5F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Refresh Strategy</w:t>
            </w:r>
          </w:p>
        </w:tc>
        <w:tc>
          <w:tcPr>
            <w:tcW w:w="1728" w:type="dxa"/>
          </w:tcPr>
          <w:p w14:paraId="7A478EA4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Staleness Tolerance</w:t>
            </w:r>
          </w:p>
        </w:tc>
      </w:tr>
      <w:tr w:rsidR="00CA1AF4" w:rsidRPr="00F31C86" w14:paraId="40985BB2" w14:textId="77777777">
        <w:tc>
          <w:tcPr>
            <w:tcW w:w="1728" w:type="dxa"/>
          </w:tcPr>
          <w:p w14:paraId="5393903C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vw_sales_executive_summary</w:t>
            </w:r>
          </w:p>
        </w:tc>
        <w:tc>
          <w:tcPr>
            <w:tcW w:w="1728" w:type="dxa"/>
          </w:tcPr>
          <w:p w14:paraId="5F111DAB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High (Aggregations)</w:t>
            </w:r>
          </w:p>
        </w:tc>
        <w:tc>
          <w:tcPr>
            <w:tcW w:w="1728" w:type="dxa"/>
          </w:tcPr>
          <w:p w14:paraId="2EAC1B17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Materialize</w:t>
            </w:r>
          </w:p>
        </w:tc>
        <w:tc>
          <w:tcPr>
            <w:tcW w:w="1728" w:type="dxa"/>
          </w:tcPr>
          <w:p w14:paraId="1B97FF66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Daily (02:00 AM)</w:t>
            </w:r>
          </w:p>
        </w:tc>
        <w:tc>
          <w:tcPr>
            <w:tcW w:w="1728" w:type="dxa"/>
          </w:tcPr>
          <w:p w14:paraId="312DAED1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24 Hours</w:t>
            </w:r>
          </w:p>
        </w:tc>
      </w:tr>
      <w:tr w:rsidR="00CA1AF4" w:rsidRPr="00F31C86" w14:paraId="41AD71C4" w14:textId="77777777">
        <w:tc>
          <w:tcPr>
            <w:tcW w:w="1728" w:type="dxa"/>
          </w:tcPr>
          <w:p w14:paraId="3002985A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vw_customer_360</w:t>
            </w:r>
          </w:p>
        </w:tc>
        <w:tc>
          <w:tcPr>
            <w:tcW w:w="1728" w:type="dxa"/>
          </w:tcPr>
          <w:p w14:paraId="6E9B829E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High (RFM Logi</w:t>
            </w:r>
            <w:r w:rsidRPr="00F31C86">
              <w:rPr>
                <w:rFonts w:ascii="Arial" w:hAnsi="Arial" w:cs="Arial"/>
              </w:rPr>
              <w:t>c)</w:t>
            </w:r>
          </w:p>
        </w:tc>
        <w:tc>
          <w:tcPr>
            <w:tcW w:w="1728" w:type="dxa"/>
          </w:tcPr>
          <w:p w14:paraId="5EEEE401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Materialize</w:t>
            </w:r>
          </w:p>
        </w:tc>
        <w:tc>
          <w:tcPr>
            <w:tcW w:w="1728" w:type="dxa"/>
          </w:tcPr>
          <w:p w14:paraId="0DADD6E7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Nightly Batch</w:t>
            </w:r>
          </w:p>
        </w:tc>
        <w:tc>
          <w:tcPr>
            <w:tcW w:w="1728" w:type="dxa"/>
          </w:tcPr>
          <w:p w14:paraId="611A1BE8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24 Hours</w:t>
            </w:r>
          </w:p>
        </w:tc>
      </w:tr>
      <w:tr w:rsidR="00CA1AF4" w:rsidRPr="00F31C86" w14:paraId="328D69DA" w14:textId="77777777">
        <w:tc>
          <w:tcPr>
            <w:tcW w:w="1728" w:type="dxa"/>
          </w:tcPr>
          <w:p w14:paraId="35F247EB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vw_product_performance</w:t>
            </w:r>
          </w:p>
        </w:tc>
        <w:tc>
          <w:tcPr>
            <w:tcW w:w="1728" w:type="dxa"/>
          </w:tcPr>
          <w:p w14:paraId="2ABDC270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Window Functions</w:t>
            </w:r>
          </w:p>
        </w:tc>
        <w:tc>
          <w:tcPr>
            <w:tcW w:w="1728" w:type="dxa"/>
          </w:tcPr>
          <w:p w14:paraId="4CD901C7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Materialize</w:t>
            </w:r>
          </w:p>
        </w:tc>
        <w:tc>
          <w:tcPr>
            <w:tcW w:w="1728" w:type="dxa"/>
          </w:tcPr>
          <w:p w14:paraId="3C2606E2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Daily (02:00 AM)</w:t>
            </w:r>
          </w:p>
        </w:tc>
        <w:tc>
          <w:tcPr>
            <w:tcW w:w="1728" w:type="dxa"/>
          </w:tcPr>
          <w:p w14:paraId="19E2F2E8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24 Hours</w:t>
            </w:r>
          </w:p>
        </w:tc>
      </w:tr>
      <w:tr w:rsidR="00CA1AF4" w:rsidRPr="00F31C86" w14:paraId="4CE69513" w14:textId="77777777">
        <w:tc>
          <w:tcPr>
            <w:tcW w:w="1728" w:type="dxa"/>
          </w:tcPr>
          <w:p w14:paraId="7622932E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vw_rep_performance_scorecard</w:t>
            </w:r>
          </w:p>
        </w:tc>
        <w:tc>
          <w:tcPr>
            <w:tcW w:w="1728" w:type="dxa"/>
          </w:tcPr>
          <w:p w14:paraId="27753463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Regional Rankings</w:t>
            </w:r>
          </w:p>
        </w:tc>
        <w:tc>
          <w:tcPr>
            <w:tcW w:w="1728" w:type="dxa"/>
          </w:tcPr>
          <w:p w14:paraId="56678A5D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Materialize</w:t>
            </w:r>
          </w:p>
        </w:tc>
        <w:tc>
          <w:tcPr>
            <w:tcW w:w="1728" w:type="dxa"/>
          </w:tcPr>
          <w:p w14:paraId="5D33E7CD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Hourly</w:t>
            </w:r>
          </w:p>
        </w:tc>
        <w:tc>
          <w:tcPr>
            <w:tcW w:w="1728" w:type="dxa"/>
          </w:tcPr>
          <w:p w14:paraId="2B509165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1 Hour</w:t>
            </w:r>
          </w:p>
        </w:tc>
      </w:tr>
      <w:tr w:rsidR="00CA1AF4" w:rsidRPr="00F31C86" w14:paraId="4A9F2C5C" w14:textId="77777777">
        <w:tc>
          <w:tcPr>
            <w:tcW w:w="1728" w:type="dxa"/>
          </w:tcPr>
          <w:p w14:paraId="44F1DB62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vw_monthly_trend</w:t>
            </w:r>
          </w:p>
        </w:tc>
        <w:tc>
          <w:tcPr>
            <w:tcW w:w="1728" w:type="dxa"/>
          </w:tcPr>
          <w:p w14:paraId="0D7A2482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Time-Series (LAG)</w:t>
            </w:r>
          </w:p>
        </w:tc>
        <w:tc>
          <w:tcPr>
            <w:tcW w:w="1728" w:type="dxa"/>
          </w:tcPr>
          <w:p w14:paraId="21D743E7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Materialize</w:t>
            </w:r>
          </w:p>
        </w:tc>
        <w:tc>
          <w:tcPr>
            <w:tcW w:w="1728" w:type="dxa"/>
          </w:tcPr>
          <w:p w14:paraId="5A54C2FE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 xml:space="preserve">Daily </w:t>
            </w:r>
            <w:r w:rsidRPr="00F31C86">
              <w:rPr>
                <w:rFonts w:ascii="Arial" w:hAnsi="Arial" w:cs="Arial"/>
              </w:rPr>
              <w:t>(02:00 AM)</w:t>
            </w:r>
          </w:p>
        </w:tc>
        <w:tc>
          <w:tcPr>
            <w:tcW w:w="1728" w:type="dxa"/>
          </w:tcPr>
          <w:p w14:paraId="00C96E75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24 Hours</w:t>
            </w:r>
          </w:p>
        </w:tc>
      </w:tr>
      <w:tr w:rsidR="00CA1AF4" w:rsidRPr="00F31C86" w14:paraId="306E45A1" w14:textId="77777777">
        <w:tc>
          <w:tcPr>
            <w:tcW w:w="1728" w:type="dxa"/>
          </w:tcPr>
          <w:p w14:paraId="5775A58E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lastRenderedPageBreak/>
              <w:t>vw_returns_analysis</w:t>
            </w:r>
          </w:p>
        </w:tc>
        <w:tc>
          <w:tcPr>
            <w:tcW w:w="1728" w:type="dxa"/>
          </w:tcPr>
          <w:p w14:paraId="575D1F9C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Extreme (10 Joins)</w:t>
            </w:r>
          </w:p>
        </w:tc>
        <w:tc>
          <w:tcPr>
            <w:tcW w:w="1728" w:type="dxa"/>
          </w:tcPr>
          <w:p w14:paraId="2A929A83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Materialize</w:t>
            </w:r>
          </w:p>
        </w:tc>
        <w:tc>
          <w:tcPr>
            <w:tcW w:w="1728" w:type="dxa"/>
          </w:tcPr>
          <w:p w14:paraId="553E4A36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Daily (02:00 AM)</w:t>
            </w:r>
          </w:p>
        </w:tc>
        <w:tc>
          <w:tcPr>
            <w:tcW w:w="1728" w:type="dxa"/>
          </w:tcPr>
          <w:p w14:paraId="51B1E36A" w14:textId="77777777" w:rsidR="00CA1AF4" w:rsidRPr="00F31C86" w:rsidRDefault="00F305CB" w:rsidP="00F31C86">
            <w:pPr>
              <w:spacing w:line="360" w:lineRule="auto"/>
              <w:rPr>
                <w:rFonts w:ascii="Arial" w:hAnsi="Arial" w:cs="Arial"/>
              </w:rPr>
            </w:pPr>
            <w:r w:rsidRPr="00F31C86">
              <w:rPr>
                <w:rFonts w:ascii="Arial" w:hAnsi="Arial" w:cs="Arial"/>
              </w:rPr>
              <w:t>24 Hours</w:t>
            </w:r>
          </w:p>
        </w:tc>
      </w:tr>
    </w:tbl>
    <w:p w14:paraId="11720F74" w14:textId="77777777" w:rsidR="00CA1AF4" w:rsidRPr="00F31C86" w:rsidRDefault="00F305CB" w:rsidP="00F31C86">
      <w:pPr>
        <w:pStyle w:val="Heading1"/>
        <w:spacing w:line="360" w:lineRule="auto"/>
        <w:rPr>
          <w:rFonts w:ascii="Arial" w:hAnsi="Arial" w:cs="Arial"/>
          <w:sz w:val="32"/>
          <w:szCs w:val="32"/>
        </w:rPr>
      </w:pPr>
      <w:r w:rsidRPr="00F31C86">
        <w:rPr>
          <w:rFonts w:ascii="Arial" w:hAnsi="Arial" w:cs="Arial"/>
          <w:sz w:val="32"/>
          <w:szCs w:val="32"/>
        </w:rPr>
        <w:t>2. Technical Justifications</w:t>
      </w:r>
    </w:p>
    <w:p w14:paraId="5FC78013" w14:textId="77777777" w:rsidR="00CA1AF4" w:rsidRPr="00F31C86" w:rsidRDefault="00F305CB" w:rsidP="00F31C86">
      <w:pPr>
        <w:pStyle w:val="Heading2"/>
        <w:spacing w:line="360" w:lineRule="auto"/>
        <w:rPr>
          <w:rFonts w:ascii="Arial" w:hAnsi="Arial" w:cs="Arial"/>
        </w:rPr>
      </w:pPr>
      <w:r w:rsidRPr="00F31C86">
        <w:rPr>
          <w:rFonts w:ascii="Arial" w:hAnsi="Arial" w:cs="Arial"/>
        </w:rPr>
        <w:t>High-Complexity Joins (The "Returns" Problem)</w:t>
      </w:r>
    </w:p>
    <w:p w14:paraId="038935D1" w14:textId="77777777" w:rsidR="00CA1AF4" w:rsidRPr="00F31C86" w:rsidRDefault="00F305CB" w:rsidP="00F31C86">
      <w:pPr>
        <w:spacing w:line="360" w:lineRule="auto"/>
        <w:rPr>
          <w:rFonts w:ascii="Arial" w:hAnsi="Arial" w:cs="Arial"/>
        </w:rPr>
      </w:pPr>
      <w:r w:rsidRPr="00F31C86">
        <w:rPr>
          <w:rFonts w:ascii="Arial" w:hAnsi="Arial" w:cs="Arial"/>
        </w:rPr>
        <w:t xml:space="preserve">The vw_returns_analysis view is the most resource-intensive in the system. It </w:t>
      </w:r>
      <w:r w:rsidRPr="00F31C86">
        <w:rPr>
          <w:rFonts w:ascii="Arial" w:hAnsi="Arial" w:cs="Arial"/>
        </w:rPr>
        <w:t>traverses the entire schema, linking fact_returns back to dim_countries via four intermediate tables.</w:t>
      </w:r>
    </w:p>
    <w:p w14:paraId="41E24F65" w14:textId="77777777" w:rsidR="00CA1AF4" w:rsidRPr="00F31C86" w:rsidRDefault="00F305CB" w:rsidP="00F31C86">
      <w:pPr>
        <w:pStyle w:val="ListBullet"/>
        <w:spacing w:line="360" w:lineRule="auto"/>
        <w:rPr>
          <w:rFonts w:ascii="Arial" w:hAnsi="Arial" w:cs="Arial"/>
        </w:rPr>
      </w:pPr>
      <w:r w:rsidRPr="00F31C86">
        <w:rPr>
          <w:rFonts w:ascii="Arial" w:hAnsi="Arial" w:cs="Arial"/>
          <w:bCs/>
        </w:rPr>
        <w:t>Impact</w:t>
      </w:r>
      <w:r w:rsidRPr="00F31C86">
        <w:rPr>
          <w:rFonts w:ascii="Arial" w:hAnsi="Arial" w:cs="Arial"/>
          <w:b/>
        </w:rPr>
        <w:t xml:space="preserve">: </w:t>
      </w:r>
      <w:r w:rsidRPr="00F31C86">
        <w:rPr>
          <w:rFonts w:ascii="Arial" w:hAnsi="Arial" w:cs="Arial"/>
        </w:rPr>
        <w:t>Running this as a standard view requires the database to resolve 10 joins simultaneously.</w:t>
      </w:r>
    </w:p>
    <w:p w14:paraId="220C9F93" w14:textId="77777777" w:rsidR="00CA1AF4" w:rsidRPr="00F31C86" w:rsidRDefault="00F305CB" w:rsidP="00F31C86">
      <w:pPr>
        <w:pStyle w:val="ListBullet"/>
        <w:spacing w:line="360" w:lineRule="auto"/>
        <w:rPr>
          <w:rFonts w:ascii="Arial" w:hAnsi="Arial" w:cs="Arial"/>
        </w:rPr>
      </w:pPr>
      <w:r w:rsidRPr="00F31C86">
        <w:rPr>
          <w:rFonts w:ascii="Arial" w:hAnsi="Arial" w:cs="Arial"/>
          <w:bCs/>
        </w:rPr>
        <w:t>Strategy</w:t>
      </w:r>
      <w:r w:rsidRPr="00F31C86">
        <w:rPr>
          <w:rFonts w:ascii="Arial" w:hAnsi="Arial" w:cs="Arial"/>
          <w:b/>
        </w:rPr>
        <w:t xml:space="preserve">: </w:t>
      </w:r>
      <w:r w:rsidRPr="00F31C86">
        <w:rPr>
          <w:rFonts w:ascii="Arial" w:hAnsi="Arial" w:cs="Arial"/>
        </w:rPr>
        <w:t xml:space="preserve">Materialization "flattens" this result into a </w:t>
      </w:r>
      <w:r w:rsidRPr="00F31C86">
        <w:rPr>
          <w:rFonts w:ascii="Arial" w:hAnsi="Arial" w:cs="Arial"/>
        </w:rPr>
        <w:t>single table, reducing the I/O cost from seconds to milliseconds.</w:t>
      </w:r>
    </w:p>
    <w:p w14:paraId="595281A0" w14:textId="77777777" w:rsidR="00CA1AF4" w:rsidRPr="00F31C86" w:rsidRDefault="00F305CB" w:rsidP="00F31C86">
      <w:pPr>
        <w:pStyle w:val="Heading2"/>
        <w:spacing w:line="360" w:lineRule="auto"/>
        <w:rPr>
          <w:rFonts w:ascii="Arial" w:hAnsi="Arial" w:cs="Arial"/>
        </w:rPr>
      </w:pPr>
      <w:r w:rsidRPr="00F31C86">
        <w:rPr>
          <w:rFonts w:ascii="Arial" w:hAnsi="Arial" w:cs="Arial"/>
        </w:rPr>
        <w:t>Computational Overhead (Window Functions)</w:t>
      </w:r>
    </w:p>
    <w:p w14:paraId="4D43ABF1" w14:textId="77777777" w:rsidR="00CA1AF4" w:rsidRPr="00F31C86" w:rsidRDefault="00F305CB" w:rsidP="00F31C86">
      <w:pPr>
        <w:spacing w:line="360" w:lineRule="auto"/>
        <w:rPr>
          <w:rFonts w:ascii="Arial" w:hAnsi="Arial" w:cs="Arial"/>
        </w:rPr>
      </w:pPr>
      <w:r w:rsidRPr="00F31C86">
        <w:rPr>
          <w:rFonts w:ascii="Arial" w:hAnsi="Arial" w:cs="Arial"/>
        </w:rPr>
        <w:t>Views like vw_product_performance and vw_monthly_trend rely on RANK() and LAG() window functions.</w:t>
      </w:r>
    </w:p>
    <w:p w14:paraId="38282E11" w14:textId="77777777" w:rsidR="00CA1AF4" w:rsidRPr="00F31C86" w:rsidRDefault="00F305CB" w:rsidP="00F31C86">
      <w:pPr>
        <w:pStyle w:val="ListBullet"/>
        <w:spacing w:line="360" w:lineRule="auto"/>
        <w:rPr>
          <w:rFonts w:ascii="Arial" w:hAnsi="Arial" w:cs="Arial"/>
        </w:rPr>
      </w:pPr>
      <w:r w:rsidRPr="00F31C86">
        <w:rPr>
          <w:rFonts w:ascii="Arial" w:hAnsi="Arial" w:cs="Arial"/>
          <w:bCs/>
        </w:rPr>
        <w:t>Impact</w:t>
      </w:r>
      <w:r w:rsidRPr="00F31C86">
        <w:rPr>
          <w:rFonts w:ascii="Arial" w:hAnsi="Arial" w:cs="Arial"/>
          <w:b/>
        </w:rPr>
        <w:t xml:space="preserve">: </w:t>
      </w:r>
      <w:r w:rsidRPr="00F31C86">
        <w:rPr>
          <w:rFonts w:ascii="Arial" w:hAnsi="Arial" w:cs="Arial"/>
        </w:rPr>
        <w:t xml:space="preserve">These functions require the </w:t>
      </w:r>
      <w:r w:rsidRPr="00F31C86">
        <w:rPr>
          <w:rFonts w:ascii="Arial" w:hAnsi="Arial" w:cs="Arial"/>
        </w:rPr>
        <w:t>database to sort the entire dataset in memory before delivering a result.</w:t>
      </w:r>
    </w:p>
    <w:p w14:paraId="787C2321" w14:textId="77777777" w:rsidR="00CA1AF4" w:rsidRPr="00F31C86" w:rsidRDefault="00F305CB" w:rsidP="00F31C86">
      <w:pPr>
        <w:pStyle w:val="ListBullet"/>
        <w:spacing w:line="360" w:lineRule="auto"/>
        <w:rPr>
          <w:rFonts w:ascii="Arial" w:hAnsi="Arial" w:cs="Arial"/>
        </w:rPr>
      </w:pPr>
      <w:r w:rsidRPr="00F31C86">
        <w:rPr>
          <w:rFonts w:ascii="Arial" w:hAnsi="Arial" w:cs="Arial"/>
          <w:bCs/>
        </w:rPr>
        <w:t>Strategy</w:t>
      </w:r>
      <w:r w:rsidRPr="00F31C86">
        <w:rPr>
          <w:rFonts w:ascii="Arial" w:hAnsi="Arial" w:cs="Arial"/>
          <w:b/>
        </w:rPr>
        <w:t xml:space="preserve">: </w:t>
      </w:r>
      <w:r w:rsidRPr="00F31C86">
        <w:rPr>
          <w:rFonts w:ascii="Arial" w:hAnsi="Arial" w:cs="Arial"/>
        </w:rPr>
        <w:t>Pre-computing these ranks overnight ensures that the "Leaderboard" is ready for immediate consumption.</w:t>
      </w:r>
    </w:p>
    <w:p w14:paraId="4D5CAAD7" w14:textId="77777777" w:rsidR="00CA1AF4" w:rsidRPr="00F31C86" w:rsidRDefault="00F305CB" w:rsidP="00F31C86">
      <w:pPr>
        <w:pStyle w:val="Heading2"/>
        <w:spacing w:line="360" w:lineRule="auto"/>
        <w:rPr>
          <w:rFonts w:ascii="Arial" w:hAnsi="Arial" w:cs="Arial"/>
        </w:rPr>
      </w:pPr>
      <w:r w:rsidRPr="00F31C86">
        <w:rPr>
          <w:rFonts w:ascii="Arial" w:hAnsi="Arial" w:cs="Arial"/>
        </w:rPr>
        <w:t>Business Logic &amp; Staleness Tolerance</w:t>
      </w:r>
    </w:p>
    <w:p w14:paraId="7712CBB3" w14:textId="77777777" w:rsidR="00CA1AF4" w:rsidRPr="00F31C86" w:rsidRDefault="00F305CB" w:rsidP="00F31C86">
      <w:pPr>
        <w:pStyle w:val="ListBullet"/>
        <w:spacing w:line="360" w:lineRule="auto"/>
        <w:rPr>
          <w:rFonts w:ascii="Arial" w:hAnsi="Arial" w:cs="Arial"/>
        </w:rPr>
      </w:pPr>
      <w:r w:rsidRPr="00F31C86">
        <w:rPr>
          <w:rFonts w:ascii="Arial" w:hAnsi="Arial" w:cs="Arial"/>
          <w:bCs/>
        </w:rPr>
        <w:t>The 24-Hour Rule</w:t>
      </w:r>
      <w:r w:rsidRPr="00F31C86">
        <w:rPr>
          <w:rFonts w:ascii="Arial" w:hAnsi="Arial" w:cs="Arial"/>
          <w:b/>
        </w:rPr>
        <w:t xml:space="preserve">: </w:t>
      </w:r>
      <w:r w:rsidRPr="00F31C86">
        <w:rPr>
          <w:rFonts w:ascii="Arial" w:hAnsi="Arial" w:cs="Arial"/>
        </w:rPr>
        <w:t xml:space="preserve">For executive </w:t>
      </w:r>
      <w:r w:rsidRPr="00F31C86">
        <w:rPr>
          <w:rFonts w:ascii="Arial" w:hAnsi="Arial" w:cs="Arial"/>
        </w:rPr>
        <w:t>and historical trends, data does not change minute-to-minute. A 24-hour staleness tolerance is acceptable.</w:t>
      </w:r>
    </w:p>
    <w:p w14:paraId="271D8AD0" w14:textId="77777777" w:rsidR="00CA1AF4" w:rsidRPr="00F31C86" w:rsidRDefault="00F305CB" w:rsidP="00F31C86">
      <w:pPr>
        <w:pStyle w:val="ListBullet"/>
        <w:spacing w:line="360" w:lineRule="auto"/>
        <w:rPr>
          <w:rFonts w:ascii="Arial" w:hAnsi="Arial" w:cs="Arial"/>
        </w:rPr>
      </w:pPr>
      <w:r w:rsidRPr="00F31C86">
        <w:rPr>
          <w:rFonts w:ascii="Arial" w:hAnsi="Arial" w:cs="Arial"/>
          <w:bCs/>
        </w:rPr>
        <w:t>The Hourly Exception</w:t>
      </w:r>
      <w:r w:rsidRPr="00F31C86">
        <w:rPr>
          <w:rFonts w:ascii="Arial" w:hAnsi="Arial" w:cs="Arial"/>
          <w:b/>
        </w:rPr>
        <w:t xml:space="preserve">: </w:t>
      </w:r>
      <w:r w:rsidRPr="00F31C86">
        <w:rPr>
          <w:rFonts w:ascii="Arial" w:hAnsi="Arial" w:cs="Arial"/>
        </w:rPr>
        <w:t>The vw_rep_performance_scorecard drives sales competition. An hourly refresh strategy ensures reps see recent wins without cras</w:t>
      </w:r>
      <w:r w:rsidRPr="00F31C86">
        <w:rPr>
          <w:rFonts w:ascii="Arial" w:hAnsi="Arial" w:cs="Arial"/>
        </w:rPr>
        <w:t>hing the server.</w:t>
      </w:r>
    </w:p>
    <w:p w14:paraId="33631FE9" w14:textId="77777777" w:rsidR="00CA1AF4" w:rsidRPr="00F31C86" w:rsidRDefault="00F305CB" w:rsidP="00F31C86">
      <w:pPr>
        <w:pStyle w:val="Heading1"/>
        <w:spacing w:line="360" w:lineRule="auto"/>
        <w:rPr>
          <w:rFonts w:ascii="Arial" w:hAnsi="Arial" w:cs="Arial"/>
          <w:sz w:val="32"/>
          <w:szCs w:val="32"/>
        </w:rPr>
      </w:pPr>
      <w:r w:rsidRPr="00F31C86">
        <w:rPr>
          <w:rFonts w:ascii="Arial" w:hAnsi="Arial" w:cs="Arial"/>
          <w:sz w:val="32"/>
          <w:szCs w:val="32"/>
        </w:rPr>
        <w:lastRenderedPageBreak/>
        <w:t>3. Final Recommendation</w:t>
      </w:r>
    </w:p>
    <w:p w14:paraId="7CCBF905" w14:textId="77777777" w:rsidR="00CA1AF4" w:rsidRPr="00F31C86" w:rsidRDefault="00F305CB" w:rsidP="00F31C86">
      <w:pPr>
        <w:spacing w:line="360" w:lineRule="auto"/>
        <w:rPr>
          <w:rFonts w:ascii="Arial" w:hAnsi="Arial" w:cs="Arial"/>
        </w:rPr>
      </w:pPr>
      <w:r w:rsidRPr="00F31C86">
        <w:rPr>
          <w:rFonts w:ascii="Arial" w:hAnsi="Arial" w:cs="Arial"/>
        </w:rPr>
        <w:t>To maintain 'Non-Destructive Read' principles, these materialized views will be stored in a dedicated Reporting Schema. This separates the heavy lifting of data crunching from the live transactional tables, ensuring</w:t>
      </w:r>
      <w:r w:rsidRPr="00F31C86">
        <w:rPr>
          <w:rFonts w:ascii="Arial" w:hAnsi="Arial" w:cs="Arial"/>
        </w:rPr>
        <w:t xml:space="preserve"> the system remains responsive even during peak sales periods.</w:t>
      </w:r>
    </w:p>
    <w:sectPr w:rsidR="00CA1AF4" w:rsidRPr="00F31C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A1AF4"/>
    <w:rsid w:val="00CB0664"/>
    <w:rsid w:val="00F305CB"/>
    <w:rsid w:val="00F31C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FB2469"/>
  <w14:defaultImageDpi w14:val="300"/>
  <w15:docId w15:val="{9EA670E3-030D-4A5A-A5FF-1B1F15658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malmikullovci@hotmail.com</cp:lastModifiedBy>
  <cp:revision>2</cp:revision>
  <dcterms:created xsi:type="dcterms:W3CDTF">2026-04-14T12:04:00Z</dcterms:created>
  <dcterms:modified xsi:type="dcterms:W3CDTF">2026-04-14T12:04:00Z</dcterms:modified>
  <cp:category/>
</cp:coreProperties>
</file>