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PoC EVIDENCE - not real customer evidence.</w:t>
      </w:r>
    </w:p>
    <w:p>
      <w:pPr>
        <w:pStyle w:val="Heading2"/>
      </w:pPr>
      <w:r>
        <w:t>Strategy Objective Governance Policy</w:t>
      </w:r>
    </w:p>
    <w:p>
      <w:r>
        <w:t>Q.STR.01.01 evidence: the company defines medium-term and long-term strategic objectives through an annual planning cycle sponsored by the Chief Strategy Officer and approved by the Board.</w:t>
      </w:r>
    </w:p>
    <w:p>
      <w:r>
        <w:t>Q.STR.03.01 evidence: each objective is assigned an owner, a target metric, a review frequency, and a corrective-action protocol when quarterly performance falls below tolerance.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 ID</w:t>
            </w:r>
          </w:p>
        </w:tc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Q.STR.01.01</w:t>
            </w:r>
          </w:p>
        </w:tc>
        <w:tc>
          <w:tcPr>
            <w:tcW w:type="dxa" w:w="2160"/>
          </w:tcPr>
          <w:p>
            <w:r>
              <w:t>Board-approved strategic plan</w:t>
            </w:r>
          </w:p>
        </w:tc>
        <w:tc>
          <w:tcPr>
            <w:tcW w:type="dxa" w:w="2160"/>
          </w:tcPr>
          <w:p>
            <w:r>
              <w:t>Board Strategy Committee</w:t>
            </w:r>
          </w:p>
        </w:tc>
        <w:tc>
          <w:tcPr>
            <w:tcW w:type="dxa" w:w="2160"/>
          </w:tcPr>
          <w:p>
            <w:r>
              <w:t>Annual plan approval pack and minutes</w:t>
            </w:r>
          </w:p>
        </w:tc>
      </w:tr>
      <w:tr>
        <w:tc>
          <w:tcPr>
            <w:tcW w:type="dxa" w:w="2160"/>
          </w:tcPr>
          <w:p>
            <w:r>
              <w:t>Q.STR.03.01</w:t>
            </w:r>
          </w:p>
        </w:tc>
        <w:tc>
          <w:tcPr>
            <w:tcW w:type="dxa" w:w="2160"/>
          </w:tcPr>
          <w:p>
            <w:r>
              <w:t>Quarterly KPI and action review</w:t>
            </w:r>
          </w:p>
        </w:tc>
        <w:tc>
          <w:tcPr>
            <w:tcW w:type="dxa" w:w="2160"/>
          </w:tcPr>
          <w:p>
            <w:r>
              <w:t>Executive Management Committee</w:t>
            </w:r>
          </w:p>
        </w:tc>
        <w:tc>
          <w:tcPr>
            <w:tcW w:type="dxa" w:w="2160"/>
          </w:tcPr>
          <w:p>
            <w:r>
              <w:t>Quarterly strategy performance dashboard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