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0144A"/>
          <w:sz w:val="44"/>
        </w:rPr>
        <w:t>Nexstream Advertising Solutions, Inc.</w:t>
      </w:r>
    </w:p>
    <w:p>
      <w:r>
        <w:rPr>
          <w:rFonts w:ascii="Calibri" w:hAnsi="Calibri"/>
          <w:b/>
          <w:color w:val="0070F2"/>
          <w:sz w:val="30"/>
        </w:rPr>
        <w:t>Billing and Invoicing – Business Requirements Document (BRD)</w:t>
      </w:r>
    </w:p>
    <w:p>
      <w:r>
        <w:rPr>
          <w:rFonts w:ascii="Calibri" w:hAnsi="Calibri"/>
          <w:color w:val="606060"/>
          <w:sz w:val="18"/>
        </w:rPr>
        <w:t>Version: Billing_Invoicing_BRD_v1.0   |   Date: April 24, 2026   |   Status: Final</w:t>
      </w:r>
    </w:p>
    <w:p/>
    <w:p>
      <w:pPr>
        <w:spacing w:after="120" w:before="40"/>
      </w:pPr>
      <w:r>
        <w:rPr>
          <w:rFonts w:ascii="Calibri" w:hAnsi="Calibri"/>
          <w:b/>
          <w:i w:val="0"/>
          <w:color w:val="00144A"/>
          <w:sz w:val="22"/>
        </w:rPr>
        <w:t>Authors</w:t>
      </w:r>
    </w:p>
    <w:p>
      <w:pPr>
        <w:spacing w:after="120" w:before="40"/>
      </w:pPr>
      <w:r>
        <w:rPr>
          <w:rFonts w:ascii="Calibri" w:hAnsi="Calibri"/>
          <w:b w:val="0"/>
          <w:i w:val="0"/>
          <w:sz w:val="21"/>
        </w:rPr>
        <w:t>This document was prepared by:</w:t>
      </w:r>
    </w:p>
    <w:tbl>
      <w:tblPr>
        <w:tblStyle w:val="TableGrid"/>
        <w:tblW w:type="auto" w:w="0"/>
        <w:jc w:val="left"/>
        <w:tblLook w:firstColumn="1" w:firstRow="1" w:lastColumn="0" w:lastRow="0" w:noHBand="0" w:noVBand="1" w:val="04A0"/>
      </w:tblPr>
      <w:tblGrid>
        <w:gridCol w:w="4464"/>
        <w:gridCol w:w="4464"/>
      </w:tblGrid>
      <w:tr>
        <w:tc>
          <w:tcPr>
            <w:tcW w:type="dxa" w:w="3600"/>
            <w:shd w:val="clear" w:color="auto" w:fill="0070F2"/>
          </w:tcPr>
          <w:p>
            <w:pPr>
              <w:spacing w:after="40" w:before="40"/>
            </w:pPr>
            <w:r>
              <w:rPr>
                <w:rFonts w:ascii="Calibri" w:hAnsi="Calibri"/>
                <w:b/>
                <w:color w:val="FFFFFF"/>
                <w:sz w:val="20"/>
              </w:rPr>
              <w:t>Name</w:t>
            </w:r>
          </w:p>
        </w:tc>
        <w:tc>
          <w:tcPr>
            <w:tcW w:type="dxa" w:w="5760"/>
            <w:shd w:val="clear" w:color="auto" w:fill="0070F2"/>
          </w:tcPr>
          <w:p>
            <w:pPr>
              <w:spacing w:after="40" w:before="40"/>
            </w:pPr>
            <w:r>
              <w:rPr>
                <w:rFonts w:ascii="Calibri" w:hAnsi="Calibri"/>
                <w:b/>
                <w:color w:val="FFFFFF"/>
                <w:sz w:val="20"/>
              </w:rPr>
              <w:t>Role</w:t>
            </w:r>
          </w:p>
        </w:tc>
      </w:tr>
      <w:tr>
        <w:tc>
          <w:tcPr>
            <w:tcW w:type="dxa" w:w="4464"/>
            <w:shd w:val="clear" w:color="auto" w:fill="E1F4FF"/>
          </w:tcPr>
          <w:p>
            <w:pPr>
              <w:spacing w:after="40" w:before="40"/>
            </w:pPr>
            <w:r>
              <w:rPr>
                <w:rFonts w:ascii="Calibri" w:hAnsi="Calibri"/>
                <w:b w:val="0"/>
                <w:sz w:val="20"/>
              </w:rPr>
              <w:t>Jason Rivera</w:t>
            </w:r>
          </w:p>
        </w:tc>
        <w:tc>
          <w:tcPr>
            <w:tcW w:type="dxa" w:w="4464"/>
            <w:shd w:val="clear" w:color="auto" w:fill="E1F4FF"/>
          </w:tcPr>
          <w:p>
            <w:pPr>
              <w:spacing w:after="40" w:before="40"/>
            </w:pPr>
            <w:r>
              <w:rPr>
                <w:rFonts w:ascii="Calibri" w:hAnsi="Calibri"/>
                <w:b w:val="0"/>
                <w:sz w:val="20"/>
              </w:rPr>
              <w:t>Finance Functional Consultant</w:t>
            </w:r>
          </w:p>
        </w:tc>
      </w:tr>
      <w:tr>
        <w:tc>
          <w:tcPr>
            <w:tcW w:type="dxa" w:w="4464"/>
            <w:shd w:val="clear" w:color="auto" w:fill="E1F4FF"/>
          </w:tcPr>
          <w:p>
            <w:pPr>
              <w:spacing w:after="40" w:before="40"/>
            </w:pPr>
            <w:r>
              <w:rPr>
                <w:rFonts w:ascii="Calibri" w:hAnsi="Calibri"/>
                <w:b w:val="0"/>
                <w:sz w:val="20"/>
              </w:rPr>
              <w:t>Rachel Torres</w:t>
            </w:r>
          </w:p>
        </w:tc>
        <w:tc>
          <w:tcPr>
            <w:tcW w:type="dxa" w:w="4464"/>
            <w:shd w:val="clear" w:color="auto" w:fill="E1F4FF"/>
          </w:tcPr>
          <w:p>
            <w:pPr>
              <w:spacing w:after="40" w:before="40"/>
            </w:pPr>
            <w:r>
              <w:rPr>
                <w:rFonts w:ascii="Calibri" w:hAnsi="Calibri"/>
                <w:b w:val="0"/>
                <w:sz w:val="20"/>
              </w:rPr>
              <w:t>SAP BRIM Manager</w:t>
            </w:r>
          </w:p>
        </w:tc>
      </w:tr>
      <w:tr>
        <w:tc>
          <w:tcPr>
            <w:tcW w:type="dxa" w:w="4464"/>
            <w:shd w:val="clear" w:color="auto" w:fill="E1F4FF"/>
          </w:tcPr>
          <w:p>
            <w:pPr>
              <w:spacing w:after="40" w:before="40"/>
            </w:pPr>
            <w:r>
              <w:rPr>
                <w:rFonts w:ascii="Calibri" w:hAnsi="Calibri"/>
                <w:b w:val="0"/>
                <w:sz w:val="20"/>
              </w:rPr>
              <w:t>David Chen</w:t>
            </w:r>
          </w:p>
        </w:tc>
        <w:tc>
          <w:tcPr>
            <w:tcW w:type="dxa" w:w="4464"/>
            <w:shd w:val="clear" w:color="auto" w:fill="E1F4FF"/>
          </w:tcPr>
          <w:p>
            <w:pPr>
              <w:spacing w:after="40" w:before="40"/>
            </w:pPr>
            <w:r>
              <w:rPr>
                <w:rFonts w:ascii="Calibri" w:hAnsi="Calibri"/>
                <w:b w:val="0"/>
                <w:sz w:val="20"/>
              </w:rPr>
              <w:t>SAP BRIM Manager</w:t>
            </w:r>
          </w:p>
        </w:tc>
      </w:tr>
      <w:tr>
        <w:tc>
          <w:tcPr>
            <w:tcW w:type="dxa" w:w="4464"/>
            <w:shd w:val="clear" w:color="auto" w:fill="E1F4FF"/>
          </w:tcPr>
          <w:p>
            <w:pPr>
              <w:spacing w:after="40" w:before="40"/>
            </w:pPr>
            <w:r>
              <w:rPr>
                <w:rFonts w:ascii="Calibri" w:hAnsi="Calibri"/>
                <w:b w:val="0"/>
                <w:sz w:val="20"/>
              </w:rPr>
              <w:t>Priya Nair</w:t>
            </w:r>
          </w:p>
        </w:tc>
        <w:tc>
          <w:tcPr>
            <w:tcW w:type="dxa" w:w="4464"/>
            <w:shd w:val="clear" w:color="auto" w:fill="E1F4FF"/>
          </w:tcPr>
          <w:p>
            <w:pPr>
              <w:spacing w:after="40" w:before="40"/>
            </w:pPr>
            <w:r>
              <w:rPr>
                <w:rFonts w:ascii="Calibri" w:hAnsi="Calibri"/>
                <w:b w:val="0"/>
                <w:sz w:val="20"/>
              </w:rPr>
              <w:t>SAP BRIM Convergent Invoicing Lead</w:t>
            </w:r>
          </w:p>
        </w:tc>
      </w:tr>
      <w:tr>
        <w:tc>
          <w:tcPr>
            <w:tcW w:type="dxa" w:w="4464"/>
            <w:shd w:val="clear" w:color="auto" w:fill="E1F4FF"/>
          </w:tcPr>
          <w:p>
            <w:pPr>
              <w:spacing w:after="40" w:before="40"/>
            </w:pPr>
            <w:r>
              <w:rPr>
                <w:rFonts w:ascii="Calibri" w:hAnsi="Calibri"/>
                <w:b w:val="0"/>
                <w:sz w:val="20"/>
              </w:rPr>
              <w:t>Marcus Webb</w:t>
            </w:r>
          </w:p>
        </w:tc>
        <w:tc>
          <w:tcPr>
            <w:tcW w:type="dxa" w:w="4464"/>
            <w:shd w:val="clear" w:color="auto" w:fill="E1F4FF"/>
          </w:tcPr>
          <w:p>
            <w:pPr>
              <w:spacing w:after="40" w:before="40"/>
            </w:pPr>
            <w:r>
              <w:rPr>
                <w:rFonts w:ascii="Calibri" w:hAnsi="Calibri"/>
                <w:b w:val="0"/>
                <w:sz w:val="20"/>
              </w:rPr>
              <w:t>SAP BRIM Lead Architect</w:t>
            </w:r>
          </w:p>
        </w:tc>
      </w:tr>
      <w:tr>
        <w:tc>
          <w:tcPr>
            <w:tcW w:type="dxa" w:w="4464"/>
            <w:shd w:val="clear" w:color="auto" w:fill="E1F4FF"/>
          </w:tcPr>
          <w:p>
            <w:pPr>
              <w:spacing w:after="40" w:before="40"/>
            </w:pPr>
            <w:r>
              <w:rPr>
                <w:rFonts w:ascii="Calibri" w:hAnsi="Calibri"/>
                <w:b w:val="0"/>
                <w:sz w:val="20"/>
              </w:rPr>
              <w:t>Aisha Okonkwo</w:t>
            </w:r>
          </w:p>
        </w:tc>
        <w:tc>
          <w:tcPr>
            <w:tcW w:type="dxa" w:w="4464"/>
            <w:shd w:val="clear" w:color="auto" w:fill="E1F4FF"/>
          </w:tcPr>
          <w:p>
            <w:pPr>
              <w:spacing w:after="40" w:before="40"/>
            </w:pPr>
            <w:r>
              <w:rPr>
                <w:rFonts w:ascii="Calibri" w:hAnsi="Calibri"/>
                <w:b w:val="0"/>
                <w:sz w:val="20"/>
              </w:rPr>
              <w:t>SAP BRIM Functional Architect</w:t>
            </w:r>
          </w:p>
        </w:tc>
      </w:tr>
    </w:tbl>
    <w:p/>
    <w:p>
      <w:pPr>
        <w:spacing w:after="120" w:before="40"/>
      </w:pPr>
      <w:r>
        <w:rPr>
          <w:rFonts w:ascii="Calibri" w:hAnsi="Calibri"/>
          <w:b/>
          <w:i w:val="0"/>
          <w:color w:val="00144A"/>
          <w:sz w:val="22"/>
        </w:rPr>
        <w:t>Document Revision / Approval Control</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1296"/>
            <w:shd w:val="clear" w:color="auto" w:fill="0070F2"/>
          </w:tcPr>
          <w:p>
            <w:pPr>
              <w:spacing w:after="40" w:before="40"/>
            </w:pPr>
            <w:r>
              <w:rPr>
                <w:rFonts w:ascii="Calibri" w:hAnsi="Calibri"/>
                <w:b/>
                <w:color w:val="FFFFFF"/>
                <w:sz w:val="20"/>
              </w:rPr>
              <w:t>Date</w:t>
            </w:r>
          </w:p>
        </w:tc>
        <w:tc>
          <w:tcPr>
            <w:tcW w:type="dxa" w:w="2304"/>
            <w:shd w:val="clear" w:color="auto" w:fill="0070F2"/>
          </w:tcPr>
          <w:p>
            <w:pPr>
              <w:spacing w:after="40" w:before="40"/>
            </w:pPr>
            <w:r>
              <w:rPr>
                <w:rFonts w:ascii="Calibri" w:hAnsi="Calibri"/>
                <w:b/>
                <w:color w:val="FFFFFF"/>
                <w:sz w:val="20"/>
              </w:rPr>
              <w:t>Document Version</w:t>
            </w:r>
          </w:p>
        </w:tc>
        <w:tc>
          <w:tcPr>
            <w:tcW w:type="dxa" w:w="4608"/>
            <w:shd w:val="clear" w:color="auto" w:fill="0070F2"/>
          </w:tcPr>
          <w:p>
            <w:pPr>
              <w:spacing w:after="40" w:before="40"/>
            </w:pPr>
            <w:r>
              <w:rPr>
                <w:rFonts w:ascii="Calibri" w:hAnsi="Calibri"/>
                <w:b/>
                <w:color w:val="FFFFFF"/>
                <w:sz w:val="20"/>
              </w:rPr>
              <w:t>Document Revision Description</w:t>
            </w:r>
          </w:p>
        </w:tc>
        <w:tc>
          <w:tcPr>
            <w:tcW w:type="dxa" w:w="2592"/>
            <w:shd w:val="clear" w:color="auto" w:fill="0070F2"/>
          </w:tcPr>
          <w:p>
            <w:pPr>
              <w:spacing w:after="40" w:before="40"/>
            </w:pPr>
            <w:r>
              <w:rPr>
                <w:rFonts w:ascii="Calibri" w:hAnsi="Calibri"/>
                <w:b/>
                <w:color w:val="FFFFFF"/>
                <w:sz w:val="20"/>
              </w:rPr>
              <w:t>Reviewer Name</w:t>
            </w:r>
          </w:p>
        </w:tc>
      </w:tr>
      <w:tr>
        <w:tc>
          <w:tcPr>
            <w:tcW w:type="dxa" w:w="2232"/>
            <w:shd w:val="clear" w:color="auto" w:fill="E1F4FF"/>
          </w:tcPr>
          <w:p>
            <w:pPr>
              <w:spacing w:after="40" w:before="40"/>
            </w:pPr>
            <w:r>
              <w:rPr>
                <w:rFonts w:ascii="Calibri" w:hAnsi="Calibri"/>
                <w:b w:val="0"/>
                <w:sz w:val="20"/>
              </w:rPr>
              <w:t>04/15/2026</w:t>
            </w:r>
          </w:p>
        </w:tc>
        <w:tc>
          <w:tcPr>
            <w:tcW w:type="dxa" w:w="2232"/>
            <w:shd w:val="clear" w:color="auto" w:fill="E1F4FF"/>
          </w:tcPr>
          <w:p>
            <w:pPr>
              <w:spacing w:after="40" w:before="40"/>
            </w:pPr>
            <w:r>
              <w:rPr>
                <w:rFonts w:ascii="Calibri" w:hAnsi="Calibri"/>
                <w:b w:val="0"/>
                <w:sz w:val="20"/>
              </w:rPr>
              <w:t>Billing_Invoicing_BRD_v0.9</w:t>
            </w:r>
          </w:p>
        </w:tc>
        <w:tc>
          <w:tcPr>
            <w:tcW w:type="dxa" w:w="2232"/>
            <w:shd w:val="clear" w:color="auto" w:fill="E1F4FF"/>
          </w:tcPr>
          <w:p>
            <w:pPr>
              <w:spacing w:after="40" w:before="40"/>
            </w:pPr>
            <w:r>
              <w:rPr>
                <w:rFonts w:ascii="Calibri" w:hAnsi="Calibri"/>
                <w:b w:val="0"/>
                <w:sz w:val="20"/>
              </w:rPr>
              <w:t>Initial BRD draft based on approved business requirements, WRICEFs, and design sessions.</w:t>
            </w:r>
          </w:p>
        </w:tc>
        <w:tc>
          <w:tcPr>
            <w:tcW w:type="dxa" w:w="2232"/>
            <w:shd w:val="clear" w:color="auto" w:fill="E1F4FF"/>
          </w:tcPr>
          <w:p>
            <w:pPr>
              <w:spacing w:after="40" w:before="40"/>
            </w:pPr>
            <w:r>
              <w:rPr>
                <w:rFonts w:ascii="Calibri" w:hAnsi="Calibri"/>
                <w:b w:val="0"/>
                <w:sz w:val="20"/>
              </w:rPr>
              <w:t>Tyler Nguyen, Alicia Bowers, Michael Park, Sandra Lee</w:t>
            </w:r>
          </w:p>
        </w:tc>
      </w:tr>
      <w:tr>
        <w:tc>
          <w:tcPr>
            <w:tcW w:type="dxa" w:w="2232"/>
            <w:shd w:val="clear" w:color="auto" w:fill="E1F4FF"/>
          </w:tcPr>
          <w:p>
            <w:pPr>
              <w:spacing w:after="40" w:before="40"/>
            </w:pPr>
            <w:r>
              <w:rPr>
                <w:rFonts w:ascii="Calibri" w:hAnsi="Calibri"/>
                <w:b w:val="0"/>
                <w:sz w:val="20"/>
              </w:rPr>
              <w:t>04/24/2026</w:t>
            </w:r>
          </w:p>
        </w:tc>
        <w:tc>
          <w:tcPr>
            <w:tcW w:type="dxa" w:w="2232"/>
            <w:shd w:val="clear" w:color="auto" w:fill="E1F4FF"/>
          </w:tcPr>
          <w:p>
            <w:pPr>
              <w:spacing w:after="40" w:before="40"/>
            </w:pPr>
            <w:r>
              <w:rPr>
                <w:rFonts w:ascii="Calibri" w:hAnsi="Calibri"/>
                <w:b w:val="0"/>
                <w:sz w:val="20"/>
              </w:rPr>
              <w:t>Billing_Invoicing_BRD_v1.0</w:t>
            </w:r>
          </w:p>
        </w:tc>
        <w:tc>
          <w:tcPr>
            <w:tcW w:type="dxa" w:w="2232"/>
            <w:shd w:val="clear" w:color="auto" w:fill="E1F4FF"/>
          </w:tcPr>
          <w:p>
            <w:pPr>
              <w:spacing w:after="40" w:before="40"/>
            </w:pPr>
            <w:r>
              <w:rPr>
                <w:rFonts w:ascii="Calibri" w:hAnsi="Calibri"/>
                <w:b w:val="0"/>
                <w:sz w:val="20"/>
              </w:rPr>
              <w:t>BRD updated to reflect final MVP design decisions.</w:t>
            </w:r>
          </w:p>
        </w:tc>
        <w:tc>
          <w:tcPr>
            <w:tcW w:type="dxa" w:w="2232"/>
            <w:shd w:val="clear" w:color="auto" w:fill="E1F4FF"/>
          </w:tcPr>
          <w:p>
            <w:pPr>
              <w:spacing w:after="40" w:before="40"/>
            </w:pPr>
            <w:r>
              <w:rPr>
                <w:rFonts w:ascii="Calibri" w:hAnsi="Calibri"/>
                <w:b w:val="0"/>
                <w:sz w:val="20"/>
              </w:rPr>
              <w:t>Sandra Lee</w:t>
            </w:r>
          </w:p>
        </w:tc>
      </w:tr>
    </w:tbl>
    <w:p/>
    <w:p>
      <w:pPr>
        <w:spacing w:after="120" w:before="40"/>
      </w:pPr>
      <w:r>
        <w:rPr>
          <w:rFonts w:ascii="Calibri" w:hAnsi="Calibri"/>
          <w:b/>
          <w:i w:val="0"/>
          <w:color w:val="00144A"/>
          <w:sz w:val="22"/>
        </w:rPr>
        <w:t>Reference Documentation</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432"/>
            <w:shd w:val="clear" w:color="auto" w:fill="0070F2"/>
          </w:tcPr>
          <w:p>
            <w:pPr>
              <w:spacing w:after="40" w:before="40"/>
            </w:pPr>
            <w:r>
              <w:rPr>
                <w:rFonts w:ascii="Calibri" w:hAnsi="Calibri"/>
                <w:b/>
                <w:color w:val="FFFFFF"/>
                <w:sz w:val="20"/>
              </w:rPr>
              <w:t>No</w:t>
            </w:r>
          </w:p>
        </w:tc>
        <w:tc>
          <w:tcPr>
            <w:tcW w:type="dxa" w:w="3168"/>
            <w:shd w:val="clear" w:color="auto" w:fill="0070F2"/>
          </w:tcPr>
          <w:p>
            <w:pPr>
              <w:spacing w:after="40" w:before="40"/>
            </w:pPr>
            <w:r>
              <w:rPr>
                <w:rFonts w:ascii="Calibri" w:hAnsi="Calibri"/>
                <w:b/>
                <w:color w:val="FFFFFF"/>
                <w:sz w:val="20"/>
              </w:rPr>
              <w:t>Document Name</w:t>
            </w:r>
          </w:p>
        </w:tc>
        <w:tc>
          <w:tcPr>
            <w:tcW w:type="dxa" w:w="4608"/>
            <w:shd w:val="clear" w:color="auto" w:fill="0070F2"/>
          </w:tcPr>
          <w:p>
            <w:pPr>
              <w:spacing w:after="40" w:before="40"/>
            </w:pPr>
            <w:r>
              <w:rPr>
                <w:rFonts w:ascii="Calibri" w:hAnsi="Calibri"/>
                <w:b/>
                <w:color w:val="FFFFFF"/>
                <w:sz w:val="20"/>
              </w:rPr>
              <w:t>Document Description</w:t>
            </w:r>
          </w:p>
        </w:tc>
        <w:tc>
          <w:tcPr>
            <w:tcW w:type="dxa" w:w="1440"/>
            <w:shd w:val="clear" w:color="auto" w:fill="0070F2"/>
          </w:tcPr>
          <w:p>
            <w:pPr>
              <w:spacing w:after="40" w:before="40"/>
            </w:pPr>
            <w:r>
              <w:rPr>
                <w:rFonts w:ascii="Calibri" w:hAnsi="Calibri"/>
                <w:b/>
                <w:color w:val="FFFFFF"/>
                <w:sz w:val="20"/>
              </w:rPr>
              <w:t>Document Location</w:t>
            </w:r>
          </w:p>
        </w:tc>
      </w:tr>
      <w:tr>
        <w:tc>
          <w:tcPr>
            <w:tcW w:type="dxa" w:w="2232"/>
            <w:shd w:val="clear" w:color="auto" w:fill="E1F4FF"/>
          </w:tcPr>
          <w:p>
            <w:pPr>
              <w:spacing w:after="40" w:before="40"/>
            </w:pPr>
            <w:r>
              <w:rPr>
                <w:rFonts w:ascii="Calibri" w:hAnsi="Calibri"/>
                <w:b w:val="0"/>
                <w:sz w:val="20"/>
              </w:rPr>
              <w:t>1.</w:t>
            </w:r>
          </w:p>
        </w:tc>
        <w:tc>
          <w:tcPr>
            <w:tcW w:type="dxa" w:w="2232"/>
            <w:shd w:val="clear" w:color="auto" w:fill="E1F4FF"/>
          </w:tcPr>
          <w:p>
            <w:pPr>
              <w:spacing w:after="40" w:before="40"/>
            </w:pPr>
            <w:r>
              <w:rPr>
                <w:rFonts w:ascii="Calibri" w:hAnsi="Calibri"/>
                <w:b w:val="0"/>
                <w:sz w:val="20"/>
              </w:rPr>
              <w:t>RAID Log</w:t>
            </w:r>
          </w:p>
        </w:tc>
        <w:tc>
          <w:tcPr>
            <w:tcW w:type="dxa" w:w="2232"/>
            <w:shd w:val="clear" w:color="auto" w:fill="E1F4FF"/>
          </w:tcPr>
          <w:p>
            <w:pPr>
              <w:spacing w:after="40" w:before="40"/>
            </w:pPr>
            <w:r>
              <w:rPr>
                <w:rFonts w:ascii="Calibri" w:hAnsi="Calibri"/>
                <w:b w:val="0"/>
                <w:sz w:val="20"/>
              </w:rPr>
              <w:t>Risks, Actions, Issues, and Decisions Log</w:t>
            </w:r>
          </w:p>
        </w:tc>
        <w:tc>
          <w:tcPr>
            <w:tcW w:type="dxa" w:w="2232"/>
            <w:shd w:val="clear" w:color="auto" w:fill="E1F4FF"/>
          </w:tcPr>
          <w:p>
            <w:pPr>
              <w:spacing w:after="40" w:before="40"/>
            </w:pPr>
            <w:r>
              <w:rPr>
                <w:rFonts w:ascii="Calibri" w:hAnsi="Calibri"/>
                <w:b w:val="0"/>
                <w:sz w:val="20"/>
              </w:rPr>
              <w:t>[Link]</w:t>
            </w:r>
          </w:p>
        </w:tc>
      </w:tr>
      <w:tr>
        <w:tc>
          <w:tcPr>
            <w:tcW w:type="dxa" w:w="2232"/>
            <w:shd w:val="clear" w:color="auto" w:fill="E1F4FF"/>
          </w:tcPr>
          <w:p>
            <w:pPr>
              <w:spacing w:after="40" w:before="40"/>
            </w:pPr>
            <w:r>
              <w:rPr>
                <w:rFonts w:ascii="Calibri" w:hAnsi="Calibri"/>
                <w:b w:val="0"/>
                <w:sz w:val="20"/>
              </w:rPr>
              <w:t>2.</w:t>
            </w:r>
          </w:p>
        </w:tc>
        <w:tc>
          <w:tcPr>
            <w:tcW w:type="dxa" w:w="2232"/>
            <w:shd w:val="clear" w:color="auto" w:fill="E1F4FF"/>
          </w:tcPr>
          <w:p>
            <w:pPr>
              <w:spacing w:after="40" w:before="40"/>
            </w:pPr>
            <w:r>
              <w:rPr>
                <w:rFonts w:ascii="Calibri" w:hAnsi="Calibri"/>
                <w:b w:val="0"/>
                <w:sz w:val="20"/>
              </w:rPr>
              <w:t>RTM</w:t>
            </w:r>
          </w:p>
        </w:tc>
        <w:tc>
          <w:tcPr>
            <w:tcW w:type="dxa" w:w="2232"/>
            <w:shd w:val="clear" w:color="auto" w:fill="E1F4FF"/>
          </w:tcPr>
          <w:p>
            <w:pPr>
              <w:spacing w:after="40" w:before="40"/>
            </w:pPr>
            <w:r>
              <w:rPr>
                <w:rFonts w:ascii="Calibri" w:hAnsi="Calibri"/>
                <w:b w:val="0"/>
                <w:sz w:val="20"/>
              </w:rPr>
              <w:t>Requirements Traceability Matrix</w:t>
            </w:r>
          </w:p>
        </w:tc>
        <w:tc>
          <w:tcPr>
            <w:tcW w:type="dxa" w:w="2232"/>
            <w:shd w:val="clear" w:color="auto" w:fill="E1F4FF"/>
          </w:tcPr>
          <w:p>
            <w:pPr>
              <w:spacing w:after="40" w:before="40"/>
            </w:pPr>
            <w:r>
              <w:rPr>
                <w:rFonts w:ascii="Calibri" w:hAnsi="Calibri"/>
                <w:b w:val="0"/>
                <w:sz w:val="20"/>
              </w:rPr>
              <w:t>[Link]</w:t>
            </w:r>
          </w:p>
        </w:tc>
      </w:tr>
      <w:tr>
        <w:tc>
          <w:tcPr>
            <w:tcW w:type="dxa" w:w="2232"/>
            <w:shd w:val="clear" w:color="auto" w:fill="E1F4FF"/>
          </w:tcPr>
          <w:p>
            <w:pPr>
              <w:spacing w:after="40" w:before="40"/>
            </w:pPr>
            <w:r>
              <w:rPr>
                <w:rFonts w:ascii="Calibri" w:hAnsi="Calibri"/>
                <w:b w:val="0"/>
                <w:sz w:val="20"/>
              </w:rPr>
              <w:t>3.</w:t>
            </w:r>
          </w:p>
        </w:tc>
        <w:tc>
          <w:tcPr>
            <w:tcW w:type="dxa" w:w="2232"/>
            <w:shd w:val="clear" w:color="auto" w:fill="E1F4FF"/>
          </w:tcPr>
          <w:p>
            <w:pPr>
              <w:spacing w:after="40" w:before="40"/>
            </w:pPr>
            <w:r>
              <w:rPr>
                <w:rFonts w:ascii="Calibri" w:hAnsi="Calibri"/>
                <w:b w:val="0"/>
                <w:sz w:val="20"/>
              </w:rPr>
              <w:t>Process Taxonomy</w:t>
            </w:r>
          </w:p>
        </w:tc>
        <w:tc>
          <w:tcPr>
            <w:tcW w:type="dxa" w:w="2232"/>
            <w:shd w:val="clear" w:color="auto" w:fill="E1F4FF"/>
          </w:tcPr>
          <w:p>
            <w:pPr>
              <w:spacing w:after="40" w:before="40"/>
            </w:pPr>
            <w:r>
              <w:rPr>
                <w:rFonts w:ascii="Calibri" w:hAnsi="Calibri"/>
                <w:b w:val="0"/>
                <w:sz w:val="20"/>
              </w:rPr>
              <w:t>Overview of Nexstream's Lead-to-Revenue process</w:t>
            </w:r>
          </w:p>
        </w:tc>
        <w:tc>
          <w:tcPr>
            <w:tcW w:type="dxa" w:w="2232"/>
            <w:shd w:val="clear" w:color="auto" w:fill="E1F4FF"/>
          </w:tcPr>
          <w:p>
            <w:pPr>
              <w:spacing w:after="40" w:before="40"/>
            </w:pPr>
            <w:r>
              <w:rPr>
                <w:rFonts w:ascii="Calibri" w:hAnsi="Calibri"/>
                <w:b w:val="0"/>
                <w:sz w:val="20"/>
              </w:rPr>
              <w:t>[Link]</w:t>
            </w:r>
          </w:p>
        </w:tc>
      </w:tr>
      <w:tr>
        <w:tc>
          <w:tcPr>
            <w:tcW w:type="dxa" w:w="2232"/>
            <w:shd w:val="clear" w:color="auto" w:fill="E1F4FF"/>
          </w:tcPr>
          <w:p>
            <w:pPr>
              <w:spacing w:after="40" w:before="40"/>
            </w:pPr>
            <w:r>
              <w:rPr>
                <w:rFonts w:ascii="Calibri" w:hAnsi="Calibri"/>
                <w:b w:val="0"/>
                <w:sz w:val="20"/>
              </w:rPr>
              <w:t>4.</w:t>
            </w:r>
          </w:p>
        </w:tc>
        <w:tc>
          <w:tcPr>
            <w:tcW w:type="dxa" w:w="2232"/>
            <w:shd w:val="clear" w:color="auto" w:fill="E1F4FF"/>
          </w:tcPr>
          <w:p>
            <w:pPr>
              <w:spacing w:after="40" w:before="40"/>
            </w:pPr>
            <w:r>
              <w:rPr>
                <w:rFonts w:ascii="Calibri" w:hAnsi="Calibri"/>
                <w:b w:val="0"/>
                <w:sz w:val="20"/>
              </w:rPr>
              <w:t>Master Data BRD</w:t>
            </w:r>
          </w:p>
        </w:tc>
        <w:tc>
          <w:tcPr>
            <w:tcW w:type="dxa" w:w="2232"/>
            <w:shd w:val="clear" w:color="auto" w:fill="E1F4FF"/>
          </w:tcPr>
          <w:p>
            <w:pPr>
              <w:spacing w:after="40" w:before="40"/>
            </w:pPr>
            <w:r>
              <w:rPr>
                <w:rFonts w:ascii="Calibri" w:hAnsi="Calibri"/>
                <w:b w:val="0"/>
                <w:sz w:val="20"/>
              </w:rPr>
              <w:t>Master Data Requirements Document</w:t>
            </w:r>
          </w:p>
        </w:tc>
        <w:tc>
          <w:tcPr>
            <w:tcW w:type="dxa" w:w="2232"/>
            <w:shd w:val="clear" w:color="auto" w:fill="E1F4FF"/>
          </w:tcPr>
          <w:p>
            <w:pPr>
              <w:spacing w:after="40" w:before="40"/>
            </w:pPr>
            <w:r>
              <w:rPr>
                <w:rFonts w:ascii="Calibri" w:hAnsi="Calibri"/>
                <w:b w:val="0"/>
                <w:sz w:val="20"/>
              </w:rPr>
              <w:t>[Link]</w:t>
            </w:r>
          </w:p>
        </w:tc>
      </w:tr>
      <w:tr>
        <w:tc>
          <w:tcPr>
            <w:tcW w:type="dxa" w:w="2232"/>
            <w:shd w:val="clear" w:color="auto" w:fill="E1F4FF"/>
          </w:tcPr>
          <w:p>
            <w:pPr>
              <w:spacing w:after="40" w:before="40"/>
            </w:pPr>
            <w:r>
              <w:rPr>
                <w:rFonts w:ascii="Calibri" w:hAnsi="Calibri"/>
                <w:b w:val="0"/>
                <w:sz w:val="20"/>
              </w:rPr>
              <w:t>5.</w:t>
            </w:r>
          </w:p>
        </w:tc>
        <w:tc>
          <w:tcPr>
            <w:tcW w:type="dxa" w:w="2232"/>
            <w:shd w:val="clear" w:color="auto" w:fill="E1F4FF"/>
          </w:tcPr>
          <w:p>
            <w:pPr>
              <w:spacing w:after="40" w:before="40"/>
            </w:pPr>
            <w:r>
              <w:rPr>
                <w:rFonts w:ascii="Calibri" w:hAnsi="Calibri"/>
                <w:b w:val="0"/>
                <w:sz w:val="20"/>
              </w:rPr>
              <w:t>Accounts Receivable BRD</w:t>
            </w:r>
          </w:p>
        </w:tc>
        <w:tc>
          <w:tcPr>
            <w:tcW w:type="dxa" w:w="2232"/>
            <w:shd w:val="clear" w:color="auto" w:fill="E1F4FF"/>
          </w:tcPr>
          <w:p>
            <w:pPr>
              <w:spacing w:after="40" w:before="40"/>
            </w:pPr>
            <w:r>
              <w:rPr>
                <w:rFonts w:ascii="Calibri" w:hAnsi="Calibri"/>
                <w:b w:val="0"/>
                <w:sz w:val="20"/>
              </w:rPr>
              <w:t>AR and Revenue Recognition Requirements Document</w:t>
            </w:r>
          </w:p>
        </w:tc>
        <w:tc>
          <w:tcPr>
            <w:tcW w:type="dxa" w:w="2232"/>
            <w:shd w:val="clear" w:color="auto" w:fill="E1F4FF"/>
          </w:tcPr>
          <w:p>
            <w:pPr>
              <w:spacing w:after="40" w:before="40"/>
            </w:pPr>
            <w:r>
              <w:rPr>
                <w:rFonts w:ascii="Calibri" w:hAnsi="Calibri"/>
                <w:b w:val="0"/>
                <w:sz w:val="20"/>
              </w:rPr>
              <w:t>[Link]</w:t>
            </w:r>
          </w:p>
        </w:tc>
      </w:tr>
    </w:tbl>
    <w:p/>
    <w:p>
      <w:pPr>
        <w:pStyle w:val="Heading1"/>
      </w:pPr>
      <w:r>
        <w:t>1. Introduction</w:t>
      </w:r>
    </w:p>
    <w:p>
      <w:pPr>
        <w:spacing w:after="120" w:before="40"/>
      </w:pPr>
      <w:r>
        <w:rPr>
          <w:rFonts w:ascii="Calibri" w:hAnsi="Calibri"/>
          <w:b/>
          <w:color w:val="0070F2"/>
          <w:sz w:val="21"/>
        </w:rPr>
        <w:t xml:space="preserve">Purpose:  </w:t>
      </w:r>
      <w:r>
        <w:rPr>
          <w:rFonts w:ascii="Calibri" w:hAnsi="Calibri"/>
          <w:sz w:val="21"/>
        </w:rPr>
        <w:t>This is the introductory section of the Business Requirements Document (BRD) and highlights the scope of the document, the approval process, and the key design issues that have yet to be resolved.</w:t>
      </w:r>
    </w:p>
    <w:p>
      <w:pPr>
        <w:pStyle w:val="Heading2"/>
      </w:pPr>
      <w:r>
        <w:t>1.1  Document Purpose and Structure</w:t>
      </w:r>
    </w:p>
    <w:p>
      <w:pPr>
        <w:spacing w:after="120" w:before="40"/>
      </w:pPr>
      <w:r>
        <w:rPr>
          <w:rFonts w:ascii="Calibri" w:hAnsi="Calibri"/>
          <w:b w:val="0"/>
          <w:i w:val="0"/>
          <w:sz w:val="21"/>
        </w:rPr>
        <w:t>The Business Requirements Document (BRD) describes the high-level process design for each Level 3 process within a single Level 2 process as defined by the Nexstream process taxonomy. One BRD document is generated per Level 2 process.</w:t>
      </w:r>
    </w:p>
    <w:p>
      <w:pPr>
        <w:spacing w:after="120" w:before="40"/>
      </w:pPr>
      <w:r>
        <w:rPr>
          <w:rFonts w:ascii="Calibri" w:hAnsi="Calibri"/>
          <w:b w:val="0"/>
          <w:i w:val="0"/>
          <w:sz w:val="21"/>
        </w:rPr>
        <w:t>This document provides a holistic view of all key design elements including organisation/roles, technology, process, and data requirements in a format appropriate for business review and sign-off. It also supports a clear scope lock-down for the Build phase of the SAP BRIM implementation.</w:t>
      </w:r>
    </w:p>
    <w:p>
      <w:pPr>
        <w:spacing w:after="120" w:before="40"/>
      </w:pPr>
      <w:r>
        <w:rPr>
          <w:rFonts w:ascii="Calibri" w:hAnsi="Calibri"/>
          <w:b w:val="0"/>
          <w:i w:val="0"/>
          <w:sz w:val="21"/>
        </w:rPr>
        <w:t>This document is intended to support a clear scope lock-down for the Build phase.</w:t>
      </w:r>
    </w:p>
    <w:p>
      <w:pPr>
        <w:pStyle w:val="Heading2"/>
      </w:pPr>
      <w:r>
        <w:t>1.2  Document Scope and Context</w:t>
      </w:r>
    </w:p>
    <w:p>
      <w:pPr>
        <w:spacing w:after="120" w:before="40"/>
      </w:pPr>
      <w:r>
        <w:rPr>
          <w:rFonts w:ascii="Calibri" w:hAnsi="Calibri"/>
          <w:b/>
          <w:color w:val="0070F2"/>
          <w:sz w:val="21"/>
        </w:rPr>
        <w:t xml:space="preserve">Purpose:  </w:t>
      </w:r>
      <w:r>
        <w:rPr>
          <w:rFonts w:ascii="Calibri" w:hAnsi="Calibri"/>
          <w:sz w:val="21"/>
        </w:rPr>
        <w:t>To provide the reader with an overview of the business area and processes covered by this BRD and to explain how the content of the document has been developed.</w:t>
      </w:r>
    </w:p>
    <w:p/>
    <w:p>
      <w:pPr>
        <w:spacing w:after="120" w:before="40"/>
      </w:pPr>
      <w:r>
        <w:rPr>
          <w:rFonts w:ascii="Calibri" w:hAnsi="Calibri"/>
          <w:b w:val="0"/>
          <w:i w:val="0"/>
          <w:sz w:val="21"/>
        </w:rPr>
        <w:t>The scope of this BRD covers Billing and Invoicing within the Lead-to-Revenue process. Business requirements and future state process designs were collected and validated during detailed Design sessions with Nexstream stakeholders across Finance Operations, Campaign Management, Product, and Digital Experience teams.</w:t>
      </w:r>
    </w:p>
    <w:p>
      <w:pPr>
        <w:spacing w:after="120" w:before="40"/>
      </w:pPr>
      <w:r>
        <w:rPr>
          <w:rFonts w:ascii="Calibri" w:hAnsi="Calibri"/>
          <w:b w:val="0"/>
          <w:i w:val="0"/>
          <w:sz w:val="21"/>
        </w:rPr>
        <w:t>Nexstream is implementing SAP Billing and Revenue Innovation Management (SAP BRIM) as its enterprise billing platform, replacing a fragmented combination of legacy ad-ops billing tools and manual spreadsheet-based invoicing processes.</w:t>
      </w:r>
    </w:p>
    <w:p>
      <w:pPr>
        <w:pStyle w:val="Heading2"/>
      </w:pPr>
      <w:r>
        <w:t>1.3  Key Terms</w:t>
      </w:r>
    </w:p>
    <w:p>
      <w:pPr>
        <w:spacing w:after="120" w:before="40"/>
      </w:pPr>
      <w:r>
        <w:rPr>
          <w:rFonts w:ascii="Calibri" w:hAnsi="Calibri"/>
          <w:b/>
          <w:color w:val="0070F2"/>
          <w:sz w:val="21"/>
        </w:rPr>
        <w:t xml:space="preserve">Purpose:  </w:t>
      </w:r>
      <w:r>
        <w:rPr>
          <w:rFonts w:ascii="Calibri" w:hAnsi="Calibri"/>
          <w:sz w:val="21"/>
        </w:rPr>
        <w:t>This section defines a list of key terms used throughout this BRD.</w:t>
      </w:r>
    </w:p>
    <w:p/>
    <w:tbl>
      <w:tblPr>
        <w:tblStyle w:val="TableGrid"/>
        <w:tblW w:type="auto" w:w="0"/>
        <w:jc w:val="left"/>
        <w:tblLook w:firstColumn="1" w:firstRow="1" w:lastColumn="0" w:lastRow="0" w:noHBand="0" w:noVBand="1" w:val="04A0"/>
      </w:tblPr>
      <w:tblGrid>
        <w:gridCol w:w="4464"/>
        <w:gridCol w:w="4464"/>
      </w:tblGrid>
      <w:tr>
        <w:tc>
          <w:tcPr>
            <w:tcW w:type="dxa" w:w="3168"/>
            <w:shd w:val="clear" w:color="auto" w:fill="0070F2"/>
          </w:tcPr>
          <w:p>
            <w:pPr>
              <w:spacing w:after="40" w:before="40"/>
            </w:pPr>
            <w:r>
              <w:rPr>
                <w:rFonts w:ascii="Calibri" w:hAnsi="Calibri"/>
                <w:b/>
                <w:color w:val="FFFFFF"/>
                <w:sz w:val="20"/>
              </w:rPr>
              <w:t>Term</w:t>
            </w:r>
          </w:p>
        </w:tc>
        <w:tc>
          <w:tcPr>
            <w:tcW w:type="dxa" w:w="7632"/>
            <w:shd w:val="clear" w:color="auto" w:fill="0070F2"/>
          </w:tcPr>
          <w:p>
            <w:pPr>
              <w:spacing w:after="40" w:before="40"/>
            </w:pPr>
            <w:r>
              <w:rPr>
                <w:rFonts w:ascii="Calibri" w:hAnsi="Calibri"/>
                <w:b/>
                <w:color w:val="FFFFFF"/>
                <w:sz w:val="20"/>
              </w:rPr>
              <w:t>Definition</w:t>
            </w:r>
          </w:p>
        </w:tc>
      </w:tr>
      <w:tr>
        <w:tc>
          <w:tcPr>
            <w:tcW w:type="dxa" w:w="4464"/>
            <w:shd w:val="clear" w:color="auto" w:fill="E1F4FF"/>
          </w:tcPr>
          <w:p>
            <w:pPr>
              <w:spacing w:after="40" w:before="40"/>
            </w:pPr>
            <w:r>
              <w:rPr>
                <w:rFonts w:ascii="Calibri" w:hAnsi="Calibri"/>
                <w:b w:val="0"/>
                <w:sz w:val="20"/>
              </w:rPr>
              <w:t>MVP</w:t>
            </w:r>
          </w:p>
        </w:tc>
        <w:tc>
          <w:tcPr>
            <w:tcW w:type="dxa" w:w="4464"/>
            <w:shd w:val="clear" w:color="auto" w:fill="E1F4FF"/>
          </w:tcPr>
          <w:p>
            <w:pPr>
              <w:spacing w:after="40" w:before="40"/>
            </w:pPr>
            <w:r>
              <w:rPr>
                <w:rFonts w:ascii="Calibri" w:hAnsi="Calibri"/>
                <w:b w:val="0"/>
                <w:sz w:val="20"/>
              </w:rPr>
              <w:t>Minimum Viable Platform. The initial production release scope of the Nexstream SAP BRIM implementation, designed to deliver core billing and invoicing capabilities for Connected TV (CTV) and streaming advertising products.</w:t>
            </w:r>
          </w:p>
        </w:tc>
      </w:tr>
      <w:tr>
        <w:tc>
          <w:tcPr>
            <w:tcW w:type="dxa" w:w="4464"/>
          </w:tcPr>
          <w:p>
            <w:pPr>
              <w:spacing w:after="40" w:before="40"/>
            </w:pPr>
            <w:r>
              <w:rPr>
                <w:rFonts w:ascii="Calibri" w:hAnsi="Calibri"/>
                <w:b w:val="0"/>
                <w:sz w:val="20"/>
              </w:rPr>
              <w:t>Convergent Invoicing (CI)</w:t>
            </w:r>
          </w:p>
        </w:tc>
        <w:tc>
          <w:tcPr>
            <w:tcW w:type="dxa" w:w="4464"/>
          </w:tcPr>
          <w:p>
            <w:pPr>
              <w:spacing w:after="40" w:before="40"/>
            </w:pPr>
            <w:r>
              <w:rPr>
                <w:rFonts w:ascii="Calibri" w:hAnsi="Calibri"/>
                <w:b w:val="0"/>
                <w:sz w:val="20"/>
              </w:rPr>
              <w:t>A component of SAP BRIM that consolidates multiple billable items into a single consolidated customer invoice. CI handles invoice creation, distribution, and dispute management.</w:t>
            </w:r>
          </w:p>
        </w:tc>
      </w:tr>
      <w:tr>
        <w:tc>
          <w:tcPr>
            <w:tcW w:type="dxa" w:w="4464"/>
            <w:shd w:val="clear" w:color="auto" w:fill="E1F4FF"/>
          </w:tcPr>
          <w:p>
            <w:pPr>
              <w:spacing w:after="40" w:before="40"/>
            </w:pPr>
            <w:r>
              <w:rPr>
                <w:rFonts w:ascii="Calibri" w:hAnsi="Calibri"/>
                <w:b w:val="0"/>
                <w:sz w:val="20"/>
              </w:rPr>
              <w:t>FI-CA (Subledger)</w:t>
            </w:r>
          </w:p>
        </w:tc>
        <w:tc>
          <w:tcPr>
            <w:tcW w:type="dxa" w:w="4464"/>
            <w:shd w:val="clear" w:color="auto" w:fill="E1F4FF"/>
          </w:tcPr>
          <w:p>
            <w:pPr>
              <w:spacing w:after="40" w:before="40"/>
            </w:pPr>
            <w:r>
              <w:rPr>
                <w:rFonts w:ascii="Calibri" w:hAnsi="Calibri"/>
                <w:b w:val="0"/>
                <w:sz w:val="20"/>
              </w:rPr>
              <w:t>Contract Accounts Receivable and Payable. An SAP FI-CA component of SAP BRIM that manages open items, postings, and receivables at the contract account level.</w:t>
            </w:r>
          </w:p>
        </w:tc>
      </w:tr>
      <w:tr>
        <w:tc>
          <w:tcPr>
            <w:tcW w:type="dxa" w:w="4464"/>
          </w:tcPr>
          <w:p>
            <w:pPr>
              <w:spacing w:after="40" w:before="40"/>
            </w:pPr>
            <w:r>
              <w:rPr>
                <w:rFonts w:ascii="Calibri" w:hAnsi="Calibri"/>
                <w:b w:val="0"/>
                <w:sz w:val="20"/>
              </w:rPr>
              <w:t>Fiori Application</w:t>
            </w:r>
          </w:p>
        </w:tc>
        <w:tc>
          <w:tcPr>
            <w:tcW w:type="dxa" w:w="4464"/>
          </w:tcPr>
          <w:p>
            <w:pPr>
              <w:spacing w:after="40" w:before="40"/>
            </w:pPr>
            <w:r>
              <w:rPr>
                <w:rFonts w:ascii="Calibri" w:hAnsi="Calibri"/>
                <w:b w:val="0"/>
                <w:sz w:val="20"/>
              </w:rPr>
              <w:t>SAP Fiori-based business applications with a consumer-grade user experience, accessible via browser, used by Finance Operations teams to manage billing, invoicing, and receivables.</w:t>
            </w:r>
          </w:p>
        </w:tc>
      </w:tr>
      <w:tr>
        <w:tc>
          <w:tcPr>
            <w:tcW w:type="dxa" w:w="4464"/>
            <w:shd w:val="clear" w:color="auto" w:fill="E1F4FF"/>
          </w:tcPr>
          <w:p>
            <w:pPr>
              <w:spacing w:after="40" w:before="40"/>
            </w:pPr>
            <w:r>
              <w:rPr>
                <w:rFonts w:ascii="Calibri" w:hAnsi="Calibri"/>
                <w:b w:val="0"/>
                <w:sz w:val="20"/>
              </w:rPr>
              <w:t>Business Partner (BP)</w:t>
            </w:r>
          </w:p>
        </w:tc>
        <w:tc>
          <w:tcPr>
            <w:tcW w:type="dxa" w:w="4464"/>
            <w:shd w:val="clear" w:color="auto" w:fill="E1F4FF"/>
          </w:tcPr>
          <w:p>
            <w:pPr>
              <w:spacing w:after="40" w:before="40"/>
            </w:pPr>
            <w:r>
              <w:rPr>
                <w:rFonts w:ascii="Calibri" w:hAnsi="Calibri"/>
                <w:b w:val="0"/>
                <w:sz w:val="20"/>
              </w:rPr>
              <w:t>The SAP master data entity representing Nexstream's advertising customers and their multiple business roles (e.g., payer, bill-to party).</w:t>
            </w:r>
          </w:p>
        </w:tc>
      </w:tr>
      <w:tr>
        <w:tc>
          <w:tcPr>
            <w:tcW w:type="dxa" w:w="4464"/>
          </w:tcPr>
          <w:p>
            <w:pPr>
              <w:spacing w:after="40" w:before="40"/>
            </w:pPr>
            <w:r>
              <w:rPr>
                <w:rFonts w:ascii="Calibri" w:hAnsi="Calibri"/>
                <w:b w:val="0"/>
                <w:sz w:val="20"/>
              </w:rPr>
              <w:t>Contract Account (CA)</w:t>
            </w:r>
          </w:p>
        </w:tc>
        <w:tc>
          <w:tcPr>
            <w:tcW w:type="dxa" w:w="4464"/>
          </w:tcPr>
          <w:p>
            <w:pPr>
              <w:spacing w:after="40" w:before="40"/>
            </w:pPr>
            <w:r>
              <w:rPr>
                <w:rFonts w:ascii="Calibri" w:hAnsi="Calibri"/>
                <w:b w:val="0"/>
                <w:sz w:val="20"/>
              </w:rPr>
              <w:t>An SAP FI-CA object that holds the financial relationship and billing profile between a Business Partner and Nexstream. It is the source of truth for billing cycle and payment terms.</w:t>
            </w:r>
          </w:p>
        </w:tc>
      </w:tr>
      <w:tr>
        <w:tc>
          <w:tcPr>
            <w:tcW w:type="dxa" w:w="4464"/>
            <w:shd w:val="clear" w:color="auto" w:fill="E1F4FF"/>
          </w:tcPr>
          <w:p>
            <w:pPr>
              <w:spacing w:after="40" w:before="40"/>
            </w:pPr>
            <w:r>
              <w:rPr>
                <w:rFonts w:ascii="Calibri" w:hAnsi="Calibri"/>
                <w:b w:val="0"/>
                <w:sz w:val="20"/>
              </w:rPr>
              <w:t>Billable Item (BIT)</w:t>
            </w:r>
          </w:p>
        </w:tc>
        <w:tc>
          <w:tcPr>
            <w:tcW w:type="dxa" w:w="4464"/>
            <w:shd w:val="clear" w:color="auto" w:fill="E1F4FF"/>
          </w:tcPr>
          <w:p>
            <w:pPr>
              <w:spacing w:after="40" w:before="40"/>
            </w:pPr>
            <w:r>
              <w:rPr>
                <w:rFonts w:ascii="Calibri" w:hAnsi="Calibri"/>
                <w:b w:val="0"/>
                <w:sz w:val="20"/>
              </w:rPr>
              <w:t>A pre-rated transactional record uploaded into SAP BRIM from AdOps Central. BITs represent delivered ad impressions that are ready to be invoiced.</w:t>
            </w:r>
          </w:p>
        </w:tc>
      </w:tr>
      <w:tr>
        <w:tc>
          <w:tcPr>
            <w:tcW w:type="dxa" w:w="4464"/>
          </w:tcPr>
          <w:p>
            <w:pPr>
              <w:spacing w:after="40" w:before="40"/>
            </w:pPr>
            <w:r>
              <w:rPr>
                <w:rFonts w:ascii="Calibri" w:hAnsi="Calibri"/>
                <w:b w:val="0"/>
                <w:sz w:val="20"/>
              </w:rPr>
              <w:t>BIT Type</w:t>
            </w:r>
          </w:p>
        </w:tc>
        <w:tc>
          <w:tcPr>
            <w:tcW w:type="dxa" w:w="4464"/>
          </w:tcPr>
          <w:p>
            <w:pPr>
              <w:spacing w:after="40" w:before="40"/>
            </w:pPr>
            <w:r>
              <w:rPr>
                <w:rFonts w:ascii="Calibri" w:hAnsi="Calibri"/>
                <w:b w:val="0"/>
                <w:sz w:val="20"/>
              </w:rPr>
              <w:t>Configuration in SAP BRIM that classifies the business nature of a Billable Item, e.g., CTV Audience Delivery.</w:t>
            </w:r>
          </w:p>
        </w:tc>
      </w:tr>
      <w:tr>
        <w:tc>
          <w:tcPr>
            <w:tcW w:type="dxa" w:w="4464"/>
            <w:shd w:val="clear" w:color="auto" w:fill="E1F4FF"/>
          </w:tcPr>
          <w:p>
            <w:pPr>
              <w:spacing w:after="40" w:before="40"/>
            </w:pPr>
            <w:r>
              <w:rPr>
                <w:rFonts w:ascii="Calibri" w:hAnsi="Calibri"/>
                <w:b w:val="0"/>
                <w:sz w:val="20"/>
              </w:rPr>
              <w:t>Billing Subprocess</w:t>
            </w:r>
          </w:p>
        </w:tc>
        <w:tc>
          <w:tcPr>
            <w:tcW w:type="dxa" w:w="4464"/>
            <w:shd w:val="clear" w:color="auto" w:fill="E1F4FF"/>
          </w:tcPr>
          <w:p>
            <w:pPr>
              <w:spacing w:after="40" w:before="40"/>
            </w:pPr>
            <w:r>
              <w:rPr>
                <w:rFonts w:ascii="Calibri" w:hAnsi="Calibri"/>
                <w:b w:val="0"/>
                <w:sz w:val="20"/>
              </w:rPr>
              <w:t>SAP BRIM configuration object that defines the grouping and billing logic applied during the billing run for a specific product type.</w:t>
            </w:r>
          </w:p>
        </w:tc>
      </w:tr>
      <w:tr>
        <w:tc>
          <w:tcPr>
            <w:tcW w:type="dxa" w:w="4464"/>
          </w:tcPr>
          <w:p>
            <w:pPr>
              <w:spacing w:after="40" w:before="40"/>
            </w:pPr>
            <w:r>
              <w:rPr>
                <w:rFonts w:ascii="Calibri" w:hAnsi="Calibri"/>
                <w:b w:val="0"/>
                <w:sz w:val="20"/>
              </w:rPr>
              <w:t>AdOps Central</w:t>
            </w:r>
          </w:p>
        </w:tc>
        <w:tc>
          <w:tcPr>
            <w:tcW w:type="dxa" w:w="4464"/>
          </w:tcPr>
          <w:p>
            <w:pPr>
              <w:spacing w:after="40" w:before="40"/>
            </w:pPr>
            <w:r>
              <w:rPr>
                <w:rFonts w:ascii="Calibri" w:hAnsi="Calibri"/>
                <w:b w:val="0"/>
                <w:sz w:val="20"/>
              </w:rPr>
              <w:t>Nexstream's internal Ad Operations management platform, which is the system of record for campaign management, impression delivery data, and pre-rated billing exports.</w:t>
            </w:r>
          </w:p>
        </w:tc>
      </w:tr>
      <w:tr>
        <w:tc>
          <w:tcPr>
            <w:tcW w:type="dxa" w:w="4464"/>
            <w:shd w:val="clear" w:color="auto" w:fill="E1F4FF"/>
          </w:tcPr>
          <w:p>
            <w:pPr>
              <w:spacing w:after="40" w:before="40"/>
            </w:pPr>
            <w:r>
              <w:rPr>
                <w:rFonts w:ascii="Calibri" w:hAnsi="Calibri"/>
                <w:b w:val="0"/>
                <w:sz w:val="20"/>
              </w:rPr>
              <w:t>MyNexstream</w:t>
            </w:r>
          </w:p>
        </w:tc>
        <w:tc>
          <w:tcPr>
            <w:tcW w:type="dxa" w:w="4464"/>
            <w:shd w:val="clear" w:color="auto" w:fill="E1F4FF"/>
          </w:tcPr>
          <w:p>
            <w:pPr>
              <w:spacing w:after="40" w:before="40"/>
            </w:pPr>
            <w:r>
              <w:rPr>
                <w:rFonts w:ascii="Calibri" w:hAnsi="Calibri"/>
                <w:b w:val="0"/>
                <w:sz w:val="20"/>
              </w:rPr>
              <w:t>Nexstream's customer-facing self-service portal. Customers use MyNexstream to view and download invoices and manage their account.</w:t>
            </w:r>
          </w:p>
        </w:tc>
      </w:tr>
      <w:tr>
        <w:tc>
          <w:tcPr>
            <w:tcW w:type="dxa" w:w="4464"/>
          </w:tcPr>
          <w:p>
            <w:pPr>
              <w:spacing w:after="40" w:before="40"/>
            </w:pPr>
            <w:r>
              <w:rPr>
                <w:rFonts w:ascii="Calibri" w:hAnsi="Calibri"/>
                <w:b w:val="0"/>
                <w:sz w:val="20"/>
              </w:rPr>
              <w:t>USO ID</w:t>
            </w:r>
          </w:p>
        </w:tc>
        <w:tc>
          <w:tcPr>
            <w:tcW w:type="dxa" w:w="4464"/>
          </w:tcPr>
          <w:p>
            <w:pPr>
              <w:spacing w:after="40" w:before="40"/>
            </w:pPr>
            <w:r>
              <w:rPr>
                <w:rFonts w:ascii="Calibri" w:hAnsi="Calibri"/>
                <w:b w:val="0"/>
                <w:sz w:val="20"/>
              </w:rPr>
              <w:t>Unique Sales Order identifier sourced from AdOps Central, used in SAP BRIM to group billable items and generate one consolidated invoice per order.</w:t>
            </w:r>
          </w:p>
        </w:tc>
      </w:tr>
      <w:tr>
        <w:tc>
          <w:tcPr>
            <w:tcW w:type="dxa" w:w="4464"/>
            <w:shd w:val="clear" w:color="auto" w:fill="E1F4FF"/>
          </w:tcPr>
          <w:p>
            <w:pPr>
              <w:spacing w:after="40" w:before="40"/>
            </w:pPr>
            <w:r>
              <w:rPr>
                <w:rFonts w:ascii="Calibri" w:hAnsi="Calibri"/>
                <w:b w:val="0"/>
                <w:sz w:val="20"/>
              </w:rPr>
              <w:t>Finance Export</w:t>
            </w:r>
          </w:p>
        </w:tc>
        <w:tc>
          <w:tcPr>
            <w:tcW w:type="dxa" w:w="4464"/>
            <w:shd w:val="clear" w:color="auto" w:fill="E1F4FF"/>
          </w:tcPr>
          <w:p>
            <w:pPr>
              <w:spacing w:after="40" w:before="40"/>
            </w:pPr>
            <w:r>
              <w:rPr>
                <w:rFonts w:ascii="Calibri" w:hAnsi="Calibri"/>
                <w:b w:val="0"/>
                <w:sz w:val="20"/>
              </w:rPr>
              <w:t>A CSV file generated by AdOps Central containing all pre-rated billable item data for closed and locked campaign line items, used as the upload source for SAP BRIM.</w:t>
            </w:r>
          </w:p>
        </w:tc>
      </w:tr>
      <w:tr>
        <w:tc>
          <w:tcPr>
            <w:tcW w:type="dxa" w:w="4464"/>
          </w:tcPr>
          <w:p>
            <w:pPr>
              <w:spacing w:after="40" w:before="40"/>
            </w:pPr>
            <w:r>
              <w:rPr>
                <w:rFonts w:ascii="Calibri" w:hAnsi="Calibri"/>
                <w:b w:val="0"/>
                <w:sz w:val="20"/>
              </w:rPr>
              <w:t>Preliminary Invoice</w:t>
            </w:r>
          </w:p>
        </w:tc>
        <w:tc>
          <w:tcPr>
            <w:tcW w:type="dxa" w:w="4464"/>
          </w:tcPr>
          <w:p>
            <w:pPr>
              <w:spacing w:after="40" w:before="40"/>
            </w:pPr>
            <w:r>
              <w:rPr>
                <w:rFonts w:ascii="Calibri" w:hAnsi="Calibri"/>
                <w:b w:val="0"/>
                <w:sz w:val="20"/>
              </w:rPr>
              <w:t>A review-stage invoice in SAP BRIM that is generated but not yet posted or distributed. Used for defined customer segments requiring Finance Operations approval before release.</w:t>
            </w:r>
          </w:p>
        </w:tc>
      </w:tr>
      <w:tr>
        <w:tc>
          <w:tcPr>
            <w:tcW w:type="dxa" w:w="4464"/>
            <w:shd w:val="clear" w:color="auto" w:fill="E1F4FF"/>
          </w:tcPr>
          <w:p>
            <w:pPr>
              <w:spacing w:after="40" w:before="40"/>
            </w:pPr>
            <w:r>
              <w:rPr>
                <w:rFonts w:ascii="Calibri" w:hAnsi="Calibri"/>
                <w:b w:val="0"/>
                <w:sz w:val="20"/>
              </w:rPr>
              <w:t>WRICEF</w:t>
            </w:r>
          </w:p>
        </w:tc>
        <w:tc>
          <w:tcPr>
            <w:tcW w:type="dxa" w:w="4464"/>
            <w:shd w:val="clear" w:color="auto" w:fill="E1F4FF"/>
          </w:tcPr>
          <w:p>
            <w:pPr>
              <w:spacing w:after="40" w:before="40"/>
            </w:pPr>
            <w:r>
              <w:rPr>
                <w:rFonts w:ascii="Calibri" w:hAnsi="Calibri"/>
                <w:b w:val="0"/>
                <w:sz w:val="20"/>
              </w:rPr>
              <w:t>Acronym for Workflows, Reports, Interfaces, Conversions, Extensions, and Forms. Summarises the technical development requirements associated with the SAP BRIM implementation.</w:t>
            </w:r>
          </w:p>
        </w:tc>
      </w:tr>
      <w:tr>
        <w:tc>
          <w:tcPr>
            <w:tcW w:type="dxa" w:w="4464"/>
          </w:tcPr>
          <w:p>
            <w:pPr>
              <w:spacing w:after="40" w:before="40"/>
            </w:pPr>
            <w:r>
              <w:rPr>
                <w:rFonts w:ascii="Calibri" w:hAnsi="Calibri"/>
                <w:b w:val="0"/>
                <w:sz w:val="20"/>
              </w:rPr>
              <w:t>Lead-to-Revenue</w:t>
            </w:r>
          </w:p>
        </w:tc>
        <w:tc>
          <w:tcPr>
            <w:tcW w:type="dxa" w:w="4464"/>
          </w:tcPr>
          <w:p>
            <w:pPr>
              <w:spacing w:after="40" w:before="40"/>
            </w:pPr>
            <w:r>
              <w:rPr>
                <w:rFonts w:ascii="Calibri" w:hAnsi="Calibri"/>
                <w:b w:val="0"/>
                <w:sz w:val="20"/>
              </w:rPr>
              <w:t>Nexstream's end-to-end business process encompassing sales pipeline management, campaign delivery, billing, invoicing, and revenue recognition.</w:t>
            </w:r>
          </w:p>
        </w:tc>
      </w:tr>
      <w:tr>
        <w:tc>
          <w:tcPr>
            <w:tcW w:type="dxa" w:w="4464"/>
            <w:shd w:val="clear" w:color="auto" w:fill="E1F4FF"/>
          </w:tcPr>
          <w:p>
            <w:pPr>
              <w:spacing w:after="40" w:before="40"/>
            </w:pPr>
            <w:r>
              <w:rPr>
                <w:rFonts w:ascii="Calibri" w:hAnsi="Calibri"/>
                <w:b w:val="0"/>
                <w:sz w:val="20"/>
              </w:rPr>
              <w:t>FPScheduler</w:t>
            </w:r>
          </w:p>
        </w:tc>
        <w:tc>
          <w:tcPr>
            <w:tcW w:type="dxa" w:w="4464"/>
            <w:shd w:val="clear" w:color="auto" w:fill="E1F4FF"/>
          </w:tcPr>
          <w:p>
            <w:pPr>
              <w:spacing w:after="40" w:before="40"/>
            </w:pPr>
            <w:r>
              <w:rPr>
                <w:rFonts w:ascii="Calibri" w:hAnsi="Calibri"/>
                <w:b w:val="0"/>
                <w:sz w:val="20"/>
              </w:rPr>
              <w:t>SAP BRIM standard batch scheduling tool used to automate billing runs and invoice generation jobs on a defined frequency.</w:t>
            </w:r>
          </w:p>
        </w:tc>
      </w:tr>
      <w:tr>
        <w:tc>
          <w:tcPr>
            <w:tcW w:type="dxa" w:w="4464"/>
          </w:tcPr>
          <w:p>
            <w:pPr>
              <w:spacing w:after="40" w:before="40"/>
            </w:pPr>
            <w:r>
              <w:rPr>
                <w:rFonts w:ascii="Calibri" w:hAnsi="Calibri"/>
                <w:b w:val="0"/>
                <w:sz w:val="20"/>
              </w:rPr>
              <w:t>Posting Area</w:t>
            </w:r>
          </w:p>
        </w:tc>
        <w:tc>
          <w:tcPr>
            <w:tcW w:type="dxa" w:w="4464"/>
          </w:tcPr>
          <w:p>
            <w:pPr>
              <w:spacing w:after="40" w:before="40"/>
            </w:pPr>
            <w:r>
              <w:rPr>
                <w:rFonts w:ascii="Calibri" w:hAnsi="Calibri"/>
                <w:b w:val="0"/>
                <w:sz w:val="20"/>
              </w:rPr>
              <w:t>Internal SAP configuration objects (e.g., 8120, 8121, 8122) that control how billable items are assigned to GL accounts during billing document creation.</w:t>
            </w:r>
          </w:p>
        </w:tc>
      </w:tr>
    </w:tbl>
    <w:p/>
    <w:p>
      <w:pPr>
        <w:pStyle w:val="Heading2"/>
      </w:pPr>
      <w:r>
        <w:t>1.4  Outstanding Design Decisions</w:t>
      </w:r>
    </w:p>
    <w:p>
      <w:pPr>
        <w:spacing w:after="120" w:before="40"/>
      </w:pPr>
      <w:r>
        <w:rPr>
          <w:rFonts w:ascii="Calibri" w:hAnsi="Calibri"/>
          <w:b/>
          <w:color w:val="0070F2"/>
          <w:sz w:val="21"/>
        </w:rPr>
        <w:t xml:space="preserve">Purpose:  </w:t>
      </w:r>
      <w:r>
        <w:rPr>
          <w:rFonts w:ascii="Calibri" w:hAnsi="Calibri"/>
          <w:sz w:val="21"/>
        </w:rPr>
        <w:t>This section provides a list of Design Issues relating to processes within the scope of this BRD that have been captured on the RAID log and have not yet been resolved.</w:t>
      </w:r>
    </w:p>
    <w:p/>
    <w:p>
      <w:pPr>
        <w:spacing w:after="120" w:before="40"/>
      </w:pPr>
      <w:r>
        <w:rPr>
          <w:rFonts w:ascii="Calibri" w:hAnsi="Calibri"/>
          <w:b/>
          <w:i w:val="0"/>
          <w:sz w:val="21"/>
        </w:rPr>
        <w:t>Outstanding Design Decisions as of April 24, 2026</w:t>
      </w:r>
    </w:p>
    <w:tbl>
      <w:tblPr>
        <w:tblStyle w:val="TableGrid"/>
        <w:tblW w:type="auto" w:w="0"/>
        <w:jc w:val="left"/>
        <w:tblLook w:firstColumn="1" w:firstRow="1" w:lastColumn="0" w:lastRow="0" w:noHBand="0" w:noVBand="1" w:val="04A0"/>
      </w:tblPr>
      <w:tblGrid>
        <w:gridCol w:w="2976"/>
        <w:gridCol w:w="2976"/>
        <w:gridCol w:w="2976"/>
      </w:tblGrid>
      <w:tr>
        <w:tc>
          <w:tcPr>
            <w:tcW w:type="dxa" w:w="1584"/>
            <w:shd w:val="clear" w:color="auto" w:fill="0070F2"/>
          </w:tcPr>
          <w:p>
            <w:pPr>
              <w:spacing w:after="40" w:before="40"/>
            </w:pPr>
            <w:r>
              <w:rPr>
                <w:rFonts w:ascii="Calibri" w:hAnsi="Calibri"/>
                <w:b/>
                <w:color w:val="FFFFFF"/>
                <w:sz w:val="20"/>
              </w:rPr>
              <w:t>Decision Ref</w:t>
            </w:r>
          </w:p>
        </w:tc>
        <w:tc>
          <w:tcPr>
            <w:tcW w:type="dxa" w:w="7488"/>
            <w:shd w:val="clear" w:color="auto" w:fill="0070F2"/>
          </w:tcPr>
          <w:p>
            <w:pPr>
              <w:spacing w:after="40" w:before="40"/>
            </w:pPr>
            <w:r>
              <w:rPr>
                <w:rFonts w:ascii="Calibri" w:hAnsi="Calibri"/>
                <w:b/>
                <w:color w:val="FFFFFF"/>
                <w:sz w:val="20"/>
              </w:rPr>
              <w:t>Open Decision Description</w:t>
            </w:r>
          </w:p>
        </w:tc>
        <w:tc>
          <w:tcPr>
            <w:tcW w:type="dxa" w:w="2016"/>
            <w:shd w:val="clear" w:color="auto" w:fill="0070F2"/>
          </w:tcPr>
          <w:p>
            <w:pPr>
              <w:spacing w:after="40" w:before="40"/>
            </w:pPr>
            <w:r>
              <w:rPr>
                <w:rFonts w:ascii="Calibri" w:hAnsi="Calibri"/>
                <w:b/>
                <w:color w:val="FFFFFF"/>
                <w:sz w:val="20"/>
              </w:rPr>
              <w:t>Status / Actions</w:t>
            </w:r>
          </w:p>
        </w:tc>
      </w:tr>
      <w:tr>
        <w:tc>
          <w:tcPr>
            <w:tcW w:type="dxa" w:w="2976"/>
            <w:shd w:val="clear" w:color="auto" w:fill="E1F4FF"/>
          </w:tcPr>
          <w:p>
            <w:pPr>
              <w:spacing w:after="40" w:before="40"/>
            </w:pPr>
            <w:r>
              <w:rPr>
                <w:rFonts w:ascii="Calibri" w:hAnsi="Calibri"/>
                <w:b w:val="0"/>
                <w:sz w:val="20"/>
              </w:rPr>
              <w:t>DE-18</w:t>
            </w:r>
          </w:p>
        </w:tc>
        <w:tc>
          <w:tcPr>
            <w:tcW w:type="dxa" w:w="2976"/>
            <w:shd w:val="clear" w:color="auto" w:fill="E1F4FF"/>
          </w:tcPr>
          <w:p>
            <w:pPr>
              <w:spacing w:after="40" w:before="40"/>
            </w:pPr>
            <w:r>
              <w:rPr>
                <w:rFonts w:ascii="Calibri" w:hAnsi="Calibri"/>
                <w:b w:val="0"/>
                <w:sz w:val="20"/>
              </w:rPr>
              <w:t>Should rep fee calculations be performed inside AdOps Central or post-upload within SAP BRIM?</w:t>
            </w:r>
          </w:p>
        </w:tc>
        <w:tc>
          <w:tcPr>
            <w:tcW w:type="dxa" w:w="2976"/>
            <w:shd w:val="clear" w:color="auto" w:fill="E1F4FF"/>
          </w:tcPr>
          <w:p>
            <w:pPr>
              <w:spacing w:after="40" w:before="40"/>
            </w:pPr>
            <w:r>
              <w:rPr>
                <w:rFonts w:ascii="Calibri" w:hAnsi="Calibri"/>
                <w:b w:val="0"/>
                <w:sz w:val="20"/>
              </w:rPr>
              <w:t>On Hold – Future Phase</w:t>
            </w:r>
          </w:p>
        </w:tc>
      </w:tr>
      <w:tr>
        <w:tc>
          <w:tcPr>
            <w:tcW w:type="dxa" w:w="2976"/>
          </w:tcPr>
          <w:p>
            <w:pPr>
              <w:spacing w:after="40" w:before="40"/>
            </w:pPr>
            <w:r>
              <w:rPr>
                <w:rFonts w:ascii="Calibri" w:hAnsi="Calibri"/>
                <w:b w:val="0"/>
                <w:sz w:val="20"/>
              </w:rPr>
              <w:t>DE-27</w:t>
            </w:r>
          </w:p>
        </w:tc>
        <w:tc>
          <w:tcPr>
            <w:tcW w:type="dxa" w:w="2976"/>
          </w:tcPr>
          <w:p>
            <w:pPr>
              <w:spacing w:after="40" w:before="40"/>
            </w:pPr>
            <w:r>
              <w:rPr>
                <w:rFonts w:ascii="Calibri" w:hAnsi="Calibri"/>
                <w:b w:val="0"/>
                <w:sz w:val="20"/>
              </w:rPr>
              <w:t>How will pre-bill adjustments (e.g., make-goods, under-delivery credits) be handled in SAP BRIM for MVP?</w:t>
            </w:r>
          </w:p>
        </w:tc>
        <w:tc>
          <w:tcPr>
            <w:tcW w:type="dxa" w:w="2976"/>
          </w:tcPr>
          <w:p>
            <w:pPr>
              <w:spacing w:after="40" w:before="40"/>
            </w:pPr>
            <w:r>
              <w:rPr>
                <w:rFonts w:ascii="Calibri" w:hAnsi="Calibri"/>
                <w:b w:val="0"/>
                <w:sz w:val="20"/>
              </w:rPr>
              <w:t>On Hold – Future Phase</w:t>
            </w:r>
          </w:p>
        </w:tc>
      </w:tr>
      <w:tr>
        <w:tc>
          <w:tcPr>
            <w:tcW w:type="dxa" w:w="2976"/>
            <w:shd w:val="clear" w:color="auto" w:fill="E1F4FF"/>
          </w:tcPr>
          <w:p>
            <w:pPr>
              <w:spacing w:after="40" w:before="40"/>
            </w:pPr>
            <w:r>
              <w:rPr>
                <w:rFonts w:ascii="Calibri" w:hAnsi="Calibri"/>
                <w:b w:val="0"/>
                <w:sz w:val="20"/>
              </w:rPr>
              <w:t>DE-28</w:t>
            </w:r>
          </w:p>
        </w:tc>
        <w:tc>
          <w:tcPr>
            <w:tcW w:type="dxa" w:w="2976"/>
            <w:shd w:val="clear" w:color="auto" w:fill="E1F4FF"/>
          </w:tcPr>
          <w:p>
            <w:pPr>
              <w:spacing w:after="40" w:before="40"/>
            </w:pPr>
            <w:r>
              <w:rPr>
                <w:rFonts w:ascii="Calibri" w:hAnsi="Calibri"/>
                <w:b w:val="0"/>
                <w:sz w:val="20"/>
              </w:rPr>
              <w:t>How will programmatic direct and private marketplace (PMP) deals be invoiced in SAP BRIM?</w:t>
            </w:r>
          </w:p>
        </w:tc>
        <w:tc>
          <w:tcPr>
            <w:tcW w:type="dxa" w:w="2976"/>
            <w:shd w:val="clear" w:color="auto" w:fill="E1F4FF"/>
          </w:tcPr>
          <w:p>
            <w:pPr>
              <w:spacing w:after="40" w:before="40"/>
            </w:pPr>
            <w:r>
              <w:rPr>
                <w:rFonts w:ascii="Calibri" w:hAnsi="Calibri"/>
                <w:b w:val="0"/>
                <w:sz w:val="20"/>
              </w:rPr>
              <w:t>On Hold – Future Phase</w:t>
            </w:r>
          </w:p>
        </w:tc>
      </w:tr>
      <w:tr>
        <w:tc>
          <w:tcPr>
            <w:tcW w:type="dxa" w:w="2976"/>
          </w:tcPr>
          <w:p>
            <w:pPr>
              <w:spacing w:after="40" w:before="40"/>
            </w:pPr>
            <w:r>
              <w:rPr>
                <w:rFonts w:ascii="Calibri" w:hAnsi="Calibri"/>
                <w:b w:val="0"/>
                <w:sz w:val="20"/>
              </w:rPr>
              <w:t>DE-117</w:t>
            </w:r>
          </w:p>
        </w:tc>
        <w:tc>
          <w:tcPr>
            <w:tcW w:type="dxa" w:w="2976"/>
          </w:tcPr>
          <w:p>
            <w:pPr>
              <w:spacing w:after="40" w:before="40"/>
            </w:pPr>
            <w:r>
              <w:rPr>
                <w:rFonts w:ascii="Calibri" w:hAnsi="Calibri"/>
                <w:b w:val="0"/>
                <w:sz w:val="20"/>
              </w:rPr>
              <w:t>Beyond MVP, how should the architecture support granular actual impressions delivered by digital platforms at line-item level?</w:t>
            </w:r>
          </w:p>
        </w:tc>
        <w:tc>
          <w:tcPr>
            <w:tcW w:type="dxa" w:w="2976"/>
          </w:tcPr>
          <w:p>
            <w:pPr>
              <w:spacing w:after="40" w:before="40"/>
            </w:pPr>
            <w:r>
              <w:rPr>
                <w:rFonts w:ascii="Calibri" w:hAnsi="Calibri"/>
                <w:b w:val="0"/>
                <w:sz w:val="20"/>
              </w:rPr>
              <w:t>On Hold – Future Phase</w:t>
            </w:r>
          </w:p>
        </w:tc>
      </w:tr>
    </w:tbl>
    <w:p/>
    <w:p>
      <w:pPr>
        <w:pStyle w:val="Heading1"/>
      </w:pPr>
      <w:r>
        <w:t>2. Billing Process Overview</w:t>
      </w:r>
    </w:p>
    <w:p>
      <w:pPr>
        <w:spacing w:after="120" w:before="40"/>
      </w:pPr>
      <w:r>
        <w:rPr>
          <w:rFonts w:ascii="Calibri" w:hAnsi="Calibri"/>
          <w:b/>
          <w:color w:val="0070F2"/>
          <w:sz w:val="21"/>
        </w:rPr>
        <w:t xml:space="preserve">Purpose:  </w:t>
      </w:r>
      <w:r>
        <w:rPr>
          <w:rFonts w:ascii="Calibri" w:hAnsi="Calibri"/>
          <w:sz w:val="21"/>
        </w:rPr>
        <w:t>To provide an overview of the Level 2 Billing and Invoicing process covered by the scope of this document, and to highlight the requirements, assumptions, and design principles that have influenced the process design work.</w:t>
      </w:r>
    </w:p>
    <w:p>
      <w:pPr>
        <w:pStyle w:val="Heading2"/>
      </w:pPr>
      <w:r>
        <w:t>2.1  Summary of Billing and Invoicing Process</w:t>
      </w:r>
    </w:p>
    <w:p>
      <w:pPr>
        <w:spacing w:after="120" w:before="40"/>
      </w:pPr>
      <w:r>
        <w:rPr>
          <w:rFonts w:ascii="Calibri" w:hAnsi="Calibri"/>
          <w:b/>
          <w:color w:val="0070F2"/>
          <w:sz w:val="21"/>
        </w:rPr>
        <w:t xml:space="preserve">Purpose:  </w:t>
      </w:r>
      <w:r>
        <w:rPr>
          <w:rFonts w:ascii="Calibri" w:hAnsi="Calibri"/>
          <w:sz w:val="21"/>
        </w:rPr>
        <w:t>To provide the reader with a list of the Level 3 business processes covered within the Level 2 Billing and Invoicing process and a brief overview description of each.</w:t>
      </w:r>
    </w:p>
    <w:p/>
    <w:p>
      <w:pPr>
        <w:spacing w:after="120" w:before="40"/>
      </w:pPr>
      <w:r>
        <w:rPr>
          <w:rFonts w:ascii="Calibri" w:hAnsi="Calibri"/>
          <w:b w:val="0"/>
          <w:i w:val="0"/>
          <w:sz w:val="21"/>
        </w:rPr>
        <w:t>The scope of this BRD covers Billing and Invoicing within the Lead-to-Revenue process. There are two Level 3 process areas covered:</w:t>
      </w:r>
    </w:p>
    <w:p>
      <w:pPr>
        <w:pStyle w:val="ListBullet"/>
      </w:pPr>
      <w:r>
        <w:rPr>
          <w:rFonts w:ascii="Calibri" w:hAnsi="Calibri"/>
          <w:sz w:val="21"/>
        </w:rPr>
        <w:t>Invoice Creation: This process describes the generation of a consolidated invoice per customer order for delivered CTV and streaming ad impressions. The process begins with the gathering of pre-rated transactions from AdOps Central, manual CSV upload into SAP BRIM, billing document creation via batch run, and culminates in the consolidated invoice posting to the FI-CA subledger.</w:t>
      </w:r>
    </w:p>
    <w:p>
      <w:pPr>
        <w:pStyle w:val="ListBullet"/>
      </w:pPr>
      <w:r>
        <w:rPr>
          <w:rFonts w:ascii="Calibri" w:hAnsi="Calibri"/>
          <w:sz w:val="21"/>
        </w:rPr>
        <w:t>Invoice Distribution: This process describes the distribution of invoices to the customer via the MyNexstream self-service portal, and the storage of invoice PDFs within SAP BRIM.</w:t>
      </w:r>
    </w:p>
    <w:p/>
    <w:p>
      <w:pPr>
        <w:pStyle w:val="Heading2"/>
      </w:pPr>
      <w:r>
        <w:t>2.2  Business Requirements</w:t>
      </w:r>
    </w:p>
    <w:p>
      <w:pPr>
        <w:spacing w:after="120" w:before="40"/>
      </w:pPr>
      <w:r>
        <w:rPr>
          <w:rFonts w:ascii="Calibri" w:hAnsi="Calibri"/>
          <w:b/>
          <w:color w:val="0070F2"/>
          <w:sz w:val="21"/>
        </w:rPr>
        <w:t xml:space="preserve">Purpose:  </w:t>
      </w:r>
      <w:r>
        <w:rPr>
          <w:rFonts w:ascii="Calibri" w:hAnsi="Calibri"/>
          <w:sz w:val="21"/>
        </w:rPr>
        <w:t>This section lists the Business Requirements that are being partly or fully met by processes within the scope of this BRD. Requirements have been validated with the business.</w:t>
      </w:r>
    </w:p>
    <w:p/>
    <w:p>
      <w:pPr>
        <w:spacing w:after="120" w:before="40"/>
      </w:pPr>
      <w:r>
        <w:rPr>
          <w:rFonts w:ascii="Calibri" w:hAnsi="Calibri"/>
          <w:b w:val="0"/>
          <w:i w:val="0"/>
          <w:sz w:val="21"/>
        </w:rPr>
        <w:t>Each requirement is defined as a Fit, Partial Fit, or Gap:</w:t>
      </w:r>
    </w:p>
    <w:p>
      <w:pPr>
        <w:pStyle w:val="ListBullet"/>
      </w:pPr>
      <w:r>
        <w:rPr>
          <w:rFonts w:ascii="Calibri" w:hAnsi="Calibri"/>
          <w:sz w:val="21"/>
        </w:rPr>
        <w:t>Fit: Requirement is satisfied by standard out-of-the-box SAP BRIM capabilities.</w:t>
      </w:r>
    </w:p>
    <w:p>
      <w:pPr>
        <w:pStyle w:val="ListBullet"/>
      </w:pPr>
      <w:r>
        <w:rPr>
          <w:rFonts w:ascii="Calibri" w:hAnsi="Calibri"/>
          <w:sz w:val="21"/>
        </w:rPr>
        <w:t>Partial Fit: Some customisation required to standard SAP BRIM capability.</w:t>
      </w:r>
    </w:p>
    <w:p>
      <w:pPr>
        <w:pStyle w:val="ListBullet"/>
      </w:pPr>
      <w:r>
        <w:rPr>
          <w:rFonts w:ascii="Calibri" w:hAnsi="Calibri"/>
          <w:sz w:val="21"/>
        </w:rPr>
        <w:t>Gap: Customisation in SAP BRIM is required to satisfy this requirement.</w:t>
      </w:r>
    </w:p>
    <w:p/>
    <w:tbl>
      <w:tblPr>
        <w:tblStyle w:val="TableGrid"/>
        <w:tblW w:type="auto" w:w="0"/>
        <w:jc w:val="left"/>
        <w:tblLook w:firstColumn="1" w:firstRow="1" w:lastColumn="0" w:lastRow="0" w:noHBand="0" w:noVBand="1" w:val="04A0"/>
      </w:tblPr>
      <w:tblGrid>
        <w:gridCol w:w="1275"/>
        <w:gridCol w:w="1275"/>
        <w:gridCol w:w="1275"/>
        <w:gridCol w:w="1275"/>
        <w:gridCol w:w="1275"/>
        <w:gridCol w:w="1275"/>
        <w:gridCol w:w="1275"/>
      </w:tblGrid>
      <w:tr>
        <w:tc>
          <w:tcPr>
            <w:tcW w:type="dxa" w:w="1008"/>
            <w:shd w:val="clear" w:color="auto" w:fill="0070F2"/>
          </w:tcPr>
          <w:p>
            <w:pPr>
              <w:spacing w:after="40" w:before="40"/>
            </w:pPr>
            <w:r>
              <w:rPr>
                <w:rFonts w:ascii="Calibri" w:hAnsi="Calibri"/>
                <w:b/>
                <w:color w:val="FFFFFF"/>
                <w:sz w:val="20"/>
              </w:rPr>
              <w:t>Req ID (RTM)</w:t>
            </w:r>
          </w:p>
        </w:tc>
        <w:tc>
          <w:tcPr>
            <w:tcW w:type="dxa" w:w="3168"/>
            <w:shd w:val="clear" w:color="auto" w:fill="0070F2"/>
          </w:tcPr>
          <w:p>
            <w:pPr>
              <w:spacing w:after="40" w:before="40"/>
            </w:pPr>
            <w:r>
              <w:rPr>
                <w:rFonts w:ascii="Calibri" w:hAnsi="Calibri"/>
                <w:b/>
                <w:color w:val="FFFFFF"/>
                <w:sz w:val="20"/>
              </w:rPr>
              <w:t>Requirement Description</w:t>
            </w:r>
          </w:p>
        </w:tc>
        <w:tc>
          <w:tcPr>
            <w:tcW w:type="dxa" w:w="1584"/>
            <w:shd w:val="clear" w:color="auto" w:fill="0070F2"/>
          </w:tcPr>
          <w:p>
            <w:pPr>
              <w:spacing w:after="40" w:before="40"/>
            </w:pPr>
            <w:r>
              <w:rPr>
                <w:rFonts w:ascii="Calibri" w:hAnsi="Calibri"/>
                <w:b/>
                <w:color w:val="FFFFFF"/>
                <w:sz w:val="20"/>
              </w:rPr>
              <w:t>L3 Process</w:t>
            </w:r>
          </w:p>
        </w:tc>
        <w:tc>
          <w:tcPr>
            <w:tcW w:type="dxa" w:w="1440"/>
            <w:shd w:val="clear" w:color="auto" w:fill="0070F2"/>
          </w:tcPr>
          <w:p>
            <w:pPr>
              <w:spacing w:after="40" w:before="40"/>
            </w:pPr>
            <w:r>
              <w:rPr>
                <w:rFonts w:ascii="Calibri" w:hAnsi="Calibri"/>
                <w:b/>
                <w:color w:val="FFFFFF"/>
                <w:sz w:val="20"/>
              </w:rPr>
              <w:t>L4 Step</w:t>
            </w:r>
          </w:p>
        </w:tc>
        <w:tc>
          <w:tcPr>
            <w:tcW w:type="dxa" w:w="1008"/>
            <w:shd w:val="clear" w:color="auto" w:fill="0070F2"/>
          </w:tcPr>
          <w:p>
            <w:pPr>
              <w:spacing w:after="40" w:before="40"/>
            </w:pPr>
            <w:r>
              <w:rPr>
                <w:rFonts w:ascii="Calibri" w:hAnsi="Calibri"/>
                <w:b/>
                <w:color w:val="FFFFFF"/>
                <w:sz w:val="20"/>
              </w:rPr>
              <w:t>Priority</w:t>
            </w:r>
          </w:p>
        </w:tc>
        <w:tc>
          <w:tcPr>
            <w:tcW w:type="dxa" w:w="1008"/>
            <w:shd w:val="clear" w:color="auto" w:fill="0070F2"/>
          </w:tcPr>
          <w:p>
            <w:pPr>
              <w:spacing w:after="40" w:before="40"/>
            </w:pPr>
            <w:r>
              <w:rPr>
                <w:rFonts w:ascii="Calibri" w:hAnsi="Calibri"/>
                <w:b/>
                <w:color w:val="FFFFFF"/>
                <w:sz w:val="20"/>
              </w:rPr>
              <w:t>Fit / Gap</w:t>
            </w:r>
          </w:p>
        </w:tc>
        <w:tc>
          <w:tcPr>
            <w:tcW w:type="dxa" w:w="3024"/>
            <w:shd w:val="clear" w:color="auto" w:fill="0070F2"/>
          </w:tcPr>
          <w:p>
            <w:pPr>
              <w:spacing w:after="40" w:before="40"/>
            </w:pPr>
            <w:r>
              <w:rPr>
                <w:rFonts w:ascii="Calibri" w:hAnsi="Calibri"/>
                <w:b/>
                <w:color w:val="FFFFFF"/>
                <w:sz w:val="20"/>
              </w:rPr>
              <w:t>How Requirement Met</w:t>
            </w:r>
          </w:p>
        </w:tc>
      </w:tr>
      <w:tr>
        <w:tc>
          <w:tcPr>
            <w:tcW w:type="dxa" w:w="1275"/>
            <w:shd w:val="clear" w:color="auto" w:fill="E1F4FF"/>
          </w:tcPr>
          <w:p>
            <w:pPr>
              <w:spacing w:after="40" w:before="40"/>
            </w:pPr>
            <w:r>
              <w:rPr>
                <w:rFonts w:ascii="Calibri" w:hAnsi="Calibri"/>
                <w:b w:val="0"/>
                <w:sz w:val="20"/>
              </w:rPr>
              <w:t>REQ-09</w:t>
            </w:r>
          </w:p>
        </w:tc>
        <w:tc>
          <w:tcPr>
            <w:tcW w:type="dxa" w:w="1275"/>
            <w:shd w:val="clear" w:color="auto" w:fill="E1F4FF"/>
          </w:tcPr>
          <w:p>
            <w:pPr>
              <w:spacing w:after="40" w:before="40"/>
            </w:pPr>
            <w:r>
              <w:rPr>
                <w:rFonts w:ascii="Calibri" w:hAnsi="Calibri"/>
                <w:b w:val="0"/>
                <w:sz w:val="20"/>
              </w:rPr>
              <w:t>Ability to ingest billable items from AdOps Central on a daily basis that are ready to be billed for CTV and streaming delivered impressions.</w:t>
            </w:r>
          </w:p>
        </w:tc>
        <w:tc>
          <w:tcPr>
            <w:tcW w:type="dxa" w:w="1275"/>
            <w:shd w:val="clear" w:color="auto" w:fill="E1F4FF"/>
          </w:tcPr>
          <w:p>
            <w:pPr>
              <w:spacing w:after="40" w:before="40"/>
            </w:pPr>
            <w:r>
              <w:rPr>
                <w:rFonts w:ascii="Calibri" w:hAnsi="Calibri"/>
                <w:b w:val="0"/>
                <w:sz w:val="20"/>
              </w:rPr>
              <w:t>Invoice Creation</w:t>
            </w:r>
          </w:p>
        </w:tc>
        <w:tc>
          <w:tcPr>
            <w:tcW w:type="dxa" w:w="1275"/>
            <w:shd w:val="clear" w:color="auto" w:fill="E1F4FF"/>
          </w:tcPr>
          <w:p>
            <w:pPr>
              <w:spacing w:after="40" w:before="40"/>
            </w:pPr>
            <w:r>
              <w:rPr>
                <w:rFonts w:ascii="Calibri" w:hAnsi="Calibri"/>
                <w:b w:val="0"/>
                <w:sz w:val="20"/>
              </w:rPr>
              <w:t>3. Import pre-rated transactions</w:t>
            </w:r>
          </w:p>
        </w:tc>
        <w:tc>
          <w:tcPr>
            <w:tcW w:type="dxa" w:w="1275"/>
            <w:shd w:val="clear" w:color="auto" w:fill="E1F4FF"/>
          </w:tcPr>
          <w:p>
            <w:pPr>
              <w:spacing w:after="40" w:before="40"/>
            </w:pPr>
            <w:r>
              <w:rPr>
                <w:rFonts w:ascii="Calibri" w:hAnsi="Calibri"/>
                <w:b w:val="0"/>
                <w:sz w:val="20"/>
              </w:rPr>
              <w:t>Must Have</w:t>
            </w:r>
          </w:p>
        </w:tc>
        <w:tc>
          <w:tcPr>
            <w:tcW w:type="dxa" w:w="1275"/>
            <w:shd w:val="clear" w:color="auto" w:fill="E1F4FF"/>
          </w:tcPr>
          <w:p>
            <w:pPr>
              <w:spacing w:after="40" w:before="40"/>
            </w:pPr>
            <w:r>
              <w:rPr>
                <w:rFonts w:ascii="Calibri" w:hAnsi="Calibri"/>
                <w:b w:val="0"/>
                <w:sz w:val="20"/>
              </w:rPr>
              <w:t>Partial Fit</w:t>
            </w:r>
          </w:p>
        </w:tc>
        <w:tc>
          <w:tcPr>
            <w:tcW w:type="dxa" w:w="1275"/>
            <w:shd w:val="clear" w:color="auto" w:fill="E1F4FF"/>
          </w:tcPr>
          <w:p>
            <w:pPr>
              <w:spacing w:after="40" w:before="40"/>
            </w:pPr>
            <w:r>
              <w:rPr>
                <w:rFonts w:ascii="Calibri" w:hAnsi="Calibri"/>
                <w:b w:val="0"/>
                <w:sz w:val="20"/>
              </w:rPr>
              <w:t>BIT upload functionality is available out-of-the-box in SAP BRIM using the 'Upload Billable Items' Fiori app. A custom filter/enrichment enhancement (WRICEF 5) is required to map AdOps Central CSV fields to BRIM BIT structures and filter non-MVP rows.</w:t>
            </w:r>
          </w:p>
        </w:tc>
      </w:tr>
      <w:tr>
        <w:tc>
          <w:tcPr>
            <w:tcW w:type="dxa" w:w="1275"/>
          </w:tcPr>
          <w:p>
            <w:pPr>
              <w:spacing w:after="40" w:before="40"/>
            </w:pPr>
            <w:r>
              <w:rPr>
                <w:rFonts w:ascii="Calibri" w:hAnsi="Calibri"/>
                <w:b w:val="0"/>
                <w:sz w:val="20"/>
              </w:rPr>
              <w:t>REQ-10</w:t>
            </w:r>
          </w:p>
        </w:tc>
        <w:tc>
          <w:tcPr>
            <w:tcW w:type="dxa" w:w="1275"/>
          </w:tcPr>
          <w:p>
            <w:pPr>
              <w:spacing w:after="40" w:before="40"/>
            </w:pPr>
            <w:r>
              <w:rPr>
                <w:rFonts w:ascii="Calibri" w:hAnsi="Calibri"/>
                <w:b w:val="0"/>
                <w:sz w:val="20"/>
              </w:rPr>
              <w:t>Ability to use Line Item ID sourced from AdOps Central to check for duplicates and ensure a line item is only billed once per billing period.</w:t>
            </w:r>
          </w:p>
        </w:tc>
        <w:tc>
          <w:tcPr>
            <w:tcW w:type="dxa" w:w="1275"/>
          </w:tcPr>
          <w:p>
            <w:pPr>
              <w:spacing w:after="40" w:before="40"/>
            </w:pPr>
            <w:r>
              <w:rPr>
                <w:rFonts w:ascii="Calibri" w:hAnsi="Calibri"/>
                <w:b w:val="0"/>
                <w:sz w:val="20"/>
              </w:rPr>
              <w:t>Invoice Creation</w:t>
            </w:r>
          </w:p>
        </w:tc>
        <w:tc>
          <w:tcPr>
            <w:tcW w:type="dxa" w:w="1275"/>
          </w:tcPr>
          <w:p>
            <w:pPr>
              <w:spacing w:after="40" w:before="40"/>
            </w:pPr>
            <w:r>
              <w:rPr>
                <w:rFonts w:ascii="Calibri" w:hAnsi="Calibri"/>
                <w:b w:val="0"/>
                <w:sz w:val="20"/>
              </w:rPr>
              <w:t>3. Import pre-rated transactions</w:t>
            </w:r>
          </w:p>
        </w:tc>
        <w:tc>
          <w:tcPr>
            <w:tcW w:type="dxa" w:w="1275"/>
          </w:tcPr>
          <w:p>
            <w:pPr>
              <w:spacing w:after="40" w:before="40"/>
            </w:pPr>
            <w:r>
              <w:rPr>
                <w:rFonts w:ascii="Calibri" w:hAnsi="Calibri"/>
                <w:b w:val="0"/>
                <w:sz w:val="20"/>
              </w:rPr>
              <w:t>Must Have</w:t>
            </w:r>
          </w:p>
        </w:tc>
        <w:tc>
          <w:tcPr>
            <w:tcW w:type="dxa" w:w="1275"/>
          </w:tcPr>
          <w:p>
            <w:pPr>
              <w:spacing w:after="40" w:before="40"/>
            </w:pPr>
            <w:r>
              <w:rPr>
                <w:rFonts w:ascii="Calibri" w:hAnsi="Calibri"/>
                <w:b w:val="0"/>
                <w:sz w:val="20"/>
              </w:rPr>
              <w:t>Fit</w:t>
            </w:r>
          </w:p>
        </w:tc>
        <w:tc>
          <w:tcPr>
            <w:tcW w:type="dxa" w:w="1275"/>
          </w:tcPr>
          <w:p>
            <w:pPr>
              <w:spacing w:after="40" w:before="40"/>
            </w:pPr>
            <w:r>
              <w:rPr>
                <w:rFonts w:ascii="Calibri" w:hAnsi="Calibri"/>
                <w:b w:val="0"/>
                <w:sz w:val="20"/>
              </w:rPr>
              <w:t>Duplicate check functionality is standard in SAP BRIM using Invoice ID, Line Item ID, and USO Order ID. It is assumed that these IDs are unique within AdOps Central.</w:t>
            </w:r>
          </w:p>
        </w:tc>
      </w:tr>
      <w:tr>
        <w:tc>
          <w:tcPr>
            <w:tcW w:type="dxa" w:w="1275"/>
            <w:shd w:val="clear" w:color="auto" w:fill="E1F4FF"/>
          </w:tcPr>
          <w:p>
            <w:pPr>
              <w:spacing w:after="40" w:before="40"/>
            </w:pPr>
            <w:r>
              <w:rPr>
                <w:rFonts w:ascii="Calibri" w:hAnsi="Calibri"/>
                <w:b w:val="0"/>
                <w:sz w:val="20"/>
              </w:rPr>
              <w:t>REQ-11</w:t>
            </w:r>
          </w:p>
        </w:tc>
        <w:tc>
          <w:tcPr>
            <w:tcW w:type="dxa" w:w="1275"/>
            <w:shd w:val="clear" w:color="auto" w:fill="E1F4FF"/>
          </w:tcPr>
          <w:p>
            <w:pPr>
              <w:spacing w:after="40" w:before="40"/>
            </w:pPr>
            <w:r>
              <w:rPr>
                <w:rFonts w:ascii="Calibri" w:hAnsi="Calibri"/>
                <w:b w:val="0"/>
                <w:sz w:val="20"/>
              </w:rPr>
              <w:t>Ability to map data fields received from the manual CSV upload to Convergent Invoicing components and derive required fields not present in the AdOps Central export.</w:t>
            </w:r>
          </w:p>
        </w:tc>
        <w:tc>
          <w:tcPr>
            <w:tcW w:type="dxa" w:w="1275"/>
            <w:shd w:val="clear" w:color="auto" w:fill="E1F4FF"/>
          </w:tcPr>
          <w:p>
            <w:pPr>
              <w:spacing w:after="40" w:before="40"/>
            </w:pPr>
            <w:r>
              <w:rPr>
                <w:rFonts w:ascii="Calibri" w:hAnsi="Calibri"/>
                <w:b w:val="0"/>
                <w:sz w:val="20"/>
              </w:rPr>
              <w:t>Invoice Creation</w:t>
            </w:r>
          </w:p>
        </w:tc>
        <w:tc>
          <w:tcPr>
            <w:tcW w:type="dxa" w:w="1275"/>
            <w:shd w:val="clear" w:color="auto" w:fill="E1F4FF"/>
          </w:tcPr>
          <w:p>
            <w:pPr>
              <w:spacing w:after="40" w:before="40"/>
            </w:pPr>
            <w:r>
              <w:rPr>
                <w:rFonts w:ascii="Calibri" w:hAnsi="Calibri"/>
                <w:b w:val="0"/>
                <w:sz w:val="20"/>
              </w:rPr>
              <w:t>3. Import pre-rated transactions</w:t>
            </w:r>
          </w:p>
        </w:tc>
        <w:tc>
          <w:tcPr>
            <w:tcW w:type="dxa" w:w="1275"/>
            <w:shd w:val="clear" w:color="auto" w:fill="E1F4FF"/>
          </w:tcPr>
          <w:p>
            <w:pPr>
              <w:spacing w:after="40" w:before="40"/>
            </w:pPr>
            <w:r>
              <w:rPr>
                <w:rFonts w:ascii="Calibri" w:hAnsi="Calibri"/>
                <w:b w:val="0"/>
                <w:sz w:val="20"/>
              </w:rPr>
              <w:t>Must Have</w:t>
            </w:r>
          </w:p>
        </w:tc>
        <w:tc>
          <w:tcPr>
            <w:tcW w:type="dxa" w:w="1275"/>
            <w:shd w:val="clear" w:color="auto" w:fill="E1F4FF"/>
          </w:tcPr>
          <w:p>
            <w:pPr>
              <w:spacing w:after="40" w:before="40"/>
            </w:pPr>
            <w:r>
              <w:rPr>
                <w:rFonts w:ascii="Calibri" w:hAnsi="Calibri"/>
                <w:b w:val="0"/>
                <w:sz w:val="20"/>
              </w:rPr>
              <w:t>Partial Fit</w:t>
            </w:r>
          </w:p>
        </w:tc>
        <w:tc>
          <w:tcPr>
            <w:tcW w:type="dxa" w:w="1275"/>
            <w:shd w:val="clear" w:color="auto" w:fill="E1F4FF"/>
          </w:tcPr>
          <w:p>
            <w:pPr>
              <w:spacing w:after="40" w:before="40"/>
            </w:pPr>
            <w:r>
              <w:rPr>
                <w:rFonts w:ascii="Calibri" w:hAnsi="Calibri"/>
                <w:b w:val="0"/>
                <w:sz w:val="20"/>
              </w:rPr>
              <w:t>Enrichment logic (WRICEF 6) must be built to derive mandatory BRIM fields such as Business Partner, Contract Account, and Material from the AdOps Central Customer ID and USO Order ID.</w:t>
            </w:r>
          </w:p>
        </w:tc>
      </w:tr>
      <w:tr>
        <w:tc>
          <w:tcPr>
            <w:tcW w:type="dxa" w:w="1275"/>
          </w:tcPr>
          <w:p>
            <w:pPr>
              <w:spacing w:after="40" w:before="40"/>
            </w:pPr>
            <w:r>
              <w:rPr>
                <w:rFonts w:ascii="Calibri" w:hAnsi="Calibri"/>
                <w:b w:val="0"/>
                <w:sz w:val="20"/>
              </w:rPr>
              <w:t>REQ-12</w:t>
            </w:r>
          </w:p>
        </w:tc>
        <w:tc>
          <w:tcPr>
            <w:tcW w:type="dxa" w:w="1275"/>
          </w:tcPr>
          <w:p>
            <w:pPr>
              <w:spacing w:after="40" w:before="40"/>
            </w:pPr>
            <w:r>
              <w:rPr>
                <w:rFonts w:ascii="Calibri" w:hAnsi="Calibri"/>
                <w:b w:val="0"/>
                <w:sz w:val="20"/>
              </w:rPr>
              <w:t>Ability to generate a consolidated invoice per order based on the USO ID sourced from AdOps Central.</w:t>
            </w:r>
          </w:p>
        </w:tc>
        <w:tc>
          <w:tcPr>
            <w:tcW w:type="dxa" w:w="1275"/>
          </w:tcPr>
          <w:p>
            <w:pPr>
              <w:spacing w:after="40" w:before="40"/>
            </w:pPr>
            <w:r>
              <w:rPr>
                <w:rFonts w:ascii="Calibri" w:hAnsi="Calibri"/>
                <w:b w:val="0"/>
                <w:sz w:val="20"/>
              </w:rPr>
              <w:t>Invoice Creation</w:t>
            </w:r>
          </w:p>
        </w:tc>
        <w:tc>
          <w:tcPr>
            <w:tcW w:type="dxa" w:w="1275"/>
          </w:tcPr>
          <w:p>
            <w:pPr>
              <w:spacing w:after="40" w:before="40"/>
            </w:pPr>
            <w:r>
              <w:rPr>
                <w:rFonts w:ascii="Calibri" w:hAnsi="Calibri"/>
                <w:b w:val="0"/>
                <w:sz w:val="20"/>
              </w:rPr>
              <w:t>5. Generate consolidated billable items</w:t>
            </w:r>
          </w:p>
        </w:tc>
        <w:tc>
          <w:tcPr>
            <w:tcW w:type="dxa" w:w="1275"/>
          </w:tcPr>
          <w:p>
            <w:pPr>
              <w:spacing w:after="40" w:before="40"/>
            </w:pPr>
            <w:r>
              <w:rPr>
                <w:rFonts w:ascii="Calibri" w:hAnsi="Calibri"/>
                <w:b w:val="0"/>
                <w:sz w:val="20"/>
              </w:rPr>
              <w:t>Must Have</w:t>
            </w:r>
          </w:p>
        </w:tc>
        <w:tc>
          <w:tcPr>
            <w:tcW w:type="dxa" w:w="1275"/>
          </w:tcPr>
          <w:p>
            <w:pPr>
              <w:spacing w:after="40" w:before="40"/>
            </w:pPr>
            <w:r>
              <w:rPr>
                <w:rFonts w:ascii="Calibri" w:hAnsi="Calibri"/>
                <w:b w:val="0"/>
                <w:sz w:val="20"/>
              </w:rPr>
              <w:t>Partial Fit</w:t>
            </w:r>
          </w:p>
        </w:tc>
        <w:tc>
          <w:tcPr>
            <w:tcW w:type="dxa" w:w="1275"/>
          </w:tcPr>
          <w:p>
            <w:pPr>
              <w:spacing w:after="40" w:before="40"/>
            </w:pPr>
            <w:r>
              <w:rPr>
                <w:rFonts w:ascii="Calibri" w:hAnsi="Calibri"/>
                <w:b w:val="0"/>
                <w:sz w:val="20"/>
              </w:rPr>
              <w:t>Standard SAP BRIM grouping by Order ID is used for invoice consolidation. Custom configuration (WRICEF 6) is required to map USO ID to the SAP BRIM order grouping key.</w:t>
            </w:r>
          </w:p>
        </w:tc>
      </w:tr>
      <w:tr>
        <w:tc>
          <w:tcPr>
            <w:tcW w:type="dxa" w:w="1275"/>
            <w:shd w:val="clear" w:color="auto" w:fill="E1F4FF"/>
          </w:tcPr>
          <w:p>
            <w:pPr>
              <w:spacing w:after="40" w:before="40"/>
            </w:pPr>
            <w:r>
              <w:rPr>
                <w:rFonts w:ascii="Calibri" w:hAnsi="Calibri"/>
                <w:b w:val="0"/>
                <w:sz w:val="20"/>
              </w:rPr>
              <w:t>REQ-13</w:t>
            </w:r>
          </w:p>
        </w:tc>
        <w:tc>
          <w:tcPr>
            <w:tcW w:type="dxa" w:w="1275"/>
            <w:shd w:val="clear" w:color="auto" w:fill="E1F4FF"/>
          </w:tcPr>
          <w:p>
            <w:pPr>
              <w:spacing w:after="40" w:before="40"/>
            </w:pPr>
            <w:r>
              <w:rPr>
                <w:rFonts w:ascii="Calibri" w:hAnsi="Calibri"/>
                <w:b w:val="0"/>
                <w:sz w:val="20"/>
              </w:rPr>
              <w:t>Ability to generate invoices overnight on the day of receiving the CSV file from AdOps Central.</w:t>
            </w:r>
          </w:p>
        </w:tc>
        <w:tc>
          <w:tcPr>
            <w:tcW w:type="dxa" w:w="1275"/>
            <w:shd w:val="clear" w:color="auto" w:fill="E1F4FF"/>
          </w:tcPr>
          <w:p>
            <w:pPr>
              <w:spacing w:after="40" w:before="40"/>
            </w:pPr>
            <w:r>
              <w:rPr>
                <w:rFonts w:ascii="Calibri" w:hAnsi="Calibri"/>
                <w:b w:val="0"/>
                <w:sz w:val="20"/>
              </w:rPr>
              <w:t>Invoice Creation</w:t>
            </w:r>
          </w:p>
        </w:tc>
        <w:tc>
          <w:tcPr>
            <w:tcW w:type="dxa" w:w="1275"/>
            <w:shd w:val="clear" w:color="auto" w:fill="E1F4FF"/>
          </w:tcPr>
          <w:p>
            <w:pPr>
              <w:spacing w:after="40" w:before="40"/>
            </w:pPr>
            <w:r>
              <w:rPr>
                <w:rFonts w:ascii="Calibri" w:hAnsi="Calibri"/>
                <w:b w:val="0"/>
                <w:sz w:val="20"/>
              </w:rPr>
              <w:t>6. Generate consolidated invoice</w:t>
            </w:r>
          </w:p>
        </w:tc>
        <w:tc>
          <w:tcPr>
            <w:tcW w:type="dxa" w:w="1275"/>
            <w:shd w:val="clear" w:color="auto" w:fill="E1F4FF"/>
          </w:tcPr>
          <w:p>
            <w:pPr>
              <w:spacing w:after="40" w:before="40"/>
            </w:pPr>
            <w:r>
              <w:rPr>
                <w:rFonts w:ascii="Calibri" w:hAnsi="Calibri"/>
                <w:b w:val="0"/>
                <w:sz w:val="20"/>
              </w:rPr>
              <w:t>Must Have</w:t>
            </w:r>
          </w:p>
        </w:tc>
        <w:tc>
          <w:tcPr>
            <w:tcW w:type="dxa" w:w="1275"/>
            <w:shd w:val="clear" w:color="auto" w:fill="E1F4FF"/>
          </w:tcPr>
          <w:p>
            <w:pPr>
              <w:spacing w:after="40" w:before="40"/>
            </w:pPr>
            <w:r>
              <w:rPr>
                <w:rFonts w:ascii="Calibri" w:hAnsi="Calibri"/>
                <w:b w:val="0"/>
                <w:sz w:val="20"/>
              </w:rPr>
              <w:t>Partial Fit</w:t>
            </w:r>
          </w:p>
        </w:tc>
        <w:tc>
          <w:tcPr>
            <w:tcW w:type="dxa" w:w="1275"/>
            <w:shd w:val="clear" w:color="auto" w:fill="E1F4FF"/>
          </w:tcPr>
          <w:p>
            <w:pPr>
              <w:spacing w:after="40" w:before="40"/>
            </w:pPr>
            <w:r>
              <w:rPr>
                <w:rFonts w:ascii="Calibri" w:hAnsi="Calibri"/>
                <w:b w:val="0"/>
                <w:sz w:val="20"/>
              </w:rPr>
              <w:t>FPScheduler (standard BRIM tool) schedules the billing and invoicing batch jobs. Custom scheduling configuration is required to align with Nexstream's overnight processing window.</w:t>
            </w:r>
          </w:p>
        </w:tc>
      </w:tr>
      <w:tr>
        <w:tc>
          <w:tcPr>
            <w:tcW w:type="dxa" w:w="1275"/>
          </w:tcPr>
          <w:p>
            <w:pPr>
              <w:spacing w:after="40" w:before="40"/>
            </w:pPr>
            <w:r>
              <w:rPr>
                <w:rFonts w:ascii="Calibri" w:hAnsi="Calibri"/>
                <w:b w:val="0"/>
                <w:sz w:val="20"/>
              </w:rPr>
              <w:t>REQ-14</w:t>
            </w:r>
          </w:p>
        </w:tc>
        <w:tc>
          <w:tcPr>
            <w:tcW w:type="dxa" w:w="1275"/>
          </w:tcPr>
          <w:p>
            <w:pPr>
              <w:spacing w:after="40" w:before="40"/>
            </w:pPr>
            <w:r>
              <w:rPr>
                <w:rFonts w:ascii="Calibri" w:hAnsi="Calibri"/>
                <w:b w:val="0"/>
                <w:sz w:val="20"/>
              </w:rPr>
              <w:t>Ability to generate a customer-facing invoice PDF that includes Nexstream branding, invoice number, billing period, order details, impression volume, and total amount due.</w:t>
            </w:r>
          </w:p>
        </w:tc>
        <w:tc>
          <w:tcPr>
            <w:tcW w:type="dxa" w:w="1275"/>
          </w:tcPr>
          <w:p>
            <w:pPr>
              <w:spacing w:after="40" w:before="40"/>
            </w:pPr>
            <w:r>
              <w:rPr>
                <w:rFonts w:ascii="Calibri" w:hAnsi="Calibri"/>
                <w:b w:val="0"/>
                <w:sz w:val="20"/>
              </w:rPr>
              <w:t>Invoice Creation</w:t>
            </w:r>
          </w:p>
        </w:tc>
        <w:tc>
          <w:tcPr>
            <w:tcW w:type="dxa" w:w="1275"/>
          </w:tcPr>
          <w:p>
            <w:pPr>
              <w:spacing w:after="40" w:before="40"/>
            </w:pPr>
            <w:r>
              <w:rPr>
                <w:rFonts w:ascii="Calibri" w:hAnsi="Calibri"/>
                <w:b w:val="0"/>
                <w:sz w:val="20"/>
              </w:rPr>
              <w:t>7. Generate invoice PDF</w:t>
            </w:r>
          </w:p>
        </w:tc>
        <w:tc>
          <w:tcPr>
            <w:tcW w:type="dxa" w:w="1275"/>
          </w:tcPr>
          <w:p>
            <w:pPr>
              <w:spacing w:after="40" w:before="40"/>
            </w:pPr>
            <w:r>
              <w:rPr>
                <w:rFonts w:ascii="Calibri" w:hAnsi="Calibri"/>
                <w:b w:val="0"/>
                <w:sz w:val="20"/>
              </w:rPr>
              <w:t>Must Have</w:t>
            </w:r>
          </w:p>
        </w:tc>
        <w:tc>
          <w:tcPr>
            <w:tcW w:type="dxa" w:w="1275"/>
          </w:tcPr>
          <w:p>
            <w:pPr>
              <w:spacing w:after="40" w:before="40"/>
            </w:pPr>
            <w:r>
              <w:rPr>
                <w:rFonts w:ascii="Calibri" w:hAnsi="Calibri"/>
                <w:b w:val="0"/>
                <w:sz w:val="20"/>
              </w:rPr>
              <w:t>Partial Fit</w:t>
            </w:r>
          </w:p>
        </w:tc>
        <w:tc>
          <w:tcPr>
            <w:tcW w:type="dxa" w:w="1275"/>
          </w:tcPr>
          <w:p>
            <w:pPr>
              <w:spacing w:after="40" w:before="40"/>
            </w:pPr>
            <w:r>
              <w:rPr>
                <w:rFonts w:ascii="Calibri" w:hAnsi="Calibri"/>
                <w:b w:val="0"/>
                <w:sz w:val="20"/>
              </w:rPr>
              <w:t>SAP BRIM standard PDF invoice form exists. Custom form development (WRICEF 7) is required to meet Nexstream's invoice layout and branding requirements.</w:t>
            </w:r>
          </w:p>
        </w:tc>
      </w:tr>
      <w:tr>
        <w:tc>
          <w:tcPr>
            <w:tcW w:type="dxa" w:w="1275"/>
            <w:shd w:val="clear" w:color="auto" w:fill="E1F4FF"/>
          </w:tcPr>
          <w:p>
            <w:pPr>
              <w:spacing w:after="40" w:before="40"/>
            </w:pPr>
            <w:r>
              <w:rPr>
                <w:rFonts w:ascii="Calibri" w:hAnsi="Calibri"/>
                <w:b w:val="0"/>
                <w:sz w:val="20"/>
              </w:rPr>
              <w:t>REQ-15</w:t>
            </w:r>
          </w:p>
        </w:tc>
        <w:tc>
          <w:tcPr>
            <w:tcW w:type="dxa" w:w="1275"/>
            <w:shd w:val="clear" w:color="auto" w:fill="E1F4FF"/>
          </w:tcPr>
          <w:p>
            <w:pPr>
              <w:spacing w:after="40" w:before="40"/>
            </w:pPr>
            <w:r>
              <w:rPr>
                <w:rFonts w:ascii="Calibri" w:hAnsi="Calibri"/>
                <w:b w:val="0"/>
                <w:sz w:val="20"/>
              </w:rPr>
              <w:t>Ability to post the invoice to the FI-CA subledger and create an open receivable item on the customer's Contract Account.</w:t>
            </w:r>
          </w:p>
        </w:tc>
        <w:tc>
          <w:tcPr>
            <w:tcW w:type="dxa" w:w="1275"/>
            <w:shd w:val="clear" w:color="auto" w:fill="E1F4FF"/>
          </w:tcPr>
          <w:p>
            <w:pPr>
              <w:spacing w:after="40" w:before="40"/>
            </w:pPr>
            <w:r>
              <w:rPr>
                <w:rFonts w:ascii="Calibri" w:hAnsi="Calibri"/>
                <w:b w:val="0"/>
                <w:sz w:val="20"/>
              </w:rPr>
              <w:t>Invoice Creation</w:t>
            </w:r>
          </w:p>
        </w:tc>
        <w:tc>
          <w:tcPr>
            <w:tcW w:type="dxa" w:w="1275"/>
            <w:shd w:val="clear" w:color="auto" w:fill="E1F4FF"/>
          </w:tcPr>
          <w:p>
            <w:pPr>
              <w:spacing w:after="40" w:before="40"/>
            </w:pPr>
            <w:r>
              <w:rPr>
                <w:rFonts w:ascii="Calibri" w:hAnsi="Calibri"/>
                <w:b w:val="0"/>
                <w:sz w:val="20"/>
              </w:rPr>
              <w:t>7. Generate consolidated invoice</w:t>
            </w:r>
          </w:p>
        </w:tc>
        <w:tc>
          <w:tcPr>
            <w:tcW w:type="dxa" w:w="1275"/>
            <w:shd w:val="clear" w:color="auto" w:fill="E1F4FF"/>
          </w:tcPr>
          <w:p>
            <w:pPr>
              <w:spacing w:after="40" w:before="40"/>
            </w:pPr>
            <w:r>
              <w:rPr>
                <w:rFonts w:ascii="Calibri" w:hAnsi="Calibri"/>
                <w:b w:val="0"/>
                <w:sz w:val="20"/>
              </w:rPr>
              <w:t>Must Have</w:t>
            </w:r>
          </w:p>
        </w:tc>
        <w:tc>
          <w:tcPr>
            <w:tcW w:type="dxa" w:w="1275"/>
            <w:shd w:val="clear" w:color="auto" w:fill="E1F4FF"/>
          </w:tcPr>
          <w:p>
            <w:pPr>
              <w:spacing w:after="40" w:before="40"/>
            </w:pPr>
            <w:r>
              <w:rPr>
                <w:rFonts w:ascii="Calibri" w:hAnsi="Calibri"/>
                <w:b w:val="0"/>
                <w:sz w:val="20"/>
              </w:rPr>
              <w:t>Fit</w:t>
            </w:r>
          </w:p>
        </w:tc>
        <w:tc>
          <w:tcPr>
            <w:tcW w:type="dxa" w:w="1275"/>
            <w:shd w:val="clear" w:color="auto" w:fill="E1F4FF"/>
          </w:tcPr>
          <w:p>
            <w:pPr>
              <w:spacing w:after="40" w:before="40"/>
            </w:pPr>
            <w:r>
              <w:rPr>
                <w:rFonts w:ascii="Calibri" w:hAnsi="Calibri"/>
                <w:b w:val="0"/>
                <w:sz w:val="20"/>
              </w:rPr>
              <w:t>Standard SAP BRIM posting to FI-CA subledger is available out-of-the-box. No customisation required.</w:t>
            </w:r>
          </w:p>
        </w:tc>
      </w:tr>
      <w:tr>
        <w:tc>
          <w:tcPr>
            <w:tcW w:type="dxa" w:w="1275"/>
          </w:tcPr>
          <w:p>
            <w:pPr>
              <w:spacing w:after="40" w:before="40"/>
            </w:pPr>
            <w:r>
              <w:rPr>
                <w:rFonts w:ascii="Calibri" w:hAnsi="Calibri"/>
                <w:b w:val="0"/>
                <w:sz w:val="20"/>
              </w:rPr>
              <w:t>REQ-16</w:t>
            </w:r>
          </w:p>
        </w:tc>
        <w:tc>
          <w:tcPr>
            <w:tcW w:type="dxa" w:w="1275"/>
          </w:tcPr>
          <w:p>
            <w:pPr>
              <w:spacing w:after="40" w:before="40"/>
            </w:pPr>
            <w:r>
              <w:rPr>
                <w:rFonts w:ascii="Calibri" w:hAnsi="Calibri"/>
                <w:b w:val="0"/>
                <w:sz w:val="20"/>
              </w:rPr>
              <w:t>Ability to perform a preliminary invoice review process for defined customer segments before releasing the invoice to the customer.</w:t>
            </w:r>
          </w:p>
        </w:tc>
        <w:tc>
          <w:tcPr>
            <w:tcW w:type="dxa" w:w="1275"/>
          </w:tcPr>
          <w:p>
            <w:pPr>
              <w:spacing w:after="40" w:before="40"/>
            </w:pPr>
            <w:r>
              <w:rPr>
                <w:rFonts w:ascii="Calibri" w:hAnsi="Calibri"/>
                <w:b w:val="0"/>
                <w:sz w:val="20"/>
              </w:rPr>
              <w:t>Invoice Creation</w:t>
            </w:r>
          </w:p>
        </w:tc>
        <w:tc>
          <w:tcPr>
            <w:tcW w:type="dxa" w:w="1275"/>
          </w:tcPr>
          <w:p>
            <w:pPr>
              <w:spacing w:after="40" w:before="40"/>
            </w:pPr>
            <w:r>
              <w:rPr>
                <w:rFonts w:ascii="Calibri" w:hAnsi="Calibri"/>
                <w:b w:val="0"/>
                <w:sz w:val="20"/>
              </w:rPr>
              <w:t>7. Preliminary invoice review</w:t>
            </w:r>
          </w:p>
        </w:tc>
        <w:tc>
          <w:tcPr>
            <w:tcW w:type="dxa" w:w="1275"/>
          </w:tcPr>
          <w:p>
            <w:pPr>
              <w:spacing w:after="40" w:before="40"/>
            </w:pPr>
            <w:r>
              <w:rPr>
                <w:rFonts w:ascii="Calibri" w:hAnsi="Calibri"/>
                <w:b w:val="0"/>
                <w:sz w:val="20"/>
              </w:rPr>
              <w:t>Must Have</w:t>
            </w:r>
          </w:p>
        </w:tc>
        <w:tc>
          <w:tcPr>
            <w:tcW w:type="dxa" w:w="1275"/>
          </w:tcPr>
          <w:p>
            <w:pPr>
              <w:spacing w:after="40" w:before="40"/>
            </w:pPr>
            <w:r>
              <w:rPr>
                <w:rFonts w:ascii="Calibri" w:hAnsi="Calibri"/>
                <w:b w:val="0"/>
                <w:sz w:val="20"/>
              </w:rPr>
              <w:t>Fit</w:t>
            </w:r>
          </w:p>
        </w:tc>
        <w:tc>
          <w:tcPr>
            <w:tcW w:type="dxa" w:w="1275"/>
          </w:tcPr>
          <w:p>
            <w:pPr>
              <w:spacing w:after="40" w:before="40"/>
            </w:pPr>
            <w:r>
              <w:rPr>
                <w:rFonts w:ascii="Calibri" w:hAnsi="Calibri"/>
                <w:b w:val="0"/>
                <w:sz w:val="20"/>
              </w:rPr>
              <w:t>Preliminary invoicing is a standard SAP BRIM feature. Finance Operations can review, accept, or reject preliminary invoices before final posting and distribution.</w:t>
            </w:r>
          </w:p>
        </w:tc>
      </w:tr>
      <w:tr>
        <w:tc>
          <w:tcPr>
            <w:tcW w:type="dxa" w:w="1275"/>
            <w:shd w:val="clear" w:color="auto" w:fill="E1F4FF"/>
          </w:tcPr>
          <w:p>
            <w:pPr>
              <w:spacing w:after="40" w:before="40"/>
            </w:pPr>
            <w:r>
              <w:rPr>
                <w:rFonts w:ascii="Calibri" w:hAnsi="Calibri"/>
                <w:b w:val="0"/>
                <w:sz w:val="20"/>
              </w:rPr>
              <w:t>REQ-17</w:t>
            </w:r>
          </w:p>
        </w:tc>
        <w:tc>
          <w:tcPr>
            <w:tcW w:type="dxa" w:w="1275"/>
            <w:shd w:val="clear" w:color="auto" w:fill="E1F4FF"/>
          </w:tcPr>
          <w:p>
            <w:pPr>
              <w:spacing w:after="40" w:before="40"/>
            </w:pPr>
            <w:r>
              <w:rPr>
                <w:rFonts w:ascii="Calibri" w:hAnsi="Calibri"/>
                <w:b w:val="0"/>
                <w:sz w:val="20"/>
              </w:rPr>
              <w:t>Ability to distribute invoice PDFs and transactional invoice data to MyNexstream customer self-service portal via API.</w:t>
            </w:r>
          </w:p>
        </w:tc>
        <w:tc>
          <w:tcPr>
            <w:tcW w:type="dxa" w:w="1275"/>
            <w:shd w:val="clear" w:color="auto" w:fill="E1F4FF"/>
          </w:tcPr>
          <w:p>
            <w:pPr>
              <w:spacing w:after="40" w:before="40"/>
            </w:pPr>
            <w:r>
              <w:rPr>
                <w:rFonts w:ascii="Calibri" w:hAnsi="Calibri"/>
                <w:b w:val="0"/>
                <w:sz w:val="20"/>
              </w:rPr>
              <w:t>Invoice Distribution</w:t>
            </w:r>
          </w:p>
        </w:tc>
        <w:tc>
          <w:tcPr>
            <w:tcW w:type="dxa" w:w="1275"/>
            <w:shd w:val="clear" w:color="auto" w:fill="E1F4FF"/>
          </w:tcPr>
          <w:p>
            <w:pPr>
              <w:spacing w:after="40" w:before="40"/>
            </w:pPr>
            <w:r>
              <w:rPr>
                <w:rFonts w:ascii="Calibri" w:hAnsi="Calibri"/>
                <w:b w:val="0"/>
                <w:sz w:val="20"/>
              </w:rPr>
              <w:t>2. Distribute invoice to MyNexstream</w:t>
            </w:r>
          </w:p>
        </w:tc>
        <w:tc>
          <w:tcPr>
            <w:tcW w:type="dxa" w:w="1275"/>
            <w:shd w:val="clear" w:color="auto" w:fill="E1F4FF"/>
          </w:tcPr>
          <w:p>
            <w:pPr>
              <w:spacing w:after="40" w:before="40"/>
            </w:pPr>
            <w:r>
              <w:rPr>
                <w:rFonts w:ascii="Calibri" w:hAnsi="Calibri"/>
                <w:b w:val="0"/>
                <w:sz w:val="20"/>
              </w:rPr>
              <w:t>Must Have</w:t>
            </w:r>
          </w:p>
        </w:tc>
        <w:tc>
          <w:tcPr>
            <w:tcW w:type="dxa" w:w="1275"/>
            <w:shd w:val="clear" w:color="auto" w:fill="E1F4FF"/>
          </w:tcPr>
          <w:p>
            <w:pPr>
              <w:spacing w:after="40" w:before="40"/>
            </w:pPr>
            <w:r>
              <w:rPr>
                <w:rFonts w:ascii="Calibri" w:hAnsi="Calibri"/>
                <w:b w:val="0"/>
                <w:sz w:val="20"/>
              </w:rPr>
              <w:t>Partial Fit</w:t>
            </w:r>
          </w:p>
        </w:tc>
        <w:tc>
          <w:tcPr>
            <w:tcW w:type="dxa" w:w="1275"/>
            <w:shd w:val="clear" w:color="auto" w:fill="E1F4FF"/>
          </w:tcPr>
          <w:p>
            <w:pPr>
              <w:spacing w:after="40" w:before="40"/>
            </w:pPr>
            <w:r>
              <w:rPr>
                <w:rFonts w:ascii="Calibri" w:hAnsi="Calibri"/>
                <w:b w:val="0"/>
                <w:sz w:val="20"/>
              </w:rPr>
              <w:t>Standard SAP BRIM API for correspondence distribution exists. Custom API interface (WRICEF 9) is required to integrate with MyNexstream's API endpoint and data format.</w:t>
            </w:r>
          </w:p>
        </w:tc>
      </w:tr>
      <w:tr>
        <w:tc>
          <w:tcPr>
            <w:tcW w:type="dxa" w:w="1275"/>
          </w:tcPr>
          <w:p>
            <w:pPr>
              <w:spacing w:after="40" w:before="40"/>
            </w:pPr>
            <w:r>
              <w:rPr>
                <w:rFonts w:ascii="Calibri" w:hAnsi="Calibri"/>
                <w:b w:val="0"/>
                <w:sz w:val="20"/>
              </w:rPr>
              <w:t>REQ-18</w:t>
            </w:r>
          </w:p>
        </w:tc>
        <w:tc>
          <w:tcPr>
            <w:tcW w:type="dxa" w:w="1275"/>
          </w:tcPr>
          <w:p>
            <w:pPr>
              <w:spacing w:after="40" w:before="40"/>
            </w:pPr>
            <w:r>
              <w:rPr>
                <w:rFonts w:ascii="Calibri" w:hAnsi="Calibri"/>
                <w:b w:val="0"/>
                <w:sz w:val="20"/>
              </w:rPr>
              <w:t>Ability to share AR balances at contract account level with MyNexstream to display outstanding balance to the customer.</w:t>
            </w:r>
          </w:p>
        </w:tc>
        <w:tc>
          <w:tcPr>
            <w:tcW w:type="dxa" w:w="1275"/>
          </w:tcPr>
          <w:p>
            <w:pPr>
              <w:spacing w:after="40" w:before="40"/>
            </w:pPr>
            <w:r>
              <w:rPr>
                <w:rFonts w:ascii="Calibri" w:hAnsi="Calibri"/>
                <w:b w:val="0"/>
                <w:sz w:val="20"/>
              </w:rPr>
              <w:t>Invoice Distribution</w:t>
            </w:r>
          </w:p>
        </w:tc>
        <w:tc>
          <w:tcPr>
            <w:tcW w:type="dxa" w:w="1275"/>
          </w:tcPr>
          <w:p>
            <w:pPr>
              <w:spacing w:after="40" w:before="40"/>
            </w:pPr>
            <w:r>
              <w:rPr>
                <w:rFonts w:ascii="Calibri" w:hAnsi="Calibri"/>
                <w:b w:val="0"/>
                <w:sz w:val="20"/>
              </w:rPr>
              <w:t>2. Distribute invoice to MyNexstream</w:t>
            </w:r>
          </w:p>
        </w:tc>
        <w:tc>
          <w:tcPr>
            <w:tcW w:type="dxa" w:w="1275"/>
          </w:tcPr>
          <w:p>
            <w:pPr>
              <w:spacing w:after="40" w:before="40"/>
            </w:pPr>
            <w:r>
              <w:rPr>
                <w:rFonts w:ascii="Calibri" w:hAnsi="Calibri"/>
                <w:b w:val="0"/>
                <w:sz w:val="20"/>
              </w:rPr>
              <w:t>Must Have</w:t>
            </w:r>
          </w:p>
        </w:tc>
        <w:tc>
          <w:tcPr>
            <w:tcW w:type="dxa" w:w="1275"/>
          </w:tcPr>
          <w:p>
            <w:pPr>
              <w:spacing w:after="40" w:before="40"/>
            </w:pPr>
            <w:r>
              <w:rPr>
                <w:rFonts w:ascii="Calibri" w:hAnsi="Calibri"/>
                <w:b w:val="0"/>
                <w:sz w:val="20"/>
              </w:rPr>
              <w:t>Gap</w:t>
            </w:r>
          </w:p>
        </w:tc>
        <w:tc>
          <w:tcPr>
            <w:tcW w:type="dxa" w:w="1275"/>
          </w:tcPr>
          <w:p>
            <w:pPr>
              <w:spacing w:after="40" w:before="40"/>
            </w:pPr>
            <w:r>
              <w:rPr>
                <w:rFonts w:ascii="Calibri" w:hAnsi="Calibri"/>
                <w:b w:val="0"/>
                <w:sz w:val="20"/>
              </w:rPr>
              <w:t>Custom interface (WRICEF 14) is required to extract AR balance data from SAP BRIM FI-CA and push it to MyNexstream in real-time or near-real-time.</w:t>
            </w:r>
          </w:p>
        </w:tc>
      </w:tr>
      <w:tr>
        <w:tc>
          <w:tcPr>
            <w:tcW w:type="dxa" w:w="1275"/>
            <w:shd w:val="clear" w:color="auto" w:fill="E1F4FF"/>
          </w:tcPr>
          <w:p>
            <w:pPr>
              <w:spacing w:after="40" w:before="40"/>
            </w:pPr>
            <w:r>
              <w:rPr>
                <w:rFonts w:ascii="Calibri" w:hAnsi="Calibri"/>
                <w:b w:val="0"/>
                <w:sz w:val="20"/>
              </w:rPr>
              <w:t>REQ-51</w:t>
            </w:r>
          </w:p>
        </w:tc>
        <w:tc>
          <w:tcPr>
            <w:tcW w:type="dxa" w:w="1275"/>
            <w:shd w:val="clear" w:color="auto" w:fill="E1F4FF"/>
          </w:tcPr>
          <w:p>
            <w:pPr>
              <w:spacing w:after="40" w:before="40"/>
            </w:pPr>
            <w:r>
              <w:rPr>
                <w:rFonts w:ascii="Calibri" w:hAnsi="Calibri"/>
                <w:b w:val="0"/>
                <w:sz w:val="20"/>
              </w:rPr>
              <w:t>Ability to support a manual override process for Finance Operations to correct billable item data uploaded from AdOps Central when errors are identified post-import.</w:t>
            </w:r>
          </w:p>
        </w:tc>
        <w:tc>
          <w:tcPr>
            <w:tcW w:type="dxa" w:w="1275"/>
            <w:shd w:val="clear" w:color="auto" w:fill="E1F4FF"/>
          </w:tcPr>
          <w:p>
            <w:pPr>
              <w:spacing w:after="40" w:before="40"/>
            </w:pPr>
            <w:r>
              <w:rPr>
                <w:rFonts w:ascii="Calibri" w:hAnsi="Calibri"/>
                <w:b w:val="0"/>
                <w:sz w:val="20"/>
              </w:rPr>
              <w:t>Invoice Creation</w:t>
            </w:r>
          </w:p>
        </w:tc>
        <w:tc>
          <w:tcPr>
            <w:tcW w:type="dxa" w:w="1275"/>
            <w:shd w:val="clear" w:color="auto" w:fill="E1F4FF"/>
          </w:tcPr>
          <w:p>
            <w:pPr>
              <w:spacing w:after="40" w:before="40"/>
            </w:pPr>
            <w:r>
              <w:rPr>
                <w:rFonts w:ascii="Calibri" w:hAnsi="Calibri"/>
                <w:b w:val="0"/>
                <w:sz w:val="20"/>
              </w:rPr>
              <w:t>4. Resolve import issues</w:t>
            </w:r>
          </w:p>
        </w:tc>
        <w:tc>
          <w:tcPr>
            <w:tcW w:type="dxa" w:w="1275"/>
            <w:shd w:val="clear" w:color="auto" w:fill="E1F4FF"/>
          </w:tcPr>
          <w:p>
            <w:pPr>
              <w:spacing w:after="40" w:before="40"/>
            </w:pPr>
            <w:r>
              <w:rPr>
                <w:rFonts w:ascii="Calibri" w:hAnsi="Calibri"/>
                <w:b w:val="0"/>
                <w:sz w:val="20"/>
              </w:rPr>
              <w:t>Should Have</w:t>
            </w:r>
          </w:p>
        </w:tc>
        <w:tc>
          <w:tcPr>
            <w:tcW w:type="dxa" w:w="1275"/>
            <w:shd w:val="clear" w:color="auto" w:fill="E1F4FF"/>
          </w:tcPr>
          <w:p>
            <w:pPr>
              <w:spacing w:after="40" w:before="40"/>
            </w:pPr>
            <w:r>
              <w:rPr>
                <w:rFonts w:ascii="Calibri" w:hAnsi="Calibri"/>
                <w:b w:val="0"/>
                <w:sz w:val="20"/>
              </w:rPr>
              <w:t>Partial Fit</w:t>
            </w:r>
          </w:p>
        </w:tc>
        <w:tc>
          <w:tcPr>
            <w:tcW w:type="dxa" w:w="1275"/>
            <w:shd w:val="clear" w:color="auto" w:fill="E1F4FF"/>
          </w:tcPr>
          <w:p>
            <w:pPr>
              <w:spacing w:after="40" w:before="40"/>
            </w:pPr>
            <w:r>
              <w:rPr>
                <w:rFonts w:ascii="Calibri" w:hAnsi="Calibri"/>
                <w:b w:val="0"/>
                <w:sz w:val="20"/>
              </w:rPr>
              <w:t>SAP BRIM allows excepted BITs to be reviewed via the Display Billable Items Fiori app. A custom correction workflow (WRICEF 5 enhancement) is needed to support re-submission of corrected records.</w:t>
            </w:r>
          </w:p>
        </w:tc>
      </w:tr>
    </w:tbl>
    <w:p/>
    <w:p>
      <w:pPr>
        <w:pStyle w:val="Heading2"/>
      </w:pPr>
      <w:r>
        <w:t>2.3  Design Details</w:t>
      </w:r>
    </w:p>
    <w:p>
      <w:pPr>
        <w:spacing w:after="120" w:before="40"/>
      </w:pPr>
      <w:r>
        <w:rPr>
          <w:rFonts w:ascii="Calibri" w:hAnsi="Calibri"/>
          <w:b/>
          <w:color w:val="0070F2"/>
          <w:sz w:val="21"/>
        </w:rPr>
        <w:t xml:space="preserve">Purpose:  </w:t>
      </w:r>
      <w:r>
        <w:rPr>
          <w:rFonts w:ascii="Calibri" w:hAnsi="Calibri"/>
          <w:sz w:val="21"/>
        </w:rPr>
        <w:t>This section provides additional design detail for key configuration components within SAP BRIM for the Billing and Invoicing process.</w:t>
      </w:r>
    </w:p>
    <w:p/>
    <w:p>
      <w:pPr>
        <w:spacing w:after="120" w:before="40"/>
      </w:pPr>
      <w:r>
        <w:rPr>
          <w:rFonts w:ascii="Calibri" w:hAnsi="Calibri"/>
          <w:b/>
          <w:i w:val="0"/>
          <w:color w:val="00144A"/>
          <w:sz w:val="21"/>
        </w:rPr>
        <w:t>Additional Detail: Incoming data from AdOps Central</w:t>
      </w:r>
    </w:p>
    <w:p/>
    <w:tbl>
      <w:tblPr>
        <w:tblStyle w:val="TableGrid"/>
        <w:tblW w:type="auto" w:w="0"/>
        <w:jc w:val="left"/>
        <w:tblLook w:firstColumn="1" w:firstRow="1" w:lastColumn="0" w:lastRow="0" w:noHBand="0" w:noVBand="1" w:val="04A0"/>
      </w:tblPr>
      <w:tblGrid>
        <w:gridCol w:w="2232"/>
        <w:gridCol w:w="2232"/>
        <w:gridCol w:w="2232"/>
        <w:gridCol w:w="2232"/>
      </w:tblGrid>
      <w:tr>
        <w:tc>
          <w:tcPr>
            <w:tcW w:type="dxa" w:w="432"/>
            <w:shd w:val="clear" w:color="auto" w:fill="0070F2"/>
          </w:tcPr>
          <w:p>
            <w:pPr>
              <w:spacing w:after="40" w:before="40"/>
            </w:pPr>
            <w:r>
              <w:rPr>
                <w:rFonts w:ascii="Calibri" w:hAnsi="Calibri"/>
                <w:b/>
                <w:color w:val="FFFFFF"/>
                <w:sz w:val="20"/>
              </w:rPr>
              <w:t>Ref.</w:t>
            </w:r>
          </w:p>
        </w:tc>
        <w:tc>
          <w:tcPr>
            <w:tcW w:type="dxa" w:w="2304"/>
            <w:shd w:val="clear" w:color="auto" w:fill="0070F2"/>
          </w:tcPr>
          <w:p>
            <w:pPr>
              <w:spacing w:after="40" w:before="40"/>
            </w:pPr>
            <w:r>
              <w:rPr>
                <w:rFonts w:ascii="Calibri" w:hAnsi="Calibri"/>
                <w:b/>
                <w:color w:val="FFFFFF"/>
                <w:sz w:val="20"/>
              </w:rPr>
              <w:t>Design Component</w:t>
            </w:r>
          </w:p>
        </w:tc>
        <w:tc>
          <w:tcPr>
            <w:tcW w:type="dxa" w:w="3024"/>
            <w:shd w:val="clear" w:color="auto" w:fill="0070F2"/>
          </w:tcPr>
          <w:p>
            <w:pPr>
              <w:spacing w:after="40" w:before="40"/>
            </w:pPr>
            <w:r>
              <w:rPr>
                <w:rFonts w:ascii="Calibri" w:hAnsi="Calibri"/>
                <w:b/>
                <w:color w:val="FFFFFF"/>
                <w:sz w:val="20"/>
              </w:rPr>
              <w:t>Initial Recommendation</w:t>
            </w:r>
          </w:p>
        </w:tc>
        <w:tc>
          <w:tcPr>
            <w:tcW w:type="dxa" w:w="5040"/>
            <w:shd w:val="clear" w:color="auto" w:fill="0070F2"/>
          </w:tcPr>
          <w:p>
            <w:pPr>
              <w:spacing w:after="40" w:before="40"/>
            </w:pPr>
            <w:r>
              <w:rPr>
                <w:rFonts w:ascii="Calibri" w:hAnsi="Calibri"/>
                <w:b/>
                <w:color w:val="FFFFFF"/>
                <w:sz w:val="20"/>
              </w:rPr>
              <w:t>Design Details</w:t>
            </w:r>
          </w:p>
        </w:tc>
      </w:tr>
      <w:tr>
        <w:tc>
          <w:tcPr>
            <w:tcW w:type="dxa" w:w="2232"/>
            <w:shd w:val="clear" w:color="auto" w:fill="E1F4FF"/>
          </w:tcPr>
          <w:p>
            <w:pPr>
              <w:spacing w:after="40" w:before="40"/>
            </w:pPr>
            <w:r>
              <w:rPr>
                <w:rFonts w:ascii="Calibri" w:hAnsi="Calibri"/>
                <w:b w:val="0"/>
                <w:sz w:val="20"/>
              </w:rPr>
              <w:t>1.</w:t>
            </w:r>
          </w:p>
        </w:tc>
        <w:tc>
          <w:tcPr>
            <w:tcW w:type="dxa" w:w="2232"/>
            <w:shd w:val="clear" w:color="auto" w:fill="E1F4FF"/>
          </w:tcPr>
          <w:p>
            <w:pPr>
              <w:spacing w:after="40" w:before="40"/>
            </w:pPr>
            <w:r>
              <w:rPr>
                <w:rFonts w:ascii="Calibri" w:hAnsi="Calibri"/>
                <w:b w:val="0"/>
                <w:sz w:val="20"/>
              </w:rPr>
              <w:t>BIT (Billable Item) Class</w:t>
            </w:r>
          </w:p>
        </w:tc>
        <w:tc>
          <w:tcPr>
            <w:tcW w:type="dxa" w:w="2232"/>
            <w:shd w:val="clear" w:color="auto" w:fill="E1F4FF"/>
          </w:tcPr>
          <w:p>
            <w:pPr>
              <w:spacing w:after="40" w:before="40"/>
            </w:pPr>
            <w:r>
              <w:rPr>
                <w:rFonts w:ascii="Calibri" w:hAnsi="Calibri"/>
                <w:b w:val="0"/>
                <w:sz w:val="20"/>
              </w:rPr>
              <w:t>Define one BIT class to ingest rated transactions including custom fields.</w:t>
            </w:r>
          </w:p>
        </w:tc>
        <w:tc>
          <w:tcPr>
            <w:tcW w:type="dxa" w:w="2232"/>
            <w:shd w:val="clear" w:color="auto" w:fill="E1F4FF"/>
          </w:tcPr>
          <w:p>
            <w:pPr>
              <w:spacing w:after="40" w:before="40"/>
            </w:pPr>
            <w:r>
              <w:rPr>
                <w:rFonts w:ascii="Calibri" w:hAnsi="Calibri"/>
                <w:b w:val="0"/>
                <w:sz w:val="20"/>
              </w:rPr>
              <w:t>One BIT class will be created to represent CTV/streaming ad impression delivery data. The class will include standard BRIM fields plus custom fields for AdOps Central-specific attributes (e.g., Flight ID, Market Code, Impression Volume). Configuration will be completed during the Build phase.</w:t>
            </w:r>
          </w:p>
        </w:tc>
      </w:tr>
      <w:tr>
        <w:tc>
          <w:tcPr>
            <w:tcW w:type="dxa" w:w="2232"/>
          </w:tcPr>
          <w:p>
            <w:pPr>
              <w:spacing w:after="40" w:before="40"/>
            </w:pPr>
            <w:r>
              <w:rPr>
                <w:rFonts w:ascii="Calibri" w:hAnsi="Calibri"/>
                <w:b w:val="0"/>
                <w:sz w:val="20"/>
              </w:rPr>
              <w:t>2.</w:t>
            </w:r>
          </w:p>
        </w:tc>
        <w:tc>
          <w:tcPr>
            <w:tcW w:type="dxa" w:w="2232"/>
          </w:tcPr>
          <w:p>
            <w:pPr>
              <w:spacing w:after="40" w:before="40"/>
            </w:pPr>
            <w:r>
              <w:rPr>
                <w:rFonts w:ascii="Calibri" w:hAnsi="Calibri"/>
                <w:b w:val="0"/>
                <w:sz w:val="20"/>
              </w:rPr>
              <w:t>Billing Subprocess</w:t>
            </w:r>
          </w:p>
        </w:tc>
        <w:tc>
          <w:tcPr>
            <w:tcW w:type="dxa" w:w="2232"/>
          </w:tcPr>
          <w:p>
            <w:pPr>
              <w:spacing w:after="40" w:before="40"/>
            </w:pPr>
            <w:r>
              <w:rPr>
                <w:rFonts w:ascii="Calibri" w:hAnsi="Calibri"/>
                <w:b w:val="0"/>
                <w:sz w:val="20"/>
              </w:rPr>
              <w:t>Define one subprocess to represent the Connected TV Audience product.</w:t>
            </w:r>
          </w:p>
        </w:tc>
        <w:tc>
          <w:tcPr>
            <w:tcW w:type="dxa" w:w="2232"/>
          </w:tcPr>
          <w:p>
            <w:pPr>
              <w:spacing w:after="40" w:before="40"/>
            </w:pPr>
            <w:r>
              <w:rPr>
                <w:rFonts w:ascii="Calibri" w:hAnsi="Calibri"/>
                <w:b w:val="0"/>
                <w:sz w:val="20"/>
              </w:rPr>
              <w:t>The billing subprocess, together with the BIT Type, describes the business meaning of the billable item. For MVP, one subprocess is defined: CTV Audience Delivery. This subprocess governs how BRIM processes and groups CTV impression-based billing records into billing documents.</w:t>
            </w:r>
          </w:p>
        </w:tc>
      </w:tr>
      <w:tr>
        <w:tc>
          <w:tcPr>
            <w:tcW w:type="dxa" w:w="2232"/>
            <w:shd w:val="clear" w:color="auto" w:fill="E1F4FF"/>
          </w:tcPr>
          <w:p>
            <w:pPr>
              <w:spacing w:after="40" w:before="40"/>
            </w:pPr>
            <w:r>
              <w:rPr>
                <w:rFonts w:ascii="Calibri" w:hAnsi="Calibri"/>
                <w:b w:val="0"/>
                <w:sz w:val="20"/>
              </w:rPr>
              <w:t>3.</w:t>
            </w:r>
          </w:p>
        </w:tc>
        <w:tc>
          <w:tcPr>
            <w:tcW w:type="dxa" w:w="2232"/>
            <w:shd w:val="clear" w:color="auto" w:fill="E1F4FF"/>
          </w:tcPr>
          <w:p>
            <w:pPr>
              <w:spacing w:after="40" w:before="40"/>
            </w:pPr>
            <w:r>
              <w:rPr>
                <w:rFonts w:ascii="Calibri" w:hAnsi="Calibri"/>
                <w:b w:val="0"/>
                <w:sz w:val="20"/>
              </w:rPr>
              <w:t>BIT Types</w:t>
            </w:r>
          </w:p>
        </w:tc>
        <w:tc>
          <w:tcPr>
            <w:tcW w:type="dxa" w:w="2232"/>
            <w:shd w:val="clear" w:color="auto" w:fill="E1F4FF"/>
          </w:tcPr>
          <w:p>
            <w:pPr>
              <w:spacing w:after="40" w:before="40"/>
            </w:pPr>
            <w:r>
              <w:rPr>
                <w:rFonts w:ascii="Calibri" w:hAnsi="Calibri"/>
                <w:b w:val="0"/>
                <w:sz w:val="20"/>
              </w:rPr>
              <w:t>Define 1 BIT type in the system.</w:t>
            </w:r>
          </w:p>
        </w:tc>
        <w:tc>
          <w:tcPr>
            <w:tcW w:type="dxa" w:w="2232"/>
            <w:shd w:val="clear" w:color="auto" w:fill="E1F4FF"/>
          </w:tcPr>
          <w:p>
            <w:pPr>
              <w:spacing w:after="40" w:before="40"/>
            </w:pPr>
            <w:r>
              <w:rPr>
                <w:rFonts w:ascii="Calibri" w:hAnsi="Calibri"/>
                <w:b w:val="0"/>
                <w:sz w:val="20"/>
              </w:rPr>
              <w:t>Per the billing subprocess design, one BIT type is defined: CTV_AUDIENCE. This type is mapped to the CTV Audience Delivery billing subprocess and controls enrichment logic and posting area assignments.</w:t>
            </w:r>
          </w:p>
        </w:tc>
      </w:tr>
      <w:tr>
        <w:tc>
          <w:tcPr>
            <w:tcW w:type="dxa" w:w="2232"/>
          </w:tcPr>
          <w:p>
            <w:pPr>
              <w:spacing w:after="40" w:before="40"/>
            </w:pPr>
            <w:r>
              <w:rPr>
                <w:rFonts w:ascii="Calibri" w:hAnsi="Calibri"/>
                <w:b w:val="0"/>
                <w:sz w:val="20"/>
              </w:rPr>
              <w:t>4.</w:t>
            </w:r>
          </w:p>
        </w:tc>
        <w:tc>
          <w:tcPr>
            <w:tcW w:type="dxa" w:w="2232"/>
          </w:tcPr>
          <w:p>
            <w:pPr>
              <w:spacing w:after="40" w:before="40"/>
            </w:pPr>
            <w:r>
              <w:rPr>
                <w:rFonts w:ascii="Calibri" w:hAnsi="Calibri"/>
                <w:b w:val="0"/>
                <w:sz w:val="20"/>
              </w:rPr>
              <w:t>Exception Reasons for BITs</w:t>
            </w:r>
          </w:p>
        </w:tc>
        <w:tc>
          <w:tcPr>
            <w:tcW w:type="dxa" w:w="2232"/>
          </w:tcPr>
          <w:p>
            <w:pPr>
              <w:spacing w:after="40" w:before="40"/>
            </w:pPr>
            <w:r>
              <w:rPr>
                <w:rFonts w:ascii="Calibri" w:hAnsi="Calibri"/>
                <w:b w:val="0"/>
                <w:sz w:val="20"/>
              </w:rPr>
              <w:t>Define reasons: 1) Erroneous Data  2) Duplicate Entry  3) Missing Customer Mapping</w:t>
            </w:r>
          </w:p>
        </w:tc>
        <w:tc>
          <w:tcPr>
            <w:tcW w:type="dxa" w:w="2232"/>
          </w:tcPr>
          <w:p>
            <w:pPr>
              <w:spacing w:after="40" w:before="40"/>
            </w:pPr>
            <w:r>
              <w:rPr>
                <w:rFonts w:ascii="Calibri" w:hAnsi="Calibri"/>
                <w:b w:val="0"/>
                <w:sz w:val="20"/>
              </w:rPr>
              <w:t>Exception reasons are used to flag BITs that cannot be processed. Finance Operations will review excepted BITs in the Display Billable Items Fiori app, identify the root cause, and coordinate with AdOps Central or the SAP team to resolve.</w:t>
            </w:r>
          </w:p>
        </w:tc>
      </w:tr>
      <w:tr>
        <w:tc>
          <w:tcPr>
            <w:tcW w:type="dxa" w:w="2232"/>
            <w:shd w:val="clear" w:color="auto" w:fill="E1F4FF"/>
          </w:tcPr>
          <w:p>
            <w:pPr>
              <w:spacing w:after="40" w:before="40"/>
            </w:pPr>
            <w:r>
              <w:rPr>
                <w:rFonts w:ascii="Calibri" w:hAnsi="Calibri"/>
                <w:b w:val="0"/>
                <w:sz w:val="20"/>
              </w:rPr>
              <w:t>5.</w:t>
            </w:r>
          </w:p>
        </w:tc>
        <w:tc>
          <w:tcPr>
            <w:tcW w:type="dxa" w:w="2232"/>
            <w:shd w:val="clear" w:color="auto" w:fill="E1F4FF"/>
          </w:tcPr>
          <w:p>
            <w:pPr>
              <w:spacing w:after="40" w:before="40"/>
            </w:pPr>
            <w:r>
              <w:rPr>
                <w:rFonts w:ascii="Calibri" w:hAnsi="Calibri"/>
                <w:b w:val="0"/>
                <w:sz w:val="20"/>
              </w:rPr>
              <w:t>Account Assignments for Billable Items</w:t>
            </w:r>
          </w:p>
        </w:tc>
        <w:tc>
          <w:tcPr>
            <w:tcW w:type="dxa" w:w="2232"/>
            <w:shd w:val="clear" w:color="auto" w:fill="E1F4FF"/>
          </w:tcPr>
          <w:p>
            <w:pPr>
              <w:spacing w:after="40" w:before="40"/>
            </w:pPr>
            <w:r>
              <w:rPr>
                <w:rFonts w:ascii="Calibri" w:hAnsi="Calibri"/>
                <w:b w:val="0"/>
                <w:sz w:val="20"/>
              </w:rPr>
              <w:t>Maintain posting areas 8120, 8121, and 8122 for GL account derivation.</w:t>
            </w:r>
          </w:p>
        </w:tc>
        <w:tc>
          <w:tcPr>
            <w:tcW w:type="dxa" w:w="2232"/>
            <w:shd w:val="clear" w:color="auto" w:fill="E1F4FF"/>
          </w:tcPr>
          <w:p>
            <w:pPr>
              <w:spacing w:after="40" w:before="40"/>
            </w:pPr>
            <w:r>
              <w:rPr>
                <w:rFonts w:ascii="Calibri" w:hAnsi="Calibri"/>
                <w:b w:val="0"/>
                <w:sz w:val="20"/>
              </w:rPr>
              <w:t>When BITs are uploaded into SAP BRIM from AdOps Central, posting areas control the GL account assignment for billing document creation. Posting areas 8120 (revenue), 8121 (receivables), and 8122 (tax placeholder) will be used. The SAP team will configure these during the Build phase.</w:t>
            </w:r>
          </w:p>
        </w:tc>
      </w:tr>
      <w:tr>
        <w:tc>
          <w:tcPr>
            <w:tcW w:type="dxa" w:w="2232"/>
          </w:tcPr>
          <w:p>
            <w:pPr>
              <w:spacing w:after="40" w:before="40"/>
            </w:pPr>
            <w:r>
              <w:rPr>
                <w:rFonts w:ascii="Calibri" w:hAnsi="Calibri"/>
                <w:b w:val="0"/>
                <w:sz w:val="20"/>
              </w:rPr>
              <w:t>6.</w:t>
            </w:r>
          </w:p>
        </w:tc>
        <w:tc>
          <w:tcPr>
            <w:tcW w:type="dxa" w:w="2232"/>
          </w:tcPr>
          <w:p>
            <w:pPr>
              <w:spacing w:after="40" w:before="40"/>
            </w:pPr>
            <w:r>
              <w:rPr>
                <w:rFonts w:ascii="Calibri" w:hAnsi="Calibri"/>
                <w:b w:val="0"/>
                <w:sz w:val="20"/>
              </w:rPr>
              <w:t>Invoice Grouping</w:t>
            </w:r>
          </w:p>
        </w:tc>
        <w:tc>
          <w:tcPr>
            <w:tcW w:type="dxa" w:w="2232"/>
          </w:tcPr>
          <w:p>
            <w:pPr>
              <w:spacing w:after="40" w:before="40"/>
            </w:pPr>
            <w:r>
              <w:rPr>
                <w:rFonts w:ascii="Calibri" w:hAnsi="Calibri"/>
                <w:b w:val="0"/>
                <w:sz w:val="20"/>
              </w:rPr>
              <w:t>Group BITs into one consolidated invoice per USO Order ID per customer.</w:t>
            </w:r>
          </w:p>
        </w:tc>
        <w:tc>
          <w:tcPr>
            <w:tcW w:type="dxa" w:w="2232"/>
          </w:tcPr>
          <w:p>
            <w:pPr>
              <w:spacing w:after="40" w:before="40"/>
            </w:pPr>
            <w:r>
              <w:rPr>
                <w:rFonts w:ascii="Calibri" w:hAnsi="Calibri"/>
                <w:b w:val="0"/>
                <w:sz w:val="20"/>
              </w:rPr>
              <w:t>Each USO Order ID from AdOps Central will produce one consolidated invoice per customer. The grouping key is configured in BRIM using the custom USO Order ID field mapped at BIT upload. This aligns with Nexstream's requirement to present a single invoice per advertising order.</w:t>
            </w:r>
          </w:p>
        </w:tc>
      </w:tr>
      <w:tr>
        <w:tc>
          <w:tcPr>
            <w:tcW w:type="dxa" w:w="2232"/>
            <w:shd w:val="clear" w:color="auto" w:fill="E1F4FF"/>
          </w:tcPr>
          <w:p>
            <w:pPr>
              <w:spacing w:after="40" w:before="40"/>
            </w:pPr>
            <w:r>
              <w:rPr>
                <w:rFonts w:ascii="Calibri" w:hAnsi="Calibri"/>
                <w:b w:val="0"/>
                <w:sz w:val="20"/>
              </w:rPr>
              <w:t>7.</w:t>
            </w:r>
          </w:p>
        </w:tc>
        <w:tc>
          <w:tcPr>
            <w:tcW w:type="dxa" w:w="2232"/>
            <w:shd w:val="clear" w:color="auto" w:fill="E1F4FF"/>
          </w:tcPr>
          <w:p>
            <w:pPr>
              <w:spacing w:after="40" w:before="40"/>
            </w:pPr>
            <w:r>
              <w:rPr>
                <w:rFonts w:ascii="Calibri" w:hAnsi="Calibri"/>
                <w:b w:val="0"/>
                <w:sz w:val="20"/>
              </w:rPr>
              <w:t>Invoice PDF Layout</w:t>
            </w:r>
          </w:p>
        </w:tc>
        <w:tc>
          <w:tcPr>
            <w:tcW w:type="dxa" w:w="2232"/>
            <w:shd w:val="clear" w:color="auto" w:fill="E1F4FF"/>
          </w:tcPr>
          <w:p>
            <w:pPr>
              <w:spacing w:after="40" w:before="40"/>
            </w:pPr>
            <w:r>
              <w:rPr>
                <w:rFonts w:ascii="Calibri" w:hAnsi="Calibri"/>
                <w:b w:val="0"/>
                <w:sz w:val="20"/>
              </w:rPr>
              <w:t>Custom invoice PDF based on Nexstream branding standards.</w:t>
            </w:r>
          </w:p>
        </w:tc>
        <w:tc>
          <w:tcPr>
            <w:tcW w:type="dxa" w:w="2232"/>
            <w:shd w:val="clear" w:color="auto" w:fill="E1F4FF"/>
          </w:tcPr>
          <w:p>
            <w:pPr>
              <w:spacing w:after="40" w:before="40"/>
            </w:pPr>
            <w:r>
              <w:rPr>
                <w:rFonts w:ascii="Calibri" w:hAnsi="Calibri"/>
                <w:b w:val="0"/>
                <w:sz w:val="20"/>
              </w:rPr>
              <w:t>The standard SAP BRIM invoice form will be customised (WRICEF 7) to include: Nexstream logo, invoice number, billing period, campaign/order details, impression volume delivered, CPM rate, gross amount, payment terms, and remit-to address. The layout will be approved by Nexstream Finance Operations and Customer Success before Build.</w:t>
            </w:r>
          </w:p>
        </w:tc>
      </w:tr>
      <w:tr>
        <w:tc>
          <w:tcPr>
            <w:tcW w:type="dxa" w:w="2232"/>
          </w:tcPr>
          <w:p>
            <w:pPr>
              <w:spacing w:after="40" w:before="40"/>
            </w:pPr>
            <w:r>
              <w:rPr>
                <w:rFonts w:ascii="Calibri" w:hAnsi="Calibri"/>
                <w:b w:val="0"/>
                <w:sz w:val="20"/>
              </w:rPr>
              <w:t>8.</w:t>
            </w:r>
          </w:p>
        </w:tc>
        <w:tc>
          <w:tcPr>
            <w:tcW w:type="dxa" w:w="2232"/>
          </w:tcPr>
          <w:p>
            <w:pPr>
              <w:spacing w:after="40" w:before="40"/>
            </w:pPr>
            <w:r>
              <w:rPr>
                <w:rFonts w:ascii="Calibri" w:hAnsi="Calibri"/>
                <w:b w:val="0"/>
                <w:sz w:val="20"/>
              </w:rPr>
              <w:t>Preliminary Invoicing</w:t>
            </w:r>
          </w:p>
        </w:tc>
        <w:tc>
          <w:tcPr>
            <w:tcW w:type="dxa" w:w="2232"/>
          </w:tcPr>
          <w:p>
            <w:pPr>
              <w:spacing w:after="40" w:before="40"/>
            </w:pPr>
            <w:r>
              <w:rPr>
                <w:rFonts w:ascii="Calibri" w:hAnsi="Calibri"/>
                <w:b w:val="0"/>
                <w:sz w:val="20"/>
              </w:rPr>
              <w:t>Enable preliminary invoicing for high-value or new customer segments.</w:t>
            </w:r>
          </w:p>
        </w:tc>
        <w:tc>
          <w:tcPr>
            <w:tcW w:type="dxa" w:w="2232"/>
          </w:tcPr>
          <w:p>
            <w:pPr>
              <w:spacing w:after="40" w:before="40"/>
            </w:pPr>
            <w:r>
              <w:rPr>
                <w:rFonts w:ascii="Calibri" w:hAnsi="Calibri"/>
                <w:b w:val="0"/>
                <w:sz w:val="20"/>
              </w:rPr>
              <w:t>Preliminary invoices are generated but not posted or distributed until reviewed by Finance Operations. The review is done via the 'Process Dispute Cases from Invoicing' Fiori app (FKKINV_CFC). Finance Operations can accept (release) or reject the preliminary invoice. Criteria for triggering preliminary invoicing will be defined during the Build phase.</w:t>
            </w:r>
          </w:p>
        </w:tc>
      </w:tr>
    </w:tbl>
    <w:p/>
    <w:p>
      <w:pPr>
        <w:spacing w:after="120" w:before="40"/>
      </w:pPr>
      <w:r>
        <w:rPr>
          <w:rFonts w:ascii="Calibri" w:hAnsi="Calibri"/>
          <w:b/>
          <w:i w:val="0"/>
          <w:color w:val="00144A"/>
          <w:sz w:val="21"/>
        </w:rPr>
        <w:t>AdOps Central Finance Export – Field Mapping to SAP BRIM</w:t>
      </w:r>
    </w:p>
    <w:p/>
    <w:tbl>
      <w:tblPr>
        <w:tblStyle w:val="TableGrid"/>
        <w:tblW w:type="auto" w:w="0"/>
        <w:jc w:val="left"/>
        <w:tblLook w:firstColumn="1" w:firstRow="1" w:lastColumn="0" w:lastRow="0" w:noHBand="0" w:noVBand="1" w:val="04A0"/>
      </w:tblPr>
      <w:tblGrid>
        <w:gridCol w:w="2976"/>
        <w:gridCol w:w="2976"/>
        <w:gridCol w:w="2976"/>
      </w:tblGrid>
      <w:tr>
        <w:tc>
          <w:tcPr>
            <w:tcW w:type="dxa" w:w="2592"/>
            <w:shd w:val="clear" w:color="auto" w:fill="0070F2"/>
          </w:tcPr>
          <w:p>
            <w:pPr>
              <w:spacing w:after="40" w:before="40"/>
            </w:pPr>
            <w:r>
              <w:rPr>
                <w:rFonts w:ascii="Calibri" w:hAnsi="Calibri"/>
                <w:b/>
                <w:color w:val="FFFFFF"/>
                <w:sz w:val="20"/>
              </w:rPr>
              <w:t>Fields from AdOps Central</w:t>
            </w:r>
          </w:p>
        </w:tc>
        <w:tc>
          <w:tcPr>
            <w:tcW w:type="dxa" w:w="5760"/>
            <w:shd w:val="clear" w:color="auto" w:fill="0070F2"/>
          </w:tcPr>
          <w:p>
            <w:pPr>
              <w:spacing w:after="40" w:before="40"/>
            </w:pPr>
            <w:r>
              <w:rPr>
                <w:rFonts w:ascii="Calibri" w:hAnsi="Calibri"/>
                <w:b/>
                <w:color w:val="FFFFFF"/>
                <w:sz w:val="20"/>
              </w:rPr>
              <w:t>Interpretation by SAP BRIM CI</w:t>
            </w:r>
          </w:p>
        </w:tc>
        <w:tc>
          <w:tcPr>
            <w:tcW w:type="dxa" w:w="2448"/>
            <w:shd w:val="clear" w:color="auto" w:fill="0070F2"/>
          </w:tcPr>
          <w:p>
            <w:pPr>
              <w:spacing w:after="40" w:before="40"/>
            </w:pPr>
            <w:r>
              <w:rPr>
                <w:rFonts w:ascii="Calibri" w:hAnsi="Calibri"/>
                <w:b/>
                <w:color w:val="FFFFFF"/>
                <w:sz w:val="20"/>
              </w:rPr>
              <w:t>Example Data</w:t>
            </w:r>
          </w:p>
        </w:tc>
      </w:tr>
      <w:tr>
        <w:tc>
          <w:tcPr>
            <w:tcW w:type="dxa" w:w="2976"/>
            <w:shd w:val="clear" w:color="auto" w:fill="E1F4FF"/>
          </w:tcPr>
          <w:p>
            <w:pPr>
              <w:spacing w:after="40" w:before="40"/>
            </w:pPr>
            <w:r>
              <w:rPr>
                <w:rFonts w:ascii="Calibri" w:hAnsi="Calibri"/>
                <w:b w:val="0"/>
                <w:sz w:val="20"/>
              </w:rPr>
              <w:t>Line Item ID</w:t>
            </w:r>
          </w:p>
        </w:tc>
        <w:tc>
          <w:tcPr>
            <w:tcW w:type="dxa" w:w="2976"/>
            <w:shd w:val="clear" w:color="auto" w:fill="E1F4FF"/>
          </w:tcPr>
          <w:p>
            <w:pPr>
              <w:spacing w:after="40" w:before="40"/>
            </w:pPr>
            <w:r>
              <w:rPr>
                <w:rFonts w:ascii="Calibri" w:hAnsi="Calibri"/>
                <w:b w:val="0"/>
                <w:sz w:val="20"/>
              </w:rPr>
              <w:t>Used to generate a unique ID for duplicate checks</w:t>
            </w:r>
          </w:p>
        </w:tc>
        <w:tc>
          <w:tcPr>
            <w:tcW w:type="dxa" w:w="2976"/>
            <w:shd w:val="clear" w:color="auto" w:fill="E1F4FF"/>
          </w:tcPr>
          <w:p>
            <w:pPr>
              <w:spacing w:after="40" w:before="40"/>
            </w:pPr>
            <w:r>
              <w:rPr>
                <w:rFonts w:ascii="Calibri" w:hAnsi="Calibri"/>
                <w:b w:val="0"/>
                <w:sz w:val="20"/>
              </w:rPr>
              <w:t>LI-20240415-001</w:t>
            </w:r>
          </w:p>
        </w:tc>
      </w:tr>
      <w:tr>
        <w:tc>
          <w:tcPr>
            <w:tcW w:type="dxa" w:w="2976"/>
          </w:tcPr>
          <w:p>
            <w:pPr>
              <w:spacing w:after="40" w:before="40"/>
            </w:pPr>
            <w:r>
              <w:rPr>
                <w:rFonts w:ascii="Calibri" w:hAnsi="Calibri"/>
                <w:b w:val="0"/>
                <w:sz w:val="20"/>
              </w:rPr>
              <w:t>Customer ID</w:t>
            </w:r>
          </w:p>
        </w:tc>
        <w:tc>
          <w:tcPr>
            <w:tcW w:type="dxa" w:w="2976"/>
          </w:tcPr>
          <w:p>
            <w:pPr>
              <w:spacing w:after="40" w:before="40"/>
            </w:pPr>
            <w:r>
              <w:rPr>
                <w:rFonts w:ascii="Calibri" w:hAnsi="Calibri"/>
                <w:b w:val="0"/>
                <w:sz w:val="20"/>
              </w:rPr>
              <w:t>Salesforce CRM Customer ID; used to derive Business Partner in SAP BRIM</w:t>
            </w:r>
          </w:p>
        </w:tc>
        <w:tc>
          <w:tcPr>
            <w:tcW w:type="dxa" w:w="2976"/>
          </w:tcPr>
          <w:p>
            <w:pPr>
              <w:spacing w:after="40" w:before="40"/>
            </w:pPr>
            <w:r>
              <w:rPr>
                <w:rFonts w:ascii="Calibri" w:hAnsi="Calibri"/>
                <w:b w:val="0"/>
                <w:sz w:val="20"/>
              </w:rPr>
              <w:t>NXCST-8821</w:t>
            </w:r>
          </w:p>
        </w:tc>
      </w:tr>
      <w:tr>
        <w:tc>
          <w:tcPr>
            <w:tcW w:type="dxa" w:w="2976"/>
            <w:shd w:val="clear" w:color="auto" w:fill="E1F4FF"/>
          </w:tcPr>
          <w:p>
            <w:pPr>
              <w:spacing w:after="40" w:before="40"/>
            </w:pPr>
            <w:r>
              <w:rPr>
                <w:rFonts w:ascii="Calibri" w:hAnsi="Calibri"/>
                <w:b w:val="0"/>
                <w:sz w:val="20"/>
              </w:rPr>
              <w:t>USO Order ID</w:t>
            </w:r>
          </w:p>
        </w:tc>
        <w:tc>
          <w:tcPr>
            <w:tcW w:type="dxa" w:w="2976"/>
            <w:shd w:val="clear" w:color="auto" w:fill="E1F4FF"/>
          </w:tcPr>
          <w:p>
            <w:pPr>
              <w:spacing w:after="40" w:before="40"/>
            </w:pPr>
            <w:r>
              <w:rPr>
                <w:rFonts w:ascii="Calibri" w:hAnsi="Calibri"/>
                <w:b w:val="0"/>
                <w:sz w:val="20"/>
              </w:rPr>
              <w:t>Unique Sales Order ID; used as invoice grouping key</w:t>
            </w:r>
          </w:p>
        </w:tc>
        <w:tc>
          <w:tcPr>
            <w:tcW w:type="dxa" w:w="2976"/>
            <w:shd w:val="clear" w:color="auto" w:fill="E1F4FF"/>
          </w:tcPr>
          <w:p>
            <w:pPr>
              <w:spacing w:after="40" w:before="40"/>
            </w:pPr>
            <w:r>
              <w:rPr>
                <w:rFonts w:ascii="Calibri" w:hAnsi="Calibri"/>
                <w:b w:val="0"/>
                <w:sz w:val="20"/>
              </w:rPr>
              <w:t>USO-4705322</w:t>
            </w:r>
          </w:p>
        </w:tc>
      </w:tr>
      <w:tr>
        <w:tc>
          <w:tcPr>
            <w:tcW w:type="dxa" w:w="2976"/>
          </w:tcPr>
          <w:p>
            <w:pPr>
              <w:spacing w:after="40" w:before="40"/>
            </w:pPr>
            <w:r>
              <w:rPr>
                <w:rFonts w:ascii="Calibri" w:hAnsi="Calibri"/>
                <w:b w:val="0"/>
                <w:sz w:val="20"/>
              </w:rPr>
              <w:t>Deal ID</w:t>
            </w:r>
          </w:p>
        </w:tc>
        <w:tc>
          <w:tcPr>
            <w:tcW w:type="dxa" w:w="2976"/>
          </w:tcPr>
          <w:p>
            <w:pPr>
              <w:spacing w:after="40" w:before="40"/>
            </w:pPr>
            <w:r>
              <w:rPr>
                <w:rFonts w:ascii="Calibri" w:hAnsi="Calibri"/>
                <w:b w:val="0"/>
                <w:sz w:val="20"/>
              </w:rPr>
              <w:t>AdOps Central Deal ID; used as secondary duplicate-check key</w:t>
            </w:r>
          </w:p>
        </w:tc>
        <w:tc>
          <w:tcPr>
            <w:tcW w:type="dxa" w:w="2976"/>
          </w:tcPr>
          <w:p>
            <w:pPr>
              <w:spacing w:after="40" w:before="40"/>
            </w:pPr>
            <w:r>
              <w:rPr>
                <w:rFonts w:ascii="Calibri" w:hAnsi="Calibri"/>
                <w:b w:val="0"/>
                <w:sz w:val="20"/>
              </w:rPr>
              <w:t>DEAL-77423</w:t>
            </w:r>
          </w:p>
        </w:tc>
      </w:tr>
      <w:tr>
        <w:tc>
          <w:tcPr>
            <w:tcW w:type="dxa" w:w="2976"/>
            <w:shd w:val="clear" w:color="auto" w:fill="E1F4FF"/>
          </w:tcPr>
          <w:p>
            <w:pPr>
              <w:spacing w:after="40" w:before="40"/>
            </w:pPr>
            <w:r>
              <w:rPr>
                <w:rFonts w:ascii="Calibri" w:hAnsi="Calibri"/>
                <w:b w:val="0"/>
                <w:sz w:val="20"/>
              </w:rPr>
              <w:t>Invoice ID</w:t>
            </w:r>
          </w:p>
        </w:tc>
        <w:tc>
          <w:tcPr>
            <w:tcW w:type="dxa" w:w="2976"/>
            <w:shd w:val="clear" w:color="auto" w:fill="E1F4FF"/>
          </w:tcPr>
          <w:p>
            <w:pPr>
              <w:spacing w:after="40" w:before="40"/>
            </w:pPr>
            <w:r>
              <w:rPr>
                <w:rFonts w:ascii="Calibri" w:hAnsi="Calibri"/>
                <w:b w:val="0"/>
                <w:sz w:val="20"/>
              </w:rPr>
              <w:t>Pre-assigned invoice reference from AdOps Central; used for duplicate checks</w:t>
            </w:r>
          </w:p>
        </w:tc>
        <w:tc>
          <w:tcPr>
            <w:tcW w:type="dxa" w:w="2976"/>
            <w:shd w:val="clear" w:color="auto" w:fill="E1F4FF"/>
          </w:tcPr>
          <w:p>
            <w:pPr>
              <w:spacing w:after="40" w:before="40"/>
            </w:pPr>
            <w:r>
              <w:rPr>
                <w:rFonts w:ascii="Calibri" w:hAnsi="Calibri"/>
                <w:b w:val="0"/>
                <w:sz w:val="20"/>
              </w:rPr>
              <w:t>INV-MVP-0041</w:t>
            </w:r>
          </w:p>
        </w:tc>
      </w:tr>
      <w:tr>
        <w:tc>
          <w:tcPr>
            <w:tcW w:type="dxa" w:w="2976"/>
          </w:tcPr>
          <w:p>
            <w:pPr>
              <w:spacing w:after="40" w:before="40"/>
            </w:pPr>
            <w:r>
              <w:rPr>
                <w:rFonts w:ascii="Calibri" w:hAnsi="Calibri"/>
                <w:b w:val="0"/>
                <w:sz w:val="20"/>
              </w:rPr>
              <w:t>Package ID</w:t>
            </w:r>
          </w:p>
        </w:tc>
        <w:tc>
          <w:tcPr>
            <w:tcW w:type="dxa" w:w="2976"/>
          </w:tcPr>
          <w:p>
            <w:pPr>
              <w:spacing w:after="40" w:before="40"/>
            </w:pPr>
            <w:r>
              <w:rPr>
                <w:rFonts w:ascii="Calibri" w:hAnsi="Calibri"/>
                <w:b w:val="0"/>
                <w:sz w:val="20"/>
              </w:rPr>
              <w:t>Used to derive the Material Group (CTV Audience) in SAP Product Master Data</w:t>
            </w:r>
          </w:p>
        </w:tc>
        <w:tc>
          <w:tcPr>
            <w:tcW w:type="dxa" w:w="2976"/>
          </w:tcPr>
          <w:p>
            <w:pPr>
              <w:spacing w:after="40" w:before="40"/>
            </w:pPr>
            <w:r>
              <w:rPr>
                <w:rFonts w:ascii="Calibri" w:hAnsi="Calibri"/>
                <w:b w:val="0"/>
                <w:sz w:val="20"/>
              </w:rPr>
              <w:t>510</w:t>
            </w:r>
          </w:p>
        </w:tc>
      </w:tr>
      <w:tr>
        <w:tc>
          <w:tcPr>
            <w:tcW w:type="dxa" w:w="2976"/>
            <w:shd w:val="clear" w:color="auto" w:fill="E1F4FF"/>
          </w:tcPr>
          <w:p>
            <w:pPr>
              <w:spacing w:after="40" w:before="40"/>
            </w:pPr>
            <w:r>
              <w:rPr>
                <w:rFonts w:ascii="Calibri" w:hAnsi="Calibri"/>
                <w:b w:val="0"/>
                <w:sz w:val="20"/>
              </w:rPr>
              <w:t>Package Name</w:t>
            </w:r>
          </w:p>
        </w:tc>
        <w:tc>
          <w:tcPr>
            <w:tcW w:type="dxa" w:w="2976"/>
            <w:shd w:val="clear" w:color="auto" w:fill="E1F4FF"/>
          </w:tcPr>
          <w:p>
            <w:pPr>
              <w:spacing w:after="40" w:before="40"/>
            </w:pPr>
            <w:r>
              <w:rPr>
                <w:rFonts w:ascii="Calibri" w:hAnsi="Calibri"/>
                <w:b w:val="0"/>
                <w:sz w:val="20"/>
              </w:rPr>
              <w:t>Used to derive the Material Group Description in SAP Product Master Data</w:t>
            </w:r>
          </w:p>
        </w:tc>
        <w:tc>
          <w:tcPr>
            <w:tcW w:type="dxa" w:w="2976"/>
            <w:shd w:val="clear" w:color="auto" w:fill="E1F4FF"/>
          </w:tcPr>
          <w:p>
            <w:pPr>
              <w:spacing w:after="40" w:before="40"/>
            </w:pPr>
            <w:r>
              <w:rPr>
                <w:rFonts w:ascii="Calibri" w:hAnsi="Calibri"/>
                <w:b w:val="0"/>
                <w:sz w:val="20"/>
              </w:rPr>
              <w:t>Connected TV Audience</w:t>
            </w:r>
          </w:p>
        </w:tc>
      </w:tr>
      <w:tr>
        <w:tc>
          <w:tcPr>
            <w:tcW w:type="dxa" w:w="2976"/>
          </w:tcPr>
          <w:p>
            <w:pPr>
              <w:spacing w:after="40" w:before="40"/>
            </w:pPr>
            <w:r>
              <w:rPr>
                <w:rFonts w:ascii="Calibri" w:hAnsi="Calibri"/>
                <w:b w:val="0"/>
                <w:sz w:val="20"/>
              </w:rPr>
              <w:t>Product ID</w:t>
            </w:r>
          </w:p>
        </w:tc>
        <w:tc>
          <w:tcPr>
            <w:tcW w:type="dxa" w:w="2976"/>
          </w:tcPr>
          <w:p>
            <w:pPr>
              <w:spacing w:after="40" w:before="40"/>
            </w:pPr>
            <w:r>
              <w:rPr>
                <w:rFonts w:ascii="Calibri" w:hAnsi="Calibri"/>
                <w:b w:val="0"/>
                <w:sz w:val="20"/>
              </w:rPr>
              <w:t>Used to derive Product ID in SAP Product Master Data</w:t>
            </w:r>
          </w:p>
        </w:tc>
        <w:tc>
          <w:tcPr>
            <w:tcW w:type="dxa" w:w="2976"/>
          </w:tcPr>
          <w:p>
            <w:pPr>
              <w:spacing w:after="40" w:before="40"/>
            </w:pPr>
            <w:r>
              <w:rPr>
                <w:rFonts w:ascii="Calibri" w:hAnsi="Calibri"/>
                <w:b w:val="0"/>
                <w:sz w:val="20"/>
              </w:rPr>
              <w:t>510</w:t>
            </w:r>
          </w:p>
        </w:tc>
      </w:tr>
      <w:tr>
        <w:tc>
          <w:tcPr>
            <w:tcW w:type="dxa" w:w="2976"/>
            <w:shd w:val="clear" w:color="auto" w:fill="E1F4FF"/>
          </w:tcPr>
          <w:p>
            <w:pPr>
              <w:spacing w:after="40" w:before="40"/>
            </w:pPr>
            <w:r>
              <w:rPr>
                <w:rFonts w:ascii="Calibri" w:hAnsi="Calibri"/>
                <w:b w:val="0"/>
                <w:sz w:val="20"/>
              </w:rPr>
              <w:t>Product Name</w:t>
            </w:r>
          </w:p>
        </w:tc>
        <w:tc>
          <w:tcPr>
            <w:tcW w:type="dxa" w:w="2976"/>
            <w:shd w:val="clear" w:color="auto" w:fill="E1F4FF"/>
          </w:tcPr>
          <w:p>
            <w:pPr>
              <w:spacing w:after="40" w:before="40"/>
            </w:pPr>
            <w:r>
              <w:rPr>
                <w:rFonts w:ascii="Calibri" w:hAnsi="Calibri"/>
                <w:b w:val="0"/>
                <w:sz w:val="20"/>
              </w:rPr>
              <w:t>Used to derive Product Name in SAP Product Master Data</w:t>
            </w:r>
          </w:p>
        </w:tc>
        <w:tc>
          <w:tcPr>
            <w:tcW w:type="dxa" w:w="2976"/>
            <w:shd w:val="clear" w:color="auto" w:fill="E1F4FF"/>
          </w:tcPr>
          <w:p>
            <w:pPr>
              <w:spacing w:after="40" w:before="40"/>
            </w:pPr>
            <w:r>
              <w:rPr>
                <w:rFonts w:ascii="Calibri" w:hAnsi="Calibri"/>
                <w:b w:val="0"/>
                <w:sz w:val="20"/>
              </w:rPr>
              <w:t>CTV Audience Delivery</w:t>
            </w:r>
          </w:p>
        </w:tc>
      </w:tr>
      <w:tr>
        <w:tc>
          <w:tcPr>
            <w:tcW w:type="dxa" w:w="2976"/>
          </w:tcPr>
          <w:p>
            <w:pPr>
              <w:spacing w:after="40" w:before="40"/>
            </w:pPr>
            <w:r>
              <w:rPr>
                <w:rFonts w:ascii="Calibri" w:hAnsi="Calibri"/>
                <w:b w:val="0"/>
                <w:sz w:val="20"/>
              </w:rPr>
              <w:t>Market Code</w:t>
            </w:r>
          </w:p>
        </w:tc>
        <w:tc>
          <w:tcPr>
            <w:tcW w:type="dxa" w:w="2976"/>
          </w:tcPr>
          <w:p>
            <w:pPr>
              <w:spacing w:after="40" w:before="40"/>
            </w:pPr>
            <w:r>
              <w:rPr>
                <w:rFonts w:ascii="Calibri" w:hAnsi="Calibri"/>
                <w:b w:val="0"/>
                <w:sz w:val="20"/>
              </w:rPr>
              <w:t>Identifies the Nexstream market/DMA; used to derive Profit Center</w:t>
            </w:r>
          </w:p>
        </w:tc>
        <w:tc>
          <w:tcPr>
            <w:tcW w:type="dxa" w:w="2976"/>
          </w:tcPr>
          <w:p>
            <w:pPr>
              <w:spacing w:after="40" w:before="40"/>
            </w:pPr>
            <w:r>
              <w:rPr>
                <w:rFonts w:ascii="Calibri" w:hAnsi="Calibri"/>
                <w:b w:val="0"/>
                <w:sz w:val="20"/>
              </w:rPr>
              <w:t>NYC</w:t>
            </w:r>
          </w:p>
        </w:tc>
      </w:tr>
      <w:tr>
        <w:tc>
          <w:tcPr>
            <w:tcW w:type="dxa" w:w="2976"/>
            <w:shd w:val="clear" w:color="auto" w:fill="E1F4FF"/>
          </w:tcPr>
          <w:p>
            <w:pPr>
              <w:spacing w:after="40" w:before="40"/>
            </w:pPr>
            <w:r>
              <w:rPr>
                <w:rFonts w:ascii="Calibri" w:hAnsi="Calibri"/>
                <w:b w:val="0"/>
                <w:sz w:val="20"/>
              </w:rPr>
              <w:t>Flight Start Date</w:t>
            </w:r>
          </w:p>
        </w:tc>
        <w:tc>
          <w:tcPr>
            <w:tcW w:type="dxa" w:w="2976"/>
            <w:shd w:val="clear" w:color="auto" w:fill="E1F4FF"/>
          </w:tcPr>
          <w:p>
            <w:pPr>
              <w:spacing w:after="40" w:before="40"/>
            </w:pPr>
            <w:r>
              <w:rPr>
                <w:rFonts w:ascii="Calibri" w:hAnsi="Calibri"/>
                <w:b w:val="0"/>
                <w:sz w:val="20"/>
              </w:rPr>
              <w:t>Campaign flight start date; used to define billing period start</w:t>
            </w:r>
          </w:p>
        </w:tc>
        <w:tc>
          <w:tcPr>
            <w:tcW w:type="dxa" w:w="2976"/>
            <w:shd w:val="clear" w:color="auto" w:fill="E1F4FF"/>
          </w:tcPr>
          <w:p>
            <w:pPr>
              <w:spacing w:after="40" w:before="40"/>
            </w:pPr>
            <w:r>
              <w:rPr>
                <w:rFonts w:ascii="Calibri" w:hAnsi="Calibri"/>
                <w:b w:val="0"/>
                <w:sz w:val="20"/>
              </w:rPr>
              <w:t>2026-03-01</w:t>
            </w:r>
          </w:p>
        </w:tc>
      </w:tr>
      <w:tr>
        <w:tc>
          <w:tcPr>
            <w:tcW w:type="dxa" w:w="2976"/>
          </w:tcPr>
          <w:p>
            <w:pPr>
              <w:spacing w:after="40" w:before="40"/>
            </w:pPr>
            <w:r>
              <w:rPr>
                <w:rFonts w:ascii="Calibri" w:hAnsi="Calibri"/>
                <w:b w:val="0"/>
                <w:sz w:val="20"/>
              </w:rPr>
              <w:t>Flight End Date</w:t>
            </w:r>
          </w:p>
        </w:tc>
        <w:tc>
          <w:tcPr>
            <w:tcW w:type="dxa" w:w="2976"/>
          </w:tcPr>
          <w:p>
            <w:pPr>
              <w:spacing w:after="40" w:before="40"/>
            </w:pPr>
            <w:r>
              <w:rPr>
                <w:rFonts w:ascii="Calibri" w:hAnsi="Calibri"/>
                <w:b w:val="0"/>
                <w:sz w:val="20"/>
              </w:rPr>
              <w:t>Campaign flight end date; used to define billing period end</w:t>
            </w:r>
          </w:p>
        </w:tc>
        <w:tc>
          <w:tcPr>
            <w:tcW w:type="dxa" w:w="2976"/>
          </w:tcPr>
          <w:p>
            <w:pPr>
              <w:spacing w:after="40" w:before="40"/>
            </w:pPr>
            <w:r>
              <w:rPr>
                <w:rFonts w:ascii="Calibri" w:hAnsi="Calibri"/>
                <w:b w:val="0"/>
                <w:sz w:val="20"/>
              </w:rPr>
              <w:t>2026-03-31</w:t>
            </w:r>
          </w:p>
        </w:tc>
      </w:tr>
      <w:tr>
        <w:tc>
          <w:tcPr>
            <w:tcW w:type="dxa" w:w="2976"/>
            <w:shd w:val="clear" w:color="auto" w:fill="E1F4FF"/>
          </w:tcPr>
          <w:p>
            <w:pPr>
              <w:spacing w:after="40" w:before="40"/>
            </w:pPr>
            <w:r>
              <w:rPr>
                <w:rFonts w:ascii="Calibri" w:hAnsi="Calibri"/>
                <w:b w:val="0"/>
                <w:sz w:val="20"/>
              </w:rPr>
              <w:t>Impression Volume</w:t>
            </w:r>
          </w:p>
        </w:tc>
        <w:tc>
          <w:tcPr>
            <w:tcW w:type="dxa" w:w="2976"/>
            <w:shd w:val="clear" w:color="auto" w:fill="E1F4FF"/>
          </w:tcPr>
          <w:p>
            <w:pPr>
              <w:spacing w:after="40" w:before="40"/>
            </w:pPr>
            <w:r>
              <w:rPr>
                <w:rFonts w:ascii="Calibri" w:hAnsi="Calibri"/>
                <w:b w:val="0"/>
                <w:sz w:val="20"/>
              </w:rPr>
              <w:t>Actual delivered impressions for the line item</w:t>
            </w:r>
          </w:p>
        </w:tc>
        <w:tc>
          <w:tcPr>
            <w:tcW w:type="dxa" w:w="2976"/>
            <w:shd w:val="clear" w:color="auto" w:fill="E1F4FF"/>
          </w:tcPr>
          <w:p>
            <w:pPr>
              <w:spacing w:after="40" w:before="40"/>
            </w:pPr>
            <w:r>
              <w:rPr>
                <w:rFonts w:ascii="Calibri" w:hAnsi="Calibri"/>
                <w:b w:val="0"/>
                <w:sz w:val="20"/>
              </w:rPr>
              <w:t>1,250,000</w:t>
            </w:r>
          </w:p>
        </w:tc>
      </w:tr>
      <w:tr>
        <w:tc>
          <w:tcPr>
            <w:tcW w:type="dxa" w:w="2976"/>
          </w:tcPr>
          <w:p>
            <w:pPr>
              <w:spacing w:after="40" w:before="40"/>
            </w:pPr>
            <w:r>
              <w:rPr>
                <w:rFonts w:ascii="Calibri" w:hAnsi="Calibri"/>
                <w:b w:val="0"/>
                <w:sz w:val="20"/>
              </w:rPr>
              <w:t>CPM Rate</w:t>
            </w:r>
          </w:p>
        </w:tc>
        <w:tc>
          <w:tcPr>
            <w:tcW w:type="dxa" w:w="2976"/>
          </w:tcPr>
          <w:p>
            <w:pPr>
              <w:spacing w:after="40" w:before="40"/>
            </w:pPr>
            <w:r>
              <w:rPr>
                <w:rFonts w:ascii="Calibri" w:hAnsi="Calibri"/>
                <w:b w:val="0"/>
                <w:sz w:val="20"/>
              </w:rPr>
              <w:t>Cost per thousand impressions; agreed rate from the order</w:t>
            </w:r>
          </w:p>
        </w:tc>
        <w:tc>
          <w:tcPr>
            <w:tcW w:type="dxa" w:w="2976"/>
          </w:tcPr>
          <w:p>
            <w:pPr>
              <w:spacing w:after="40" w:before="40"/>
            </w:pPr>
            <w:r>
              <w:rPr>
                <w:rFonts w:ascii="Calibri" w:hAnsi="Calibri"/>
                <w:b w:val="0"/>
                <w:sz w:val="20"/>
              </w:rPr>
              <w:t>22.50</w:t>
            </w:r>
          </w:p>
        </w:tc>
      </w:tr>
      <w:tr>
        <w:tc>
          <w:tcPr>
            <w:tcW w:type="dxa" w:w="2976"/>
            <w:shd w:val="clear" w:color="auto" w:fill="E1F4FF"/>
          </w:tcPr>
          <w:p>
            <w:pPr>
              <w:spacing w:after="40" w:before="40"/>
            </w:pPr>
            <w:r>
              <w:rPr>
                <w:rFonts w:ascii="Calibri" w:hAnsi="Calibri"/>
                <w:b w:val="0"/>
                <w:sz w:val="20"/>
              </w:rPr>
              <w:t>Net Amount</w:t>
            </w:r>
          </w:p>
        </w:tc>
        <w:tc>
          <w:tcPr>
            <w:tcW w:type="dxa" w:w="2976"/>
            <w:shd w:val="clear" w:color="auto" w:fill="E1F4FF"/>
          </w:tcPr>
          <w:p>
            <w:pPr>
              <w:spacing w:after="40" w:before="40"/>
            </w:pPr>
            <w:r>
              <w:rPr>
                <w:rFonts w:ascii="Calibri" w:hAnsi="Calibri"/>
                <w:b w:val="0"/>
                <w:sz w:val="20"/>
              </w:rPr>
              <w:t>Pre-rated net billing amount (Impression Volume / 1000 × CPM Rate)</w:t>
            </w:r>
          </w:p>
        </w:tc>
        <w:tc>
          <w:tcPr>
            <w:tcW w:type="dxa" w:w="2976"/>
            <w:shd w:val="clear" w:color="auto" w:fill="E1F4FF"/>
          </w:tcPr>
          <w:p>
            <w:pPr>
              <w:spacing w:after="40" w:before="40"/>
            </w:pPr>
            <w:r>
              <w:rPr>
                <w:rFonts w:ascii="Calibri" w:hAnsi="Calibri"/>
                <w:b w:val="0"/>
                <w:sz w:val="20"/>
              </w:rPr>
              <w:t>28,125.00</w:t>
            </w:r>
          </w:p>
        </w:tc>
      </w:tr>
      <w:tr>
        <w:tc>
          <w:tcPr>
            <w:tcW w:type="dxa" w:w="2976"/>
          </w:tcPr>
          <w:p>
            <w:pPr>
              <w:spacing w:after="40" w:before="40"/>
            </w:pPr>
            <w:r>
              <w:rPr>
                <w:rFonts w:ascii="Calibri" w:hAnsi="Calibri"/>
                <w:b w:val="0"/>
                <w:sz w:val="20"/>
              </w:rPr>
              <w:t>Currency</w:t>
            </w:r>
          </w:p>
        </w:tc>
        <w:tc>
          <w:tcPr>
            <w:tcW w:type="dxa" w:w="2976"/>
          </w:tcPr>
          <w:p>
            <w:pPr>
              <w:spacing w:after="40" w:before="40"/>
            </w:pPr>
            <w:r>
              <w:rPr>
                <w:rFonts w:ascii="Calibri" w:hAnsi="Calibri"/>
                <w:b w:val="0"/>
                <w:sz w:val="20"/>
              </w:rPr>
              <w:t>Billing currency; always USD for MVP</w:t>
            </w:r>
          </w:p>
        </w:tc>
        <w:tc>
          <w:tcPr>
            <w:tcW w:type="dxa" w:w="2976"/>
          </w:tcPr>
          <w:p>
            <w:pPr>
              <w:spacing w:after="40" w:before="40"/>
            </w:pPr>
            <w:r>
              <w:rPr>
                <w:rFonts w:ascii="Calibri" w:hAnsi="Calibri"/>
                <w:b w:val="0"/>
                <w:sz w:val="20"/>
              </w:rPr>
              <w:t>USD</w:t>
            </w:r>
          </w:p>
        </w:tc>
      </w:tr>
      <w:tr>
        <w:tc>
          <w:tcPr>
            <w:tcW w:type="dxa" w:w="2976"/>
            <w:shd w:val="clear" w:color="auto" w:fill="E1F4FF"/>
          </w:tcPr>
          <w:p>
            <w:pPr>
              <w:spacing w:after="40" w:before="40"/>
            </w:pPr>
            <w:r>
              <w:rPr>
                <w:rFonts w:ascii="Calibri" w:hAnsi="Calibri"/>
                <w:b w:val="0"/>
                <w:sz w:val="20"/>
              </w:rPr>
              <w:t>Billing Cycle</w:t>
            </w:r>
          </w:p>
        </w:tc>
        <w:tc>
          <w:tcPr>
            <w:tcW w:type="dxa" w:w="2976"/>
            <w:shd w:val="clear" w:color="auto" w:fill="E1F4FF"/>
          </w:tcPr>
          <w:p>
            <w:pPr>
              <w:spacing w:after="40" w:before="40"/>
            </w:pPr>
            <w:r>
              <w:rPr>
                <w:rFonts w:ascii="Calibri" w:hAnsi="Calibri"/>
                <w:b w:val="0"/>
                <w:sz w:val="20"/>
              </w:rPr>
              <w:t>Billing frequency for the order (e.g., Monthly, End-of-Flight)</w:t>
            </w:r>
          </w:p>
        </w:tc>
        <w:tc>
          <w:tcPr>
            <w:tcW w:type="dxa" w:w="2976"/>
            <w:shd w:val="clear" w:color="auto" w:fill="E1F4FF"/>
          </w:tcPr>
          <w:p>
            <w:pPr>
              <w:spacing w:after="40" w:before="40"/>
            </w:pPr>
            <w:r>
              <w:rPr>
                <w:rFonts w:ascii="Calibri" w:hAnsi="Calibri"/>
                <w:b w:val="0"/>
                <w:sz w:val="20"/>
              </w:rPr>
              <w:t>Monthly</w:t>
            </w:r>
          </w:p>
        </w:tc>
      </w:tr>
    </w:tbl>
    <w:p/>
    <w:p>
      <w:pPr>
        <w:pStyle w:val="Heading2"/>
      </w:pPr>
      <w:r>
        <w:t>2.4  WRICEF Requirements</w:t>
      </w:r>
    </w:p>
    <w:p>
      <w:pPr>
        <w:spacing w:after="120" w:before="40"/>
      </w:pPr>
      <w:r>
        <w:rPr>
          <w:rFonts w:ascii="Calibri" w:hAnsi="Calibri"/>
          <w:b/>
          <w:color w:val="0070F2"/>
          <w:sz w:val="21"/>
        </w:rPr>
        <w:t xml:space="preserve">Purpose:  </w:t>
      </w:r>
      <w:r>
        <w:rPr>
          <w:rFonts w:ascii="Calibri" w:hAnsi="Calibri"/>
          <w:sz w:val="21"/>
        </w:rPr>
        <w:t>WRICEF is an acronym for Workflows, Reports, Interfaces, Conversions, Extensions, and Forms. This section summarises the technical development requirements associated with the Billing and Invoicing process.</w:t>
      </w:r>
    </w:p>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1008"/>
            <w:shd w:val="clear" w:color="auto" w:fill="0070F2"/>
          </w:tcPr>
          <w:p>
            <w:pPr>
              <w:spacing w:after="40" w:before="40"/>
            </w:pPr>
            <w:r>
              <w:rPr>
                <w:rFonts w:ascii="Calibri" w:hAnsi="Calibri"/>
                <w:b/>
                <w:color w:val="FFFFFF"/>
                <w:sz w:val="20"/>
              </w:rPr>
              <w:t>RTM ID</w:t>
            </w:r>
          </w:p>
        </w:tc>
        <w:tc>
          <w:tcPr>
            <w:tcW w:type="dxa" w:w="1728"/>
            <w:shd w:val="clear" w:color="auto" w:fill="0070F2"/>
          </w:tcPr>
          <w:p>
            <w:pPr>
              <w:spacing w:after="40" w:before="40"/>
            </w:pPr>
            <w:r>
              <w:rPr>
                <w:rFonts w:ascii="Calibri" w:hAnsi="Calibri"/>
                <w:b/>
                <w:color w:val="FFFFFF"/>
                <w:sz w:val="20"/>
              </w:rPr>
              <w:t>L3 Process</w:t>
            </w:r>
          </w:p>
        </w:tc>
        <w:tc>
          <w:tcPr>
            <w:tcW w:type="dxa" w:w="1008"/>
            <w:shd w:val="clear" w:color="auto" w:fill="0070F2"/>
          </w:tcPr>
          <w:p>
            <w:pPr>
              <w:spacing w:after="40" w:before="40"/>
            </w:pPr>
            <w:r>
              <w:rPr>
                <w:rFonts w:ascii="Calibri" w:hAnsi="Calibri"/>
                <w:b/>
                <w:color w:val="FFFFFF"/>
                <w:sz w:val="20"/>
              </w:rPr>
              <w:t>WRICEF ID</w:t>
            </w:r>
          </w:p>
        </w:tc>
        <w:tc>
          <w:tcPr>
            <w:tcW w:type="dxa" w:w="4896"/>
            <w:shd w:val="clear" w:color="auto" w:fill="0070F2"/>
          </w:tcPr>
          <w:p>
            <w:pPr>
              <w:spacing w:after="40" w:before="40"/>
            </w:pPr>
            <w:r>
              <w:rPr>
                <w:rFonts w:ascii="Calibri" w:hAnsi="Calibri"/>
                <w:b/>
                <w:color w:val="FFFFFF"/>
                <w:sz w:val="20"/>
              </w:rPr>
              <w:t>WRICEF Requirement</w:t>
            </w:r>
          </w:p>
        </w:tc>
        <w:tc>
          <w:tcPr>
            <w:tcW w:type="dxa" w:w="1440"/>
            <w:shd w:val="clear" w:color="auto" w:fill="0070F2"/>
          </w:tcPr>
          <w:p>
            <w:pPr>
              <w:spacing w:after="40" w:before="40"/>
            </w:pPr>
            <w:r>
              <w:rPr>
                <w:rFonts w:ascii="Calibri" w:hAnsi="Calibri"/>
                <w:b/>
                <w:color w:val="FFFFFF"/>
                <w:sz w:val="20"/>
              </w:rPr>
              <w:t>WRICEF Type</w:t>
            </w:r>
          </w:p>
        </w:tc>
        <w:tc>
          <w:tcPr>
            <w:tcW w:type="dxa" w:w="2160"/>
            <w:shd w:val="clear" w:color="auto" w:fill="0070F2"/>
          </w:tcPr>
          <w:p>
            <w:pPr>
              <w:spacing w:after="40" w:before="40"/>
            </w:pPr>
            <w:r>
              <w:rPr>
                <w:rFonts w:ascii="Calibri" w:hAnsi="Calibri"/>
                <w:b/>
                <w:color w:val="FFFFFF"/>
                <w:sz w:val="20"/>
              </w:rPr>
              <w:t>Application / Module</w:t>
            </w:r>
          </w:p>
        </w:tc>
      </w:tr>
      <w:tr>
        <w:tc>
          <w:tcPr>
            <w:tcW w:type="dxa" w:w="1488"/>
            <w:shd w:val="clear" w:color="auto" w:fill="E1F4FF"/>
          </w:tcPr>
          <w:p>
            <w:pPr>
              <w:spacing w:after="40" w:before="40"/>
            </w:pPr>
            <w:r>
              <w:rPr>
                <w:rFonts w:ascii="Calibri" w:hAnsi="Calibri"/>
                <w:b w:val="0"/>
                <w:sz w:val="20"/>
              </w:rPr>
              <w:t>REQ-09, 11</w:t>
            </w:r>
          </w:p>
        </w:tc>
        <w:tc>
          <w:tcPr>
            <w:tcW w:type="dxa" w:w="1488"/>
            <w:shd w:val="clear" w:color="auto" w:fill="E1F4FF"/>
          </w:tcPr>
          <w:p>
            <w:pPr>
              <w:spacing w:after="40" w:before="40"/>
            </w:pPr>
            <w:r>
              <w:rPr>
                <w:rFonts w:ascii="Calibri" w:hAnsi="Calibri"/>
                <w:b w:val="0"/>
                <w:sz w:val="20"/>
              </w:rPr>
              <w:t>Invoice Creation</w:t>
            </w:r>
          </w:p>
        </w:tc>
        <w:tc>
          <w:tcPr>
            <w:tcW w:type="dxa" w:w="1488"/>
            <w:shd w:val="clear" w:color="auto" w:fill="E1F4FF"/>
          </w:tcPr>
          <w:p>
            <w:pPr>
              <w:spacing w:after="40" w:before="40"/>
            </w:pPr>
            <w:r>
              <w:rPr>
                <w:rFonts w:ascii="Calibri" w:hAnsi="Calibri"/>
                <w:b w:val="0"/>
                <w:sz w:val="20"/>
              </w:rPr>
              <w:t>5</w:t>
            </w:r>
          </w:p>
        </w:tc>
        <w:tc>
          <w:tcPr>
            <w:tcW w:type="dxa" w:w="1488"/>
            <w:shd w:val="clear" w:color="auto" w:fill="E1F4FF"/>
          </w:tcPr>
          <w:p>
            <w:pPr>
              <w:spacing w:after="40" w:before="40"/>
            </w:pPr>
            <w:r>
              <w:rPr>
                <w:rFonts w:ascii="Calibri" w:hAnsi="Calibri"/>
                <w:b w:val="0"/>
                <w:sz w:val="20"/>
              </w:rPr>
              <w:t>Billable Item (BIT) CSV upload from AdOps Central into SAP BRIM: Custom enhancement to filter MVP-eligible rows, map AdOps Central fields to BIT structure, and trigger enrichment to derive Business Partner and Contract Account.</w:t>
            </w:r>
          </w:p>
        </w:tc>
        <w:tc>
          <w:tcPr>
            <w:tcW w:type="dxa" w:w="1488"/>
            <w:shd w:val="clear" w:color="auto" w:fill="E1F4FF"/>
          </w:tcPr>
          <w:p>
            <w:pPr>
              <w:spacing w:after="40" w:before="40"/>
            </w:pPr>
            <w:r>
              <w:rPr>
                <w:rFonts w:ascii="Calibri" w:hAnsi="Calibri"/>
                <w:b w:val="0"/>
                <w:sz w:val="20"/>
              </w:rPr>
              <w:t>Enhancement</w:t>
            </w:r>
          </w:p>
        </w:tc>
        <w:tc>
          <w:tcPr>
            <w:tcW w:type="dxa" w:w="1488"/>
            <w:shd w:val="clear" w:color="auto" w:fill="E1F4FF"/>
          </w:tcPr>
          <w:p>
            <w:pPr>
              <w:spacing w:after="40" w:before="40"/>
            </w:pPr>
            <w:r>
              <w:rPr>
                <w:rFonts w:ascii="Calibri" w:hAnsi="Calibri"/>
                <w:b w:val="0"/>
                <w:sz w:val="20"/>
              </w:rPr>
              <w:t>AdOps Central to BRIM</w:t>
            </w:r>
          </w:p>
        </w:tc>
      </w:tr>
      <w:tr>
        <w:tc>
          <w:tcPr>
            <w:tcW w:type="dxa" w:w="1488"/>
          </w:tcPr>
          <w:p>
            <w:pPr>
              <w:spacing w:after="40" w:before="40"/>
            </w:pPr>
            <w:r>
              <w:rPr>
                <w:rFonts w:ascii="Calibri" w:hAnsi="Calibri"/>
                <w:b w:val="0"/>
                <w:sz w:val="20"/>
              </w:rPr>
              <w:t>REQ-12, 13</w:t>
            </w:r>
          </w:p>
        </w:tc>
        <w:tc>
          <w:tcPr>
            <w:tcW w:type="dxa" w:w="1488"/>
          </w:tcPr>
          <w:p>
            <w:pPr>
              <w:spacing w:after="40" w:before="40"/>
            </w:pPr>
            <w:r>
              <w:rPr>
                <w:rFonts w:ascii="Calibri" w:hAnsi="Calibri"/>
                <w:b w:val="0"/>
                <w:sz w:val="20"/>
              </w:rPr>
              <w:t>Invoice Creation</w:t>
            </w:r>
          </w:p>
        </w:tc>
        <w:tc>
          <w:tcPr>
            <w:tcW w:type="dxa" w:w="1488"/>
          </w:tcPr>
          <w:p>
            <w:pPr>
              <w:spacing w:after="40" w:before="40"/>
            </w:pPr>
            <w:r>
              <w:rPr>
                <w:rFonts w:ascii="Calibri" w:hAnsi="Calibri"/>
                <w:b w:val="0"/>
                <w:sz w:val="20"/>
              </w:rPr>
              <w:t>6</w:t>
            </w:r>
          </w:p>
        </w:tc>
        <w:tc>
          <w:tcPr>
            <w:tcW w:type="dxa" w:w="1488"/>
          </w:tcPr>
          <w:p>
            <w:pPr>
              <w:spacing w:after="40" w:before="40"/>
            </w:pPr>
            <w:r>
              <w:rPr>
                <w:rFonts w:ascii="Calibri" w:hAnsi="Calibri"/>
                <w:b w:val="0"/>
                <w:sz w:val="20"/>
              </w:rPr>
              <w:t>Enrichment of Billing and Invoicing Documents within SAP BRIM: Custom logic to derive mandatory fields (BP, CA, Material, Profit Center) from AdOps Central data and configure invoice grouping by USO Order ID.</w:t>
            </w:r>
          </w:p>
        </w:tc>
        <w:tc>
          <w:tcPr>
            <w:tcW w:type="dxa" w:w="1488"/>
          </w:tcPr>
          <w:p>
            <w:pPr>
              <w:spacing w:after="40" w:before="40"/>
            </w:pPr>
            <w:r>
              <w:rPr>
                <w:rFonts w:ascii="Calibri" w:hAnsi="Calibri"/>
                <w:b w:val="0"/>
                <w:sz w:val="20"/>
              </w:rPr>
              <w:t>Enhancement</w:t>
            </w:r>
          </w:p>
        </w:tc>
        <w:tc>
          <w:tcPr>
            <w:tcW w:type="dxa" w:w="1488"/>
          </w:tcPr>
          <w:p>
            <w:pPr>
              <w:spacing w:after="40" w:before="40"/>
            </w:pPr>
            <w:r>
              <w:rPr>
                <w:rFonts w:ascii="Calibri" w:hAnsi="Calibri"/>
                <w:b w:val="0"/>
                <w:sz w:val="20"/>
              </w:rPr>
              <w:t>BRIM</w:t>
            </w:r>
          </w:p>
        </w:tc>
      </w:tr>
      <w:tr>
        <w:tc>
          <w:tcPr>
            <w:tcW w:type="dxa" w:w="1488"/>
            <w:shd w:val="clear" w:color="auto" w:fill="E1F4FF"/>
          </w:tcPr>
          <w:p>
            <w:pPr>
              <w:spacing w:after="40" w:before="40"/>
            </w:pPr>
            <w:r>
              <w:rPr>
                <w:rFonts w:ascii="Calibri" w:hAnsi="Calibri"/>
                <w:b w:val="0"/>
                <w:sz w:val="20"/>
              </w:rPr>
              <w:t>REQ-14</w:t>
            </w:r>
          </w:p>
        </w:tc>
        <w:tc>
          <w:tcPr>
            <w:tcW w:type="dxa" w:w="1488"/>
            <w:shd w:val="clear" w:color="auto" w:fill="E1F4FF"/>
          </w:tcPr>
          <w:p>
            <w:pPr>
              <w:spacing w:after="40" w:before="40"/>
            </w:pPr>
            <w:r>
              <w:rPr>
                <w:rFonts w:ascii="Calibri" w:hAnsi="Calibri"/>
                <w:b w:val="0"/>
                <w:sz w:val="20"/>
              </w:rPr>
              <w:t>Invoice Creation</w:t>
            </w:r>
          </w:p>
        </w:tc>
        <w:tc>
          <w:tcPr>
            <w:tcW w:type="dxa" w:w="1488"/>
            <w:shd w:val="clear" w:color="auto" w:fill="E1F4FF"/>
          </w:tcPr>
          <w:p>
            <w:pPr>
              <w:spacing w:after="40" w:before="40"/>
            </w:pPr>
            <w:r>
              <w:rPr>
                <w:rFonts w:ascii="Calibri" w:hAnsi="Calibri"/>
                <w:b w:val="0"/>
                <w:sz w:val="20"/>
              </w:rPr>
              <w:t>7</w:t>
            </w:r>
          </w:p>
        </w:tc>
        <w:tc>
          <w:tcPr>
            <w:tcW w:type="dxa" w:w="1488"/>
            <w:shd w:val="clear" w:color="auto" w:fill="E1F4FF"/>
          </w:tcPr>
          <w:p>
            <w:pPr>
              <w:spacing w:after="40" w:before="40"/>
            </w:pPr>
            <w:r>
              <w:rPr>
                <w:rFonts w:ascii="Calibri" w:hAnsi="Calibri"/>
                <w:b w:val="0"/>
                <w:sz w:val="20"/>
              </w:rPr>
              <w:t>Invoice PDF Generation (Nexstream Invoice Layout): Custom form to meet Nexstream branding, layout, and content requirements for the customer-facing invoice PDF.</w:t>
            </w:r>
          </w:p>
        </w:tc>
        <w:tc>
          <w:tcPr>
            <w:tcW w:type="dxa" w:w="1488"/>
            <w:shd w:val="clear" w:color="auto" w:fill="E1F4FF"/>
          </w:tcPr>
          <w:p>
            <w:pPr>
              <w:spacing w:after="40" w:before="40"/>
            </w:pPr>
            <w:r>
              <w:rPr>
                <w:rFonts w:ascii="Calibri" w:hAnsi="Calibri"/>
                <w:b w:val="0"/>
                <w:sz w:val="20"/>
              </w:rPr>
              <w:t>Form</w:t>
            </w:r>
          </w:p>
        </w:tc>
        <w:tc>
          <w:tcPr>
            <w:tcW w:type="dxa" w:w="1488"/>
            <w:shd w:val="clear" w:color="auto" w:fill="E1F4FF"/>
          </w:tcPr>
          <w:p>
            <w:pPr>
              <w:spacing w:after="40" w:before="40"/>
            </w:pPr>
            <w:r>
              <w:rPr>
                <w:rFonts w:ascii="Calibri" w:hAnsi="Calibri"/>
                <w:b w:val="0"/>
                <w:sz w:val="20"/>
              </w:rPr>
              <w:t>BRIM</w:t>
            </w:r>
          </w:p>
        </w:tc>
      </w:tr>
      <w:tr>
        <w:tc>
          <w:tcPr>
            <w:tcW w:type="dxa" w:w="1488"/>
          </w:tcPr>
          <w:p>
            <w:pPr>
              <w:spacing w:after="40" w:before="40"/>
            </w:pPr>
            <w:r>
              <w:rPr>
                <w:rFonts w:ascii="Calibri" w:hAnsi="Calibri"/>
                <w:b w:val="0"/>
                <w:sz w:val="20"/>
              </w:rPr>
              <w:t>REQ-17</w:t>
            </w:r>
          </w:p>
        </w:tc>
        <w:tc>
          <w:tcPr>
            <w:tcW w:type="dxa" w:w="1488"/>
          </w:tcPr>
          <w:p>
            <w:pPr>
              <w:spacing w:after="40" w:before="40"/>
            </w:pPr>
            <w:r>
              <w:rPr>
                <w:rFonts w:ascii="Calibri" w:hAnsi="Calibri"/>
                <w:b w:val="0"/>
                <w:sz w:val="20"/>
              </w:rPr>
              <w:t>Invoice Distribution</w:t>
            </w:r>
          </w:p>
        </w:tc>
        <w:tc>
          <w:tcPr>
            <w:tcW w:type="dxa" w:w="1488"/>
          </w:tcPr>
          <w:p>
            <w:pPr>
              <w:spacing w:after="40" w:before="40"/>
            </w:pPr>
            <w:r>
              <w:rPr>
                <w:rFonts w:ascii="Calibri" w:hAnsi="Calibri"/>
                <w:b w:val="0"/>
                <w:sz w:val="20"/>
              </w:rPr>
              <w:t>9</w:t>
            </w:r>
          </w:p>
        </w:tc>
        <w:tc>
          <w:tcPr>
            <w:tcW w:type="dxa" w:w="1488"/>
          </w:tcPr>
          <w:p>
            <w:pPr>
              <w:spacing w:after="40" w:before="40"/>
            </w:pPr>
            <w:r>
              <w:rPr>
                <w:rFonts w:ascii="Calibri" w:hAnsi="Calibri"/>
                <w:b w:val="0"/>
                <w:sz w:val="20"/>
              </w:rPr>
              <w:t>Invoice and Credit/Debit Memo Distribution to MyNexstream: Custom API interface to distribute invoice PDFs and transactional invoice data to the MyNexstream customer portal upon invoice generation.</w:t>
            </w:r>
          </w:p>
        </w:tc>
        <w:tc>
          <w:tcPr>
            <w:tcW w:type="dxa" w:w="1488"/>
          </w:tcPr>
          <w:p>
            <w:pPr>
              <w:spacing w:after="40" w:before="40"/>
            </w:pPr>
            <w:r>
              <w:rPr>
                <w:rFonts w:ascii="Calibri" w:hAnsi="Calibri"/>
                <w:b w:val="0"/>
                <w:sz w:val="20"/>
              </w:rPr>
              <w:t>Interface</w:t>
            </w:r>
          </w:p>
        </w:tc>
        <w:tc>
          <w:tcPr>
            <w:tcW w:type="dxa" w:w="1488"/>
          </w:tcPr>
          <w:p>
            <w:pPr>
              <w:spacing w:after="40" w:before="40"/>
            </w:pPr>
            <w:r>
              <w:rPr>
                <w:rFonts w:ascii="Calibri" w:hAnsi="Calibri"/>
                <w:b w:val="0"/>
                <w:sz w:val="20"/>
              </w:rPr>
              <w:t>BRIM to MyNexstream</w:t>
            </w:r>
          </w:p>
        </w:tc>
      </w:tr>
      <w:tr>
        <w:tc>
          <w:tcPr>
            <w:tcW w:type="dxa" w:w="1488"/>
            <w:shd w:val="clear" w:color="auto" w:fill="E1F4FF"/>
          </w:tcPr>
          <w:p>
            <w:pPr>
              <w:spacing w:after="40" w:before="40"/>
            </w:pPr>
            <w:r>
              <w:rPr>
                <w:rFonts w:ascii="Calibri" w:hAnsi="Calibri"/>
                <w:b w:val="0"/>
                <w:sz w:val="20"/>
              </w:rPr>
              <w:t>REQ-18</w:t>
            </w:r>
          </w:p>
        </w:tc>
        <w:tc>
          <w:tcPr>
            <w:tcW w:type="dxa" w:w="1488"/>
            <w:shd w:val="clear" w:color="auto" w:fill="E1F4FF"/>
          </w:tcPr>
          <w:p>
            <w:pPr>
              <w:spacing w:after="40" w:before="40"/>
            </w:pPr>
            <w:r>
              <w:rPr>
                <w:rFonts w:ascii="Calibri" w:hAnsi="Calibri"/>
                <w:b w:val="0"/>
                <w:sz w:val="20"/>
              </w:rPr>
              <w:t>Invoice Distribution</w:t>
            </w:r>
          </w:p>
        </w:tc>
        <w:tc>
          <w:tcPr>
            <w:tcW w:type="dxa" w:w="1488"/>
            <w:shd w:val="clear" w:color="auto" w:fill="E1F4FF"/>
          </w:tcPr>
          <w:p>
            <w:pPr>
              <w:spacing w:after="40" w:before="40"/>
            </w:pPr>
            <w:r>
              <w:rPr>
                <w:rFonts w:ascii="Calibri" w:hAnsi="Calibri"/>
                <w:b w:val="0"/>
                <w:sz w:val="20"/>
              </w:rPr>
              <w:t>14</w:t>
            </w:r>
          </w:p>
        </w:tc>
        <w:tc>
          <w:tcPr>
            <w:tcW w:type="dxa" w:w="1488"/>
            <w:shd w:val="clear" w:color="auto" w:fill="E1F4FF"/>
          </w:tcPr>
          <w:p>
            <w:pPr>
              <w:spacing w:after="40" w:before="40"/>
            </w:pPr>
            <w:r>
              <w:rPr>
                <w:rFonts w:ascii="Calibri" w:hAnsi="Calibri"/>
                <w:b w:val="0"/>
                <w:sz w:val="20"/>
              </w:rPr>
              <w:t>AR Balance Transfer from SAP BRIM to MyNexstream: Custom interface to share AR balances at Contract Account level with MyNexstream for customer self-service balance visibility.</w:t>
            </w:r>
          </w:p>
        </w:tc>
        <w:tc>
          <w:tcPr>
            <w:tcW w:type="dxa" w:w="1488"/>
            <w:shd w:val="clear" w:color="auto" w:fill="E1F4FF"/>
          </w:tcPr>
          <w:p>
            <w:pPr>
              <w:spacing w:after="40" w:before="40"/>
            </w:pPr>
            <w:r>
              <w:rPr>
                <w:rFonts w:ascii="Calibri" w:hAnsi="Calibri"/>
                <w:b w:val="0"/>
                <w:sz w:val="20"/>
              </w:rPr>
              <w:t>Interface</w:t>
            </w:r>
          </w:p>
        </w:tc>
        <w:tc>
          <w:tcPr>
            <w:tcW w:type="dxa" w:w="1488"/>
            <w:shd w:val="clear" w:color="auto" w:fill="E1F4FF"/>
          </w:tcPr>
          <w:p>
            <w:pPr>
              <w:spacing w:after="40" w:before="40"/>
            </w:pPr>
            <w:r>
              <w:rPr>
                <w:rFonts w:ascii="Calibri" w:hAnsi="Calibri"/>
                <w:b w:val="0"/>
                <w:sz w:val="20"/>
              </w:rPr>
              <w:t>BRIM to MyNexstream</w:t>
            </w:r>
          </w:p>
        </w:tc>
      </w:tr>
      <w:tr>
        <w:tc>
          <w:tcPr>
            <w:tcW w:type="dxa" w:w="1488"/>
          </w:tcPr>
          <w:p>
            <w:pPr>
              <w:spacing w:after="40" w:before="40"/>
            </w:pPr>
            <w:r>
              <w:rPr>
                <w:rFonts w:ascii="Calibri" w:hAnsi="Calibri"/>
                <w:b w:val="0"/>
                <w:sz w:val="20"/>
              </w:rPr>
              <w:t>REQ-51</w:t>
            </w:r>
          </w:p>
        </w:tc>
        <w:tc>
          <w:tcPr>
            <w:tcW w:type="dxa" w:w="1488"/>
          </w:tcPr>
          <w:p>
            <w:pPr>
              <w:spacing w:after="40" w:before="40"/>
            </w:pPr>
            <w:r>
              <w:rPr>
                <w:rFonts w:ascii="Calibri" w:hAnsi="Calibri"/>
                <w:b w:val="0"/>
                <w:sz w:val="20"/>
              </w:rPr>
              <w:t>Invoice Creation</w:t>
            </w:r>
          </w:p>
        </w:tc>
        <w:tc>
          <w:tcPr>
            <w:tcW w:type="dxa" w:w="1488"/>
          </w:tcPr>
          <w:p>
            <w:pPr>
              <w:spacing w:after="40" w:before="40"/>
            </w:pPr>
            <w:r>
              <w:rPr>
                <w:rFonts w:ascii="Calibri" w:hAnsi="Calibri"/>
                <w:b w:val="0"/>
                <w:sz w:val="20"/>
              </w:rPr>
              <w:t>17</w:t>
            </w:r>
          </w:p>
        </w:tc>
        <w:tc>
          <w:tcPr>
            <w:tcW w:type="dxa" w:w="1488"/>
          </w:tcPr>
          <w:p>
            <w:pPr>
              <w:spacing w:after="40" w:before="40"/>
            </w:pPr>
            <w:r>
              <w:rPr>
                <w:rFonts w:ascii="Calibri" w:hAnsi="Calibri"/>
                <w:b w:val="0"/>
                <w:sz w:val="20"/>
              </w:rPr>
              <w:t>BIT Correction and Re-submission Workflow: Custom workflow to allow Finance Operations to correct excepted BITs and re-submit them for billing without a full re-upload of the AdOps Central export file.</w:t>
            </w:r>
          </w:p>
        </w:tc>
        <w:tc>
          <w:tcPr>
            <w:tcW w:type="dxa" w:w="1488"/>
          </w:tcPr>
          <w:p>
            <w:pPr>
              <w:spacing w:after="40" w:before="40"/>
            </w:pPr>
            <w:r>
              <w:rPr>
                <w:rFonts w:ascii="Calibri" w:hAnsi="Calibri"/>
                <w:b w:val="0"/>
                <w:sz w:val="20"/>
              </w:rPr>
              <w:t>Enhancement</w:t>
            </w:r>
          </w:p>
        </w:tc>
        <w:tc>
          <w:tcPr>
            <w:tcW w:type="dxa" w:w="1488"/>
          </w:tcPr>
          <w:p>
            <w:pPr>
              <w:spacing w:after="40" w:before="40"/>
            </w:pPr>
            <w:r>
              <w:rPr>
                <w:rFonts w:ascii="Calibri" w:hAnsi="Calibri"/>
                <w:b w:val="0"/>
                <w:sz w:val="20"/>
              </w:rPr>
              <w:t>BRIM</w:t>
            </w:r>
          </w:p>
        </w:tc>
      </w:tr>
    </w:tbl>
    <w:p/>
    <w:p>
      <w:pPr>
        <w:pStyle w:val="Heading2"/>
      </w:pPr>
      <w:r>
        <w:t>2.5  Design Assumptions</w:t>
      </w:r>
    </w:p>
    <w:p>
      <w:pPr>
        <w:spacing w:after="120" w:before="40"/>
      </w:pPr>
      <w:r>
        <w:rPr>
          <w:rFonts w:ascii="Calibri" w:hAnsi="Calibri"/>
          <w:b/>
          <w:color w:val="0070F2"/>
          <w:sz w:val="21"/>
        </w:rPr>
        <w:t xml:space="preserve">Purpose:  </w:t>
      </w:r>
      <w:r>
        <w:rPr>
          <w:rFonts w:ascii="Calibri" w:hAnsi="Calibri"/>
          <w:sz w:val="21"/>
        </w:rPr>
        <w:t>During the design activities, a number of key assumptions were made by the design team about technology, systems, resources, and business needs. These assumptions have influenced the process designs documented in this BRD.</w:t>
      </w:r>
    </w:p>
    <w:p/>
    <w:tbl>
      <w:tblPr>
        <w:tblStyle w:val="TableGrid"/>
        <w:tblW w:type="auto" w:w="0"/>
        <w:jc w:val="left"/>
        <w:tblLook w:firstColumn="1" w:firstRow="1" w:lastColumn="0" w:lastRow="0" w:noHBand="0" w:noVBand="1" w:val="04A0"/>
      </w:tblPr>
      <w:tblGrid>
        <w:gridCol w:w="2976"/>
        <w:gridCol w:w="2976"/>
        <w:gridCol w:w="2976"/>
      </w:tblGrid>
      <w:tr>
        <w:tc>
          <w:tcPr>
            <w:tcW w:type="dxa" w:w="4320"/>
            <w:shd w:val="clear" w:color="auto" w:fill="0070F2"/>
          </w:tcPr>
          <w:p>
            <w:pPr>
              <w:spacing w:after="40" w:before="40"/>
            </w:pPr>
            <w:r>
              <w:rPr>
                <w:rFonts w:ascii="Calibri" w:hAnsi="Calibri"/>
                <w:b/>
                <w:color w:val="FFFFFF"/>
                <w:sz w:val="20"/>
              </w:rPr>
              <w:t>Assumption</w:t>
            </w:r>
          </w:p>
        </w:tc>
        <w:tc>
          <w:tcPr>
            <w:tcW w:type="dxa" w:w="4320"/>
            <w:shd w:val="clear" w:color="auto" w:fill="0070F2"/>
          </w:tcPr>
          <w:p>
            <w:pPr>
              <w:spacing w:after="40" w:before="40"/>
            </w:pPr>
            <w:r>
              <w:rPr>
                <w:rFonts w:ascii="Calibri" w:hAnsi="Calibri"/>
                <w:b/>
                <w:color w:val="FFFFFF"/>
                <w:sz w:val="20"/>
              </w:rPr>
              <w:t>Implication</w:t>
            </w:r>
          </w:p>
        </w:tc>
        <w:tc>
          <w:tcPr>
            <w:tcW w:type="dxa" w:w="2160"/>
            <w:shd w:val="clear" w:color="auto" w:fill="0070F2"/>
          </w:tcPr>
          <w:p>
            <w:pPr>
              <w:spacing w:after="40" w:before="40"/>
            </w:pPr>
            <w:r>
              <w:rPr>
                <w:rFonts w:ascii="Calibri" w:hAnsi="Calibri"/>
                <w:b/>
                <w:color w:val="FFFFFF"/>
                <w:sz w:val="20"/>
              </w:rPr>
              <w:t>L3 Process(es) Impacted</w:t>
            </w:r>
          </w:p>
        </w:tc>
      </w:tr>
      <w:tr>
        <w:tc>
          <w:tcPr>
            <w:tcW w:type="dxa" w:w="2976"/>
            <w:shd w:val="clear" w:color="auto" w:fill="E1F4FF"/>
          </w:tcPr>
          <w:p>
            <w:pPr>
              <w:spacing w:after="40" w:before="40"/>
            </w:pPr>
            <w:r>
              <w:rPr>
                <w:rFonts w:ascii="Calibri" w:hAnsi="Calibri"/>
                <w:b w:val="0"/>
                <w:sz w:val="20"/>
              </w:rPr>
              <w:t>AdOps Central will provide the Finance Export in the agreed CSV format prior to the SAP BRIM Build phase.</w:t>
            </w:r>
          </w:p>
        </w:tc>
        <w:tc>
          <w:tcPr>
            <w:tcW w:type="dxa" w:w="2976"/>
            <w:shd w:val="clear" w:color="auto" w:fill="E1F4FF"/>
          </w:tcPr>
          <w:p>
            <w:pPr>
              <w:spacing w:after="40" w:before="40"/>
            </w:pPr>
            <w:r>
              <w:rPr>
                <w:rFonts w:ascii="Calibri" w:hAnsi="Calibri"/>
                <w:b w:val="0"/>
                <w:sz w:val="20"/>
              </w:rPr>
              <w:t>Rating and charging of all transactions must be performed outside SAP BRIM prior to upload. Nexstream's AdOps Central team is responsible for format compliance.</w:t>
            </w:r>
          </w:p>
        </w:tc>
        <w:tc>
          <w:tcPr>
            <w:tcW w:type="dxa" w:w="2976"/>
            <w:shd w:val="clear" w:color="auto" w:fill="E1F4FF"/>
          </w:tcPr>
          <w:p>
            <w:pPr>
              <w:spacing w:after="40" w:before="40"/>
            </w:pPr>
            <w:r>
              <w:rPr>
                <w:rFonts w:ascii="Calibri" w:hAnsi="Calibri"/>
                <w:b w:val="0"/>
                <w:sz w:val="20"/>
              </w:rPr>
              <w:t>Invoice Creation</w:t>
            </w:r>
          </w:p>
        </w:tc>
      </w:tr>
      <w:tr>
        <w:tc>
          <w:tcPr>
            <w:tcW w:type="dxa" w:w="2976"/>
          </w:tcPr>
          <w:p>
            <w:pPr>
              <w:spacing w:after="40" w:before="40"/>
            </w:pPr>
            <w:r>
              <w:rPr>
                <w:rFonts w:ascii="Calibri" w:hAnsi="Calibri"/>
                <w:b w:val="0"/>
                <w:sz w:val="20"/>
              </w:rPr>
              <w:t>All data quality checks on transactional data (e.g., impression reconciliation, rate validation) will be performed in AdOps Central prior to import into SAP BRIM.</w:t>
            </w:r>
          </w:p>
        </w:tc>
        <w:tc>
          <w:tcPr>
            <w:tcW w:type="dxa" w:w="2976"/>
          </w:tcPr>
          <w:p>
            <w:pPr>
              <w:spacing w:after="40" w:before="40"/>
            </w:pPr>
            <w:r>
              <w:rPr>
                <w:rFonts w:ascii="Calibri" w:hAnsi="Calibri"/>
                <w:b w:val="0"/>
                <w:sz w:val="20"/>
              </w:rPr>
              <w:t>Transactional data must be complete and accurate prior to import. SAP BRIM will only perform duplicate checks and structural validation.</w:t>
            </w:r>
          </w:p>
        </w:tc>
        <w:tc>
          <w:tcPr>
            <w:tcW w:type="dxa" w:w="2976"/>
          </w:tcPr>
          <w:p>
            <w:pPr>
              <w:spacing w:after="40" w:before="40"/>
            </w:pPr>
            <w:r>
              <w:rPr>
                <w:rFonts w:ascii="Calibri" w:hAnsi="Calibri"/>
                <w:b w:val="0"/>
                <w:sz w:val="20"/>
              </w:rPr>
              <w:t>Invoice Creation</w:t>
            </w:r>
          </w:p>
        </w:tc>
      </w:tr>
      <w:tr>
        <w:tc>
          <w:tcPr>
            <w:tcW w:type="dxa" w:w="2976"/>
            <w:shd w:val="clear" w:color="auto" w:fill="E1F4FF"/>
          </w:tcPr>
          <w:p>
            <w:pPr>
              <w:spacing w:after="40" w:before="40"/>
            </w:pPr>
            <w:r>
              <w:rPr>
                <w:rFonts w:ascii="Calibri" w:hAnsi="Calibri"/>
                <w:b w:val="0"/>
                <w:sz w:val="20"/>
              </w:rPr>
              <w:t>Campaign orders in AdOps Central will be closed and locked prior to being imported into SAP BRIM.</w:t>
            </w:r>
          </w:p>
        </w:tc>
        <w:tc>
          <w:tcPr>
            <w:tcW w:type="dxa" w:w="2976"/>
            <w:shd w:val="clear" w:color="auto" w:fill="E1F4FF"/>
          </w:tcPr>
          <w:p>
            <w:pPr>
              <w:spacing w:after="40" w:before="40"/>
            </w:pPr>
            <w:r>
              <w:rPr>
                <w:rFonts w:ascii="Calibri" w:hAnsi="Calibri"/>
                <w:b w:val="0"/>
                <w:sz w:val="20"/>
              </w:rPr>
              <w:t>Transactional data will not be updatable in SAP BRIM after import. Any corrections require a new import.</w:t>
            </w:r>
          </w:p>
        </w:tc>
        <w:tc>
          <w:tcPr>
            <w:tcW w:type="dxa" w:w="2976"/>
            <w:shd w:val="clear" w:color="auto" w:fill="E1F4FF"/>
          </w:tcPr>
          <w:p>
            <w:pPr>
              <w:spacing w:after="40" w:before="40"/>
            </w:pPr>
            <w:r>
              <w:rPr>
                <w:rFonts w:ascii="Calibri" w:hAnsi="Calibri"/>
                <w:b w:val="0"/>
                <w:sz w:val="20"/>
              </w:rPr>
              <w:t>Invoice Creation</w:t>
            </w:r>
          </w:p>
        </w:tc>
      </w:tr>
      <w:tr>
        <w:tc>
          <w:tcPr>
            <w:tcW w:type="dxa" w:w="2976"/>
          </w:tcPr>
          <w:p>
            <w:pPr>
              <w:spacing w:after="40" w:before="40"/>
            </w:pPr>
            <w:r>
              <w:rPr>
                <w:rFonts w:ascii="Calibri" w:hAnsi="Calibri"/>
                <w:b w:val="0"/>
                <w:sz w:val="20"/>
              </w:rPr>
              <w:t>Discounts, co-op credits, and agency commissions are out of scope for MVP.</w:t>
            </w:r>
          </w:p>
        </w:tc>
        <w:tc>
          <w:tcPr>
            <w:tcW w:type="dxa" w:w="2976"/>
          </w:tcPr>
          <w:p>
            <w:pPr>
              <w:spacing w:after="40" w:before="40"/>
            </w:pPr>
            <w:r>
              <w:rPr>
                <w:rFonts w:ascii="Calibri" w:hAnsi="Calibri"/>
                <w:b w:val="0"/>
                <w:sz w:val="20"/>
              </w:rPr>
              <w:t>No discount or commission calculations will be performed in SAP BRIM for MVP.</w:t>
            </w:r>
          </w:p>
        </w:tc>
        <w:tc>
          <w:tcPr>
            <w:tcW w:type="dxa" w:w="2976"/>
          </w:tcPr>
          <w:p>
            <w:pPr>
              <w:spacing w:after="40" w:before="40"/>
            </w:pPr>
            <w:r>
              <w:rPr>
                <w:rFonts w:ascii="Calibri" w:hAnsi="Calibri"/>
                <w:b w:val="0"/>
                <w:sz w:val="20"/>
              </w:rPr>
              <w:t>Invoice Creation</w:t>
            </w:r>
          </w:p>
        </w:tc>
      </w:tr>
      <w:tr>
        <w:tc>
          <w:tcPr>
            <w:tcW w:type="dxa" w:w="2976"/>
            <w:shd w:val="clear" w:color="auto" w:fill="E1F4FF"/>
          </w:tcPr>
          <w:p>
            <w:pPr>
              <w:spacing w:after="40" w:before="40"/>
            </w:pPr>
            <w:r>
              <w:rPr>
                <w:rFonts w:ascii="Calibri" w:hAnsi="Calibri"/>
                <w:b w:val="0"/>
                <w:sz w:val="20"/>
              </w:rPr>
              <w:t>Billing cycle determination will be performed by AdOps Central based on the most recent update at the order management level.</w:t>
            </w:r>
          </w:p>
        </w:tc>
        <w:tc>
          <w:tcPr>
            <w:tcW w:type="dxa" w:w="2976"/>
            <w:shd w:val="clear" w:color="auto" w:fill="E1F4FF"/>
          </w:tcPr>
          <w:p>
            <w:pPr>
              <w:spacing w:after="40" w:before="40"/>
            </w:pPr>
            <w:r>
              <w:rPr>
                <w:rFonts w:ascii="Calibri" w:hAnsi="Calibri"/>
                <w:b w:val="0"/>
                <w:sz w:val="20"/>
              </w:rPr>
              <w:t>AdOps Central holds the authoritative billing cycle for each order. SAP BRIM will accept and apply the billing cycle as received in the Finance Export.</w:t>
            </w:r>
          </w:p>
        </w:tc>
        <w:tc>
          <w:tcPr>
            <w:tcW w:type="dxa" w:w="2976"/>
            <w:shd w:val="clear" w:color="auto" w:fill="E1F4FF"/>
          </w:tcPr>
          <w:p>
            <w:pPr>
              <w:spacing w:after="40" w:before="40"/>
            </w:pPr>
            <w:r>
              <w:rPr>
                <w:rFonts w:ascii="Calibri" w:hAnsi="Calibri"/>
                <w:b w:val="0"/>
                <w:sz w:val="20"/>
              </w:rPr>
              <w:t>Invoice Creation</w:t>
            </w:r>
          </w:p>
        </w:tc>
      </w:tr>
      <w:tr>
        <w:tc>
          <w:tcPr>
            <w:tcW w:type="dxa" w:w="2976"/>
          </w:tcPr>
          <w:p>
            <w:pPr>
              <w:spacing w:after="40" w:before="40"/>
            </w:pPr>
            <w:r>
              <w:rPr>
                <w:rFonts w:ascii="Calibri" w:hAnsi="Calibri"/>
                <w:b w:val="0"/>
                <w:sz w:val="20"/>
              </w:rPr>
              <w:t>For MVP customers, only invoice delivery via MyNexstream is in scope. Paper/email invoice distribution is deferred to a future phase.</w:t>
            </w:r>
          </w:p>
        </w:tc>
        <w:tc>
          <w:tcPr>
            <w:tcW w:type="dxa" w:w="2976"/>
          </w:tcPr>
          <w:p>
            <w:pPr>
              <w:spacing w:after="40" w:before="40"/>
            </w:pPr>
            <w:r>
              <w:rPr>
                <w:rFonts w:ascii="Calibri" w:hAnsi="Calibri"/>
                <w:b w:val="0"/>
                <w:sz w:val="20"/>
              </w:rPr>
              <w:t>All MVP customer invoices will be distributed exclusively via the MyNexstream portal. No print or email distribution configuration is required for MVP.</w:t>
            </w:r>
          </w:p>
        </w:tc>
        <w:tc>
          <w:tcPr>
            <w:tcW w:type="dxa" w:w="2976"/>
          </w:tcPr>
          <w:p>
            <w:pPr>
              <w:spacing w:after="40" w:before="40"/>
            </w:pPr>
            <w:r>
              <w:rPr>
                <w:rFonts w:ascii="Calibri" w:hAnsi="Calibri"/>
                <w:b w:val="0"/>
                <w:sz w:val="20"/>
              </w:rPr>
              <w:t>Invoice Distribution</w:t>
            </w:r>
          </w:p>
        </w:tc>
      </w:tr>
    </w:tbl>
    <w:p/>
    <w:p>
      <w:pPr>
        <w:pStyle w:val="Heading2"/>
      </w:pPr>
      <w:r>
        <w:t>2.6  Data Requirements</w:t>
      </w:r>
    </w:p>
    <w:p>
      <w:pPr>
        <w:spacing w:after="120" w:before="40"/>
      </w:pPr>
      <w:r>
        <w:rPr>
          <w:rFonts w:ascii="Calibri" w:hAnsi="Calibri"/>
          <w:b/>
          <w:color w:val="0070F2"/>
          <w:sz w:val="21"/>
        </w:rPr>
        <w:t xml:space="preserve">Purpose:  </w:t>
      </w:r>
      <w:r>
        <w:rPr>
          <w:rFonts w:ascii="Calibri" w:hAnsi="Calibri"/>
          <w:sz w:val="21"/>
        </w:rPr>
        <w:t>This section explains what data is needed to enable the Billing and Invoicing process to function. It establishes the transactional data needs and highlights where this data resides in the current business environment.</w:t>
      </w:r>
    </w:p>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1872"/>
            <w:shd w:val="clear" w:color="auto" w:fill="0070F2"/>
          </w:tcPr>
          <w:p>
            <w:pPr>
              <w:spacing w:after="40" w:before="40"/>
            </w:pPr>
            <w:r>
              <w:rPr>
                <w:rFonts w:ascii="Calibri" w:hAnsi="Calibri"/>
                <w:b/>
                <w:color w:val="FFFFFF"/>
                <w:sz w:val="20"/>
              </w:rPr>
              <w:t>Data Group</w:t>
            </w:r>
          </w:p>
        </w:tc>
        <w:tc>
          <w:tcPr>
            <w:tcW w:type="dxa" w:w="4032"/>
            <w:shd w:val="clear" w:color="auto" w:fill="0070F2"/>
          </w:tcPr>
          <w:p>
            <w:pPr>
              <w:spacing w:after="40" w:before="40"/>
            </w:pPr>
            <w:r>
              <w:rPr>
                <w:rFonts w:ascii="Calibri" w:hAnsi="Calibri"/>
                <w:b/>
                <w:color w:val="FFFFFF"/>
                <w:sz w:val="20"/>
              </w:rPr>
              <w:t>Data Description</w:t>
            </w:r>
          </w:p>
        </w:tc>
        <w:tc>
          <w:tcPr>
            <w:tcW w:type="dxa" w:w="1440"/>
            <w:shd w:val="clear" w:color="auto" w:fill="0070F2"/>
          </w:tcPr>
          <w:p>
            <w:pPr>
              <w:spacing w:after="40" w:before="40"/>
            </w:pPr>
            <w:r>
              <w:rPr>
                <w:rFonts w:ascii="Calibri" w:hAnsi="Calibri"/>
                <w:b/>
                <w:color w:val="FFFFFF"/>
                <w:sz w:val="20"/>
              </w:rPr>
              <w:t>Data Type</w:t>
            </w:r>
          </w:p>
        </w:tc>
        <w:tc>
          <w:tcPr>
            <w:tcW w:type="dxa" w:w="1584"/>
            <w:shd w:val="clear" w:color="auto" w:fill="0070F2"/>
          </w:tcPr>
          <w:p>
            <w:pPr>
              <w:spacing w:after="40" w:before="40"/>
            </w:pPr>
            <w:r>
              <w:rPr>
                <w:rFonts w:ascii="Calibri" w:hAnsi="Calibri"/>
                <w:b/>
                <w:color w:val="FFFFFF"/>
                <w:sz w:val="20"/>
              </w:rPr>
              <w:t>Source System</w:t>
            </w:r>
          </w:p>
        </w:tc>
        <w:tc>
          <w:tcPr>
            <w:tcW w:type="dxa" w:w="2160"/>
            <w:shd w:val="clear" w:color="auto" w:fill="0070F2"/>
          </w:tcPr>
          <w:p>
            <w:pPr>
              <w:spacing w:after="40" w:before="40"/>
            </w:pPr>
            <w:r>
              <w:rPr>
                <w:rFonts w:ascii="Calibri" w:hAnsi="Calibri"/>
                <w:b/>
                <w:color w:val="FFFFFF"/>
                <w:sz w:val="20"/>
              </w:rPr>
              <w:t>Data Owner / Contact</w:t>
            </w:r>
          </w:p>
        </w:tc>
        <w:tc>
          <w:tcPr>
            <w:tcW w:type="dxa" w:w="1440"/>
            <w:shd w:val="clear" w:color="auto" w:fill="0070F2"/>
          </w:tcPr>
          <w:p>
            <w:pPr>
              <w:spacing w:after="40" w:before="40"/>
            </w:pPr>
            <w:r>
              <w:rPr>
                <w:rFonts w:ascii="Calibri" w:hAnsi="Calibri"/>
                <w:b/>
                <w:color w:val="FFFFFF"/>
                <w:sz w:val="20"/>
              </w:rPr>
              <w:t>Target System</w:t>
            </w:r>
          </w:p>
        </w:tc>
      </w:tr>
      <w:tr>
        <w:tc>
          <w:tcPr>
            <w:tcW w:type="dxa" w:w="1488"/>
            <w:shd w:val="clear" w:color="auto" w:fill="E1F4FF"/>
          </w:tcPr>
          <w:p>
            <w:pPr>
              <w:spacing w:after="40" w:before="40"/>
            </w:pPr>
            <w:r>
              <w:rPr>
                <w:rFonts w:ascii="Calibri" w:hAnsi="Calibri"/>
                <w:b w:val="0"/>
                <w:sz w:val="20"/>
              </w:rPr>
              <w:t>Billable Item Details</w:t>
            </w:r>
          </w:p>
        </w:tc>
        <w:tc>
          <w:tcPr>
            <w:tcW w:type="dxa" w:w="1488"/>
            <w:shd w:val="clear" w:color="auto" w:fill="E1F4FF"/>
          </w:tcPr>
          <w:p>
            <w:pPr>
              <w:spacing w:after="40" w:before="40"/>
            </w:pPr>
            <w:r>
              <w:rPr>
                <w:rFonts w:ascii="Calibri" w:hAnsi="Calibri"/>
                <w:b w:val="0"/>
                <w:sz w:val="20"/>
              </w:rPr>
              <w:t>Line Item ID, Customer ID, USO Order ID, Deal ID, Invoice ID, Package ID, Package Name, Product ID, Product Name, Market Code, Flight Start Date, Flight End Date, Impression Volume, CPM Rate, Net Amount, Currency, Billing Cycle</w:t>
            </w:r>
          </w:p>
        </w:tc>
        <w:tc>
          <w:tcPr>
            <w:tcW w:type="dxa" w:w="1488"/>
            <w:shd w:val="clear" w:color="auto" w:fill="E1F4FF"/>
          </w:tcPr>
          <w:p>
            <w:pPr>
              <w:spacing w:after="40" w:before="40"/>
            </w:pPr>
            <w:r>
              <w:rPr>
                <w:rFonts w:ascii="Calibri" w:hAnsi="Calibri"/>
                <w:b w:val="0"/>
                <w:sz w:val="20"/>
              </w:rPr>
              <w:t>Transactional Data</w:t>
            </w:r>
          </w:p>
        </w:tc>
        <w:tc>
          <w:tcPr>
            <w:tcW w:type="dxa" w:w="1488"/>
            <w:shd w:val="clear" w:color="auto" w:fill="E1F4FF"/>
          </w:tcPr>
          <w:p>
            <w:pPr>
              <w:spacing w:after="40" w:before="40"/>
            </w:pPr>
            <w:r>
              <w:rPr>
                <w:rFonts w:ascii="Calibri" w:hAnsi="Calibri"/>
                <w:b w:val="0"/>
                <w:sz w:val="20"/>
              </w:rPr>
              <w:t>AdOps Central</w:t>
            </w:r>
          </w:p>
        </w:tc>
        <w:tc>
          <w:tcPr>
            <w:tcW w:type="dxa" w:w="1488"/>
            <w:shd w:val="clear" w:color="auto" w:fill="E1F4FF"/>
          </w:tcPr>
          <w:p>
            <w:pPr>
              <w:spacing w:after="40" w:before="40"/>
            </w:pPr>
            <w:r>
              <w:rPr>
                <w:rFonts w:ascii="Calibri" w:hAnsi="Calibri"/>
                <w:b w:val="0"/>
                <w:sz w:val="20"/>
              </w:rPr>
              <w:t>Tom Fisher, Chad Monroe, Valerie Santos</w:t>
            </w:r>
          </w:p>
        </w:tc>
        <w:tc>
          <w:tcPr>
            <w:tcW w:type="dxa" w:w="1488"/>
            <w:shd w:val="clear" w:color="auto" w:fill="E1F4FF"/>
          </w:tcPr>
          <w:p>
            <w:pPr>
              <w:spacing w:after="40" w:before="40"/>
            </w:pPr>
            <w:r>
              <w:rPr>
                <w:rFonts w:ascii="Calibri" w:hAnsi="Calibri"/>
                <w:b w:val="0"/>
                <w:sz w:val="20"/>
              </w:rPr>
              <w:t>SAP BRIM</w:t>
            </w:r>
          </w:p>
        </w:tc>
      </w:tr>
      <w:tr>
        <w:tc>
          <w:tcPr>
            <w:tcW w:type="dxa" w:w="1488"/>
          </w:tcPr>
          <w:p>
            <w:pPr>
              <w:spacing w:after="40" w:before="40"/>
            </w:pPr>
            <w:r>
              <w:rPr>
                <w:rFonts w:ascii="Calibri" w:hAnsi="Calibri"/>
                <w:b w:val="0"/>
                <w:sz w:val="20"/>
              </w:rPr>
              <w:t>Contract Account Details</w:t>
            </w:r>
          </w:p>
        </w:tc>
        <w:tc>
          <w:tcPr>
            <w:tcW w:type="dxa" w:w="1488"/>
          </w:tcPr>
          <w:p>
            <w:pPr>
              <w:spacing w:after="40" w:before="40"/>
            </w:pPr>
            <w:r>
              <w:rPr>
                <w:rFonts w:ascii="Calibri" w:hAnsi="Calibri"/>
                <w:b w:val="0"/>
                <w:sz w:val="20"/>
              </w:rPr>
              <w:t>Contract Account Number, Business Partner ID, Billing Cycle, Payment Terms, Invoice Delivery Method</w:t>
            </w:r>
          </w:p>
        </w:tc>
        <w:tc>
          <w:tcPr>
            <w:tcW w:type="dxa" w:w="1488"/>
          </w:tcPr>
          <w:p>
            <w:pPr>
              <w:spacing w:after="40" w:before="40"/>
            </w:pPr>
            <w:r>
              <w:rPr>
                <w:rFonts w:ascii="Calibri" w:hAnsi="Calibri"/>
                <w:b w:val="0"/>
                <w:sz w:val="20"/>
              </w:rPr>
              <w:t>Master Data</w:t>
            </w:r>
          </w:p>
        </w:tc>
        <w:tc>
          <w:tcPr>
            <w:tcW w:type="dxa" w:w="1488"/>
          </w:tcPr>
          <w:p>
            <w:pPr>
              <w:spacing w:after="40" w:before="40"/>
            </w:pPr>
            <w:r>
              <w:rPr>
                <w:rFonts w:ascii="Calibri" w:hAnsi="Calibri"/>
                <w:b w:val="0"/>
                <w:sz w:val="20"/>
              </w:rPr>
              <w:t>SAP BRIM</w:t>
            </w:r>
          </w:p>
        </w:tc>
        <w:tc>
          <w:tcPr>
            <w:tcW w:type="dxa" w:w="1488"/>
          </w:tcPr>
          <w:p>
            <w:pPr>
              <w:spacing w:after="40" w:before="40"/>
            </w:pPr>
            <w:r>
              <w:rPr>
                <w:rFonts w:ascii="Calibri" w:hAnsi="Calibri"/>
                <w:b w:val="0"/>
                <w:sz w:val="20"/>
              </w:rPr>
              <w:t>Finance Operations – Billing Team</w:t>
            </w:r>
          </w:p>
        </w:tc>
        <w:tc>
          <w:tcPr>
            <w:tcW w:type="dxa" w:w="1488"/>
          </w:tcPr>
          <w:p>
            <w:pPr>
              <w:spacing w:after="40" w:before="40"/>
            </w:pPr>
            <w:r>
              <w:rPr>
                <w:rFonts w:ascii="Calibri" w:hAnsi="Calibri"/>
                <w:b w:val="0"/>
                <w:sz w:val="20"/>
              </w:rPr>
              <w:t>SAP BRIM</w:t>
            </w:r>
          </w:p>
        </w:tc>
      </w:tr>
    </w:tbl>
    <w:p/>
    <w:p>
      <w:pPr>
        <w:pStyle w:val="Heading2"/>
      </w:pPr>
      <w:r>
        <w:t>2.7  Process Reporting Requirements</w:t>
      </w:r>
    </w:p>
    <w:p>
      <w:pPr>
        <w:spacing w:after="120" w:before="40"/>
      </w:pPr>
      <w:r>
        <w:rPr>
          <w:rFonts w:ascii="Calibri" w:hAnsi="Calibri"/>
          <w:b/>
          <w:color w:val="0070F2"/>
          <w:sz w:val="21"/>
        </w:rPr>
        <w:t xml:space="preserve">Purpose:  </w:t>
      </w:r>
      <w:r>
        <w:rPr>
          <w:rFonts w:ascii="Calibri" w:hAnsi="Calibri"/>
          <w:sz w:val="21"/>
        </w:rPr>
        <w:t>This is a list of reports associated with the Billing and Invoicing business process, providing key information about process performance and enabling Finance Operations to monitor and manage billing and invoice status.</w:t>
      </w:r>
    </w:p>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2880"/>
            <w:shd w:val="clear" w:color="auto" w:fill="0070F2"/>
          </w:tcPr>
          <w:p>
            <w:pPr>
              <w:spacing w:after="40" w:before="40"/>
            </w:pPr>
            <w:r>
              <w:rPr>
                <w:rFonts w:ascii="Calibri" w:hAnsi="Calibri"/>
                <w:b/>
                <w:color w:val="FFFFFF"/>
                <w:sz w:val="20"/>
              </w:rPr>
              <w:t>Report Name</w:t>
            </w:r>
          </w:p>
        </w:tc>
        <w:tc>
          <w:tcPr>
            <w:tcW w:type="dxa" w:w="1728"/>
            <w:shd w:val="clear" w:color="auto" w:fill="0070F2"/>
          </w:tcPr>
          <w:p>
            <w:pPr>
              <w:spacing w:after="40" w:before="40"/>
            </w:pPr>
            <w:r>
              <w:rPr>
                <w:rFonts w:ascii="Calibri" w:hAnsi="Calibri"/>
                <w:b/>
                <w:color w:val="FFFFFF"/>
                <w:sz w:val="20"/>
              </w:rPr>
              <w:t>Report Type</w:t>
            </w:r>
          </w:p>
        </w:tc>
        <w:tc>
          <w:tcPr>
            <w:tcW w:type="dxa" w:w="4320"/>
            <w:shd w:val="clear" w:color="auto" w:fill="0070F2"/>
          </w:tcPr>
          <w:p>
            <w:pPr>
              <w:spacing w:after="40" w:before="40"/>
            </w:pPr>
            <w:r>
              <w:rPr>
                <w:rFonts w:ascii="Calibri" w:hAnsi="Calibri"/>
                <w:b/>
                <w:color w:val="FFFFFF"/>
                <w:sz w:val="20"/>
              </w:rPr>
              <w:t>Report Description</w:t>
            </w:r>
          </w:p>
        </w:tc>
        <w:tc>
          <w:tcPr>
            <w:tcW w:type="dxa" w:w="1440"/>
            <w:shd w:val="clear" w:color="auto" w:fill="0070F2"/>
          </w:tcPr>
          <w:p>
            <w:pPr>
              <w:spacing w:after="40" w:before="40"/>
            </w:pPr>
            <w:r>
              <w:rPr>
                <w:rFonts w:ascii="Calibri" w:hAnsi="Calibri"/>
                <w:b/>
                <w:color w:val="FFFFFF"/>
                <w:sz w:val="20"/>
              </w:rPr>
              <w:t>L3 Process Ref.</w:t>
            </w:r>
          </w:p>
        </w:tc>
        <w:tc>
          <w:tcPr>
            <w:tcW w:type="dxa" w:w="1872"/>
            <w:shd w:val="clear" w:color="auto" w:fill="0070F2"/>
          </w:tcPr>
          <w:p>
            <w:pPr>
              <w:spacing w:after="40" w:before="40"/>
            </w:pPr>
            <w:r>
              <w:rPr>
                <w:rFonts w:ascii="Calibri" w:hAnsi="Calibri"/>
                <w:b/>
                <w:color w:val="FFFFFF"/>
                <w:sz w:val="20"/>
              </w:rPr>
              <w:t>L4 Step(s) Ref.</w:t>
            </w:r>
          </w:p>
        </w:tc>
      </w:tr>
      <w:tr>
        <w:tc>
          <w:tcPr>
            <w:tcW w:type="dxa" w:w="1786"/>
            <w:shd w:val="clear" w:color="auto" w:fill="E1F4FF"/>
          </w:tcPr>
          <w:p>
            <w:pPr>
              <w:spacing w:after="40" w:before="40"/>
            </w:pPr>
            <w:r>
              <w:rPr>
                <w:rFonts w:ascii="Calibri" w:hAnsi="Calibri"/>
                <w:b w:val="0"/>
                <w:sz w:val="20"/>
              </w:rPr>
              <w:t>BIT Monitor – FKKBIXBIT_MON / Display Billable Items Fiori App</w:t>
            </w:r>
          </w:p>
        </w:tc>
        <w:tc>
          <w:tcPr>
            <w:tcW w:type="dxa" w:w="1786"/>
            <w:shd w:val="clear" w:color="auto" w:fill="E1F4FF"/>
          </w:tcPr>
          <w:p>
            <w:pPr>
              <w:spacing w:after="40" w:before="40"/>
            </w:pPr>
            <w:r>
              <w:rPr>
                <w:rFonts w:ascii="Calibri" w:hAnsi="Calibri"/>
                <w:b w:val="0"/>
                <w:sz w:val="20"/>
              </w:rPr>
              <w:t>Standard SAP Report</w:t>
            </w:r>
          </w:p>
        </w:tc>
        <w:tc>
          <w:tcPr>
            <w:tcW w:type="dxa" w:w="1786"/>
            <w:shd w:val="clear" w:color="auto" w:fill="E1F4FF"/>
          </w:tcPr>
          <w:p>
            <w:pPr>
              <w:spacing w:after="40" w:before="40"/>
            </w:pPr>
            <w:r>
              <w:rPr>
                <w:rFonts w:ascii="Calibri" w:hAnsi="Calibri"/>
                <w:b w:val="0"/>
                <w:sz w:val="20"/>
              </w:rPr>
              <w:t>Displays all Billable Items and their status (billable, excepted, billed) for a given billing period. Used by Finance Operations to review imported transactions prior to billing.</w:t>
            </w:r>
          </w:p>
        </w:tc>
        <w:tc>
          <w:tcPr>
            <w:tcW w:type="dxa" w:w="1786"/>
            <w:shd w:val="clear" w:color="auto" w:fill="E1F4FF"/>
          </w:tcPr>
          <w:p>
            <w:pPr>
              <w:spacing w:after="40" w:before="40"/>
            </w:pPr>
            <w:r>
              <w:rPr>
                <w:rFonts w:ascii="Calibri" w:hAnsi="Calibri"/>
                <w:b w:val="0"/>
                <w:sz w:val="20"/>
              </w:rPr>
              <w:t>Invoice Creation</w:t>
            </w:r>
          </w:p>
        </w:tc>
        <w:tc>
          <w:tcPr>
            <w:tcW w:type="dxa" w:w="1786"/>
            <w:shd w:val="clear" w:color="auto" w:fill="E1F4FF"/>
          </w:tcPr>
          <w:p>
            <w:pPr>
              <w:spacing w:after="40" w:before="40"/>
            </w:pPr>
            <w:r>
              <w:rPr>
                <w:rFonts w:ascii="Calibri" w:hAnsi="Calibri"/>
                <w:b w:val="0"/>
                <w:sz w:val="20"/>
              </w:rPr>
              <w:t>5. Generate preview of imported transactions</w:t>
            </w:r>
          </w:p>
        </w:tc>
      </w:tr>
      <w:tr>
        <w:tc>
          <w:tcPr>
            <w:tcW w:type="dxa" w:w="1786"/>
          </w:tcPr>
          <w:p>
            <w:pPr>
              <w:spacing w:after="40" w:before="40"/>
            </w:pPr>
            <w:r>
              <w:rPr>
                <w:rFonts w:ascii="Calibri" w:hAnsi="Calibri"/>
                <w:b w:val="0"/>
                <w:sz w:val="20"/>
              </w:rPr>
              <w:t>Duplicate BITs – FKKBIXBIT_DC_MON / Display Duplicates – Billable Items</w:t>
            </w:r>
          </w:p>
        </w:tc>
        <w:tc>
          <w:tcPr>
            <w:tcW w:type="dxa" w:w="1786"/>
          </w:tcPr>
          <w:p>
            <w:pPr>
              <w:spacing w:after="40" w:before="40"/>
            </w:pPr>
            <w:r>
              <w:rPr>
                <w:rFonts w:ascii="Calibri" w:hAnsi="Calibri"/>
                <w:b w:val="0"/>
                <w:sz w:val="20"/>
              </w:rPr>
              <w:t>Standard SAP Report</w:t>
            </w:r>
          </w:p>
        </w:tc>
        <w:tc>
          <w:tcPr>
            <w:tcW w:type="dxa" w:w="1786"/>
          </w:tcPr>
          <w:p>
            <w:pPr>
              <w:spacing w:after="40" w:before="40"/>
            </w:pPr>
            <w:r>
              <w:rPr>
                <w:rFonts w:ascii="Calibri" w:hAnsi="Calibri"/>
                <w:b w:val="0"/>
                <w:sz w:val="20"/>
              </w:rPr>
              <w:t>Displays duplicate Billable Items identified during import. Used to investigate and resolve duplicate billing entries sourced from AdOps Central.</w:t>
            </w:r>
          </w:p>
        </w:tc>
        <w:tc>
          <w:tcPr>
            <w:tcW w:type="dxa" w:w="1786"/>
          </w:tcPr>
          <w:p>
            <w:pPr>
              <w:spacing w:after="40" w:before="40"/>
            </w:pPr>
            <w:r>
              <w:rPr>
                <w:rFonts w:ascii="Calibri" w:hAnsi="Calibri"/>
                <w:b w:val="0"/>
                <w:sz w:val="20"/>
              </w:rPr>
              <w:t>Invoice Creation</w:t>
            </w:r>
          </w:p>
        </w:tc>
        <w:tc>
          <w:tcPr>
            <w:tcW w:type="dxa" w:w="1786"/>
          </w:tcPr>
          <w:p>
            <w:pPr>
              <w:spacing w:after="40" w:before="40"/>
            </w:pPr>
            <w:r>
              <w:rPr>
                <w:rFonts w:ascii="Calibri" w:hAnsi="Calibri"/>
                <w:b w:val="0"/>
                <w:sz w:val="20"/>
              </w:rPr>
              <w:t>5. Generate preview of imported transactions</w:t>
            </w:r>
          </w:p>
        </w:tc>
      </w:tr>
      <w:tr>
        <w:tc>
          <w:tcPr>
            <w:tcW w:type="dxa" w:w="1786"/>
            <w:shd w:val="clear" w:color="auto" w:fill="E1F4FF"/>
          </w:tcPr>
          <w:p>
            <w:pPr>
              <w:spacing w:after="40" w:before="40"/>
            </w:pPr>
            <w:r>
              <w:rPr>
                <w:rFonts w:ascii="Calibri" w:hAnsi="Calibri"/>
                <w:b w:val="0"/>
                <w:sz w:val="20"/>
              </w:rPr>
              <w:t>FKKINVDOC_DISP / Display Invoicing Documents Fiori App</w:t>
            </w:r>
          </w:p>
        </w:tc>
        <w:tc>
          <w:tcPr>
            <w:tcW w:type="dxa" w:w="1786"/>
            <w:shd w:val="clear" w:color="auto" w:fill="E1F4FF"/>
          </w:tcPr>
          <w:p>
            <w:pPr>
              <w:spacing w:after="40" w:before="40"/>
            </w:pPr>
            <w:r>
              <w:rPr>
                <w:rFonts w:ascii="Calibri" w:hAnsi="Calibri"/>
                <w:b w:val="0"/>
                <w:sz w:val="20"/>
              </w:rPr>
              <w:t>Standard SAP Report</w:t>
            </w:r>
          </w:p>
        </w:tc>
        <w:tc>
          <w:tcPr>
            <w:tcW w:type="dxa" w:w="1786"/>
            <w:shd w:val="clear" w:color="auto" w:fill="E1F4FF"/>
          </w:tcPr>
          <w:p>
            <w:pPr>
              <w:spacing w:after="40" w:before="40"/>
            </w:pPr>
            <w:r>
              <w:rPr>
                <w:rFonts w:ascii="Calibri" w:hAnsi="Calibri"/>
                <w:b w:val="0"/>
                <w:sz w:val="20"/>
              </w:rPr>
              <w:t>Displays all invoicing documents generated by the invoicing batch job, including invoice number, amount, customer, and status. Finance Operations use this to verify invoice accuracy.</w:t>
            </w:r>
          </w:p>
        </w:tc>
        <w:tc>
          <w:tcPr>
            <w:tcW w:type="dxa" w:w="1786"/>
            <w:shd w:val="clear" w:color="auto" w:fill="E1F4FF"/>
          </w:tcPr>
          <w:p>
            <w:pPr>
              <w:spacing w:after="40" w:before="40"/>
            </w:pPr>
            <w:r>
              <w:rPr>
                <w:rFonts w:ascii="Calibri" w:hAnsi="Calibri"/>
                <w:b w:val="0"/>
                <w:sz w:val="20"/>
              </w:rPr>
              <w:t>Invoice Creation</w:t>
            </w:r>
          </w:p>
        </w:tc>
        <w:tc>
          <w:tcPr>
            <w:tcW w:type="dxa" w:w="1786"/>
            <w:shd w:val="clear" w:color="auto" w:fill="E1F4FF"/>
          </w:tcPr>
          <w:p>
            <w:pPr>
              <w:spacing w:after="40" w:before="40"/>
            </w:pPr>
            <w:r>
              <w:rPr>
                <w:rFonts w:ascii="Calibri" w:hAnsi="Calibri"/>
                <w:b w:val="0"/>
                <w:sz w:val="20"/>
              </w:rPr>
              <w:t>7. Generate consolidated invoice</w:t>
            </w:r>
          </w:p>
        </w:tc>
      </w:tr>
      <w:tr>
        <w:tc>
          <w:tcPr>
            <w:tcW w:type="dxa" w:w="1786"/>
          </w:tcPr>
          <w:p>
            <w:pPr>
              <w:spacing w:after="40" w:before="40"/>
            </w:pPr>
            <w:r>
              <w:rPr>
                <w:rFonts w:ascii="Calibri" w:hAnsi="Calibri"/>
                <w:b w:val="0"/>
                <w:sz w:val="20"/>
              </w:rPr>
              <w:t>FKKINVBILL_DISP / Display Billing Documents Fiori App</w:t>
            </w:r>
          </w:p>
        </w:tc>
        <w:tc>
          <w:tcPr>
            <w:tcW w:type="dxa" w:w="1786"/>
          </w:tcPr>
          <w:p>
            <w:pPr>
              <w:spacing w:after="40" w:before="40"/>
            </w:pPr>
            <w:r>
              <w:rPr>
                <w:rFonts w:ascii="Calibri" w:hAnsi="Calibri"/>
                <w:b w:val="0"/>
                <w:sz w:val="20"/>
              </w:rPr>
              <w:t>Standard SAP Report</w:t>
            </w:r>
          </w:p>
        </w:tc>
        <w:tc>
          <w:tcPr>
            <w:tcW w:type="dxa" w:w="1786"/>
          </w:tcPr>
          <w:p>
            <w:pPr>
              <w:spacing w:after="40" w:before="40"/>
            </w:pPr>
            <w:r>
              <w:rPr>
                <w:rFonts w:ascii="Calibri" w:hAnsi="Calibri"/>
                <w:b w:val="0"/>
                <w:sz w:val="20"/>
              </w:rPr>
              <w:t>Displays billing documents created during the billing run, showing which BITs were consolidated and the resulting billing document. Used to trace the billing-to-invoice chain.</w:t>
            </w:r>
          </w:p>
        </w:tc>
        <w:tc>
          <w:tcPr>
            <w:tcW w:type="dxa" w:w="1786"/>
          </w:tcPr>
          <w:p>
            <w:pPr>
              <w:spacing w:after="40" w:before="40"/>
            </w:pPr>
            <w:r>
              <w:rPr>
                <w:rFonts w:ascii="Calibri" w:hAnsi="Calibri"/>
                <w:b w:val="0"/>
                <w:sz w:val="20"/>
              </w:rPr>
              <w:t>Invoice Creation</w:t>
            </w:r>
          </w:p>
        </w:tc>
        <w:tc>
          <w:tcPr>
            <w:tcW w:type="dxa" w:w="1786"/>
          </w:tcPr>
          <w:p>
            <w:pPr>
              <w:spacing w:after="40" w:before="40"/>
            </w:pPr>
            <w:r>
              <w:rPr>
                <w:rFonts w:ascii="Calibri" w:hAnsi="Calibri"/>
                <w:b w:val="0"/>
                <w:sz w:val="20"/>
              </w:rPr>
              <w:t>7. Generate consolidated invoice</w:t>
            </w:r>
          </w:p>
        </w:tc>
      </w:tr>
      <w:tr>
        <w:tc>
          <w:tcPr>
            <w:tcW w:type="dxa" w:w="1786"/>
            <w:shd w:val="clear" w:color="auto" w:fill="E1F4FF"/>
          </w:tcPr>
          <w:p>
            <w:pPr>
              <w:spacing w:after="40" w:before="40"/>
            </w:pPr>
            <w:r>
              <w:rPr>
                <w:rFonts w:ascii="Calibri" w:hAnsi="Calibri"/>
                <w:b w:val="0"/>
                <w:sz w:val="20"/>
              </w:rPr>
              <w:t>FKKINV_CFC / Process Dispute Cases from Invoicing Fiori App</w:t>
            </w:r>
          </w:p>
        </w:tc>
        <w:tc>
          <w:tcPr>
            <w:tcW w:type="dxa" w:w="1786"/>
            <w:shd w:val="clear" w:color="auto" w:fill="E1F4FF"/>
          </w:tcPr>
          <w:p>
            <w:pPr>
              <w:spacing w:after="40" w:before="40"/>
            </w:pPr>
            <w:r>
              <w:rPr>
                <w:rFonts w:ascii="Calibri" w:hAnsi="Calibri"/>
                <w:b w:val="0"/>
                <w:sz w:val="20"/>
              </w:rPr>
              <w:t>Standard SAP Report</w:t>
            </w:r>
          </w:p>
        </w:tc>
        <w:tc>
          <w:tcPr>
            <w:tcW w:type="dxa" w:w="1786"/>
            <w:shd w:val="clear" w:color="auto" w:fill="E1F4FF"/>
          </w:tcPr>
          <w:p>
            <w:pPr>
              <w:spacing w:after="40" w:before="40"/>
            </w:pPr>
            <w:r>
              <w:rPr>
                <w:rFonts w:ascii="Calibri" w:hAnsi="Calibri"/>
                <w:b w:val="0"/>
                <w:sz w:val="20"/>
              </w:rPr>
              <w:t>Enables Finance Operations to review, accept, or reject preliminary invoices in the clarification queue. Used during the preliminary invoice approval workflow.</w:t>
            </w:r>
          </w:p>
        </w:tc>
        <w:tc>
          <w:tcPr>
            <w:tcW w:type="dxa" w:w="1786"/>
            <w:shd w:val="clear" w:color="auto" w:fill="E1F4FF"/>
          </w:tcPr>
          <w:p>
            <w:pPr>
              <w:spacing w:after="40" w:before="40"/>
            </w:pPr>
            <w:r>
              <w:rPr>
                <w:rFonts w:ascii="Calibri" w:hAnsi="Calibri"/>
                <w:b w:val="0"/>
                <w:sz w:val="20"/>
              </w:rPr>
              <w:t>Invoice Creation</w:t>
            </w:r>
          </w:p>
        </w:tc>
        <w:tc>
          <w:tcPr>
            <w:tcW w:type="dxa" w:w="1786"/>
            <w:shd w:val="clear" w:color="auto" w:fill="E1F4FF"/>
          </w:tcPr>
          <w:p>
            <w:pPr>
              <w:spacing w:after="40" w:before="40"/>
            </w:pPr>
            <w:r>
              <w:rPr>
                <w:rFonts w:ascii="Calibri" w:hAnsi="Calibri"/>
                <w:b w:val="0"/>
                <w:sz w:val="20"/>
              </w:rPr>
              <w:t>7. Preliminary invoice review</w:t>
            </w:r>
          </w:p>
        </w:tc>
      </w:tr>
      <w:tr>
        <w:tc>
          <w:tcPr>
            <w:tcW w:type="dxa" w:w="1786"/>
          </w:tcPr>
          <w:p>
            <w:pPr>
              <w:spacing w:after="40" w:before="40"/>
            </w:pPr>
            <w:r>
              <w:rPr>
                <w:rFonts w:ascii="Calibri" w:hAnsi="Calibri"/>
                <w:b w:val="0"/>
                <w:sz w:val="20"/>
              </w:rPr>
              <w:t>MyNexstream Invoice Distribution Log</w:t>
            </w:r>
          </w:p>
        </w:tc>
        <w:tc>
          <w:tcPr>
            <w:tcW w:type="dxa" w:w="1786"/>
          </w:tcPr>
          <w:p>
            <w:pPr>
              <w:spacing w:after="40" w:before="40"/>
            </w:pPr>
            <w:r>
              <w:rPr>
                <w:rFonts w:ascii="Calibri" w:hAnsi="Calibri"/>
                <w:b w:val="0"/>
                <w:sz w:val="20"/>
              </w:rPr>
              <w:t>Custom Report / Interface Log</w:t>
            </w:r>
          </w:p>
        </w:tc>
        <w:tc>
          <w:tcPr>
            <w:tcW w:type="dxa" w:w="1786"/>
          </w:tcPr>
          <w:p>
            <w:pPr>
              <w:spacing w:after="40" w:before="40"/>
            </w:pPr>
            <w:r>
              <w:rPr>
                <w:rFonts w:ascii="Calibri" w:hAnsi="Calibri"/>
                <w:b w:val="0"/>
                <w:sz w:val="20"/>
              </w:rPr>
              <w:t>Displays the status of invoice PDF and transactional data distribution to MyNexstream, including success/failure status, timestamp, and retry attempts.</w:t>
            </w:r>
          </w:p>
        </w:tc>
        <w:tc>
          <w:tcPr>
            <w:tcW w:type="dxa" w:w="1786"/>
          </w:tcPr>
          <w:p>
            <w:pPr>
              <w:spacing w:after="40" w:before="40"/>
            </w:pPr>
            <w:r>
              <w:rPr>
                <w:rFonts w:ascii="Calibri" w:hAnsi="Calibri"/>
                <w:b w:val="0"/>
                <w:sz w:val="20"/>
              </w:rPr>
              <w:t>Invoice Distribution</w:t>
            </w:r>
          </w:p>
        </w:tc>
        <w:tc>
          <w:tcPr>
            <w:tcW w:type="dxa" w:w="1786"/>
          </w:tcPr>
          <w:p>
            <w:pPr>
              <w:spacing w:after="40" w:before="40"/>
            </w:pPr>
            <w:r>
              <w:rPr>
                <w:rFonts w:ascii="Calibri" w:hAnsi="Calibri"/>
                <w:b w:val="0"/>
                <w:sz w:val="20"/>
              </w:rPr>
              <w:t>2. Distribute invoice to MyNexstream</w:t>
            </w:r>
          </w:p>
        </w:tc>
      </w:tr>
    </w:tbl>
    <w:p/>
    <w:p>
      <w:pPr>
        <w:pStyle w:val="Heading1"/>
      </w:pPr>
      <w:r>
        <w:t>3. Invoice Creation Process Details</w:t>
      </w:r>
    </w:p>
    <w:p>
      <w:pPr>
        <w:spacing w:after="120" w:before="40"/>
      </w:pPr>
      <w:r>
        <w:rPr>
          <w:rFonts w:ascii="Calibri" w:hAnsi="Calibri"/>
          <w:b/>
          <w:color w:val="0070F2"/>
          <w:sz w:val="21"/>
        </w:rPr>
        <w:t xml:space="preserve">Purpose:  </w:t>
      </w:r>
      <w:r>
        <w:rPr>
          <w:rFonts w:ascii="Calibri" w:hAnsi="Calibri"/>
          <w:sz w:val="21"/>
        </w:rPr>
        <w:t>To provide a detailed picture of the Invoice Creation Level 3 business process, with all the relevant process and solution detail required at this stage of the project.</w:t>
      </w:r>
    </w:p>
    <w:p>
      <w:pPr>
        <w:pStyle w:val="Heading2"/>
      </w:pPr>
      <w:r>
        <w:t>3.1  Process Owners</w:t>
      </w:r>
    </w:p>
    <w:p>
      <w:pPr>
        <w:spacing w:after="120" w:before="40"/>
      </w:pPr>
      <w:r>
        <w:rPr>
          <w:rFonts w:ascii="Calibri" w:hAnsi="Calibri"/>
          <w:b/>
          <w:color w:val="0070F2"/>
          <w:sz w:val="21"/>
        </w:rPr>
        <w:t xml:space="preserve">Purpose:  </w:t>
      </w:r>
      <w:r>
        <w:rPr>
          <w:rFonts w:ascii="Calibri" w:hAnsi="Calibri"/>
          <w:sz w:val="21"/>
        </w:rPr>
        <w:t>The named individuals within Nexstream who own the business process and are jointly responsible for the design and implementation of the Invoice Creation process.</w:t>
      </w:r>
    </w:p>
    <w:p/>
    <w:tbl>
      <w:tblPr>
        <w:tblStyle w:val="TableGrid"/>
        <w:tblW w:type="auto" w:w="0"/>
        <w:jc w:val="left"/>
        <w:tblLook w:firstColumn="1" w:firstRow="1" w:lastColumn="0" w:lastRow="0" w:noHBand="0" w:noVBand="1" w:val="04A0"/>
      </w:tblPr>
      <w:tblGrid>
        <w:gridCol w:w="4464"/>
        <w:gridCol w:w="4464"/>
      </w:tblGrid>
      <w:tr>
        <w:tc>
          <w:tcPr>
            <w:tcW w:type="dxa" w:w="3600"/>
            <w:shd w:val="clear" w:color="auto" w:fill="0070F2"/>
          </w:tcPr>
          <w:p>
            <w:pPr>
              <w:spacing w:after="40" w:before="40"/>
            </w:pPr>
            <w:r>
              <w:rPr>
                <w:rFonts w:ascii="Calibri" w:hAnsi="Calibri"/>
                <w:b/>
                <w:color w:val="FFFFFF"/>
                <w:sz w:val="20"/>
              </w:rPr>
              <w:t>Name</w:t>
            </w:r>
          </w:p>
        </w:tc>
        <w:tc>
          <w:tcPr>
            <w:tcW w:type="dxa" w:w="5760"/>
            <w:shd w:val="clear" w:color="auto" w:fill="0070F2"/>
          </w:tcPr>
          <w:p>
            <w:pPr>
              <w:spacing w:after="40" w:before="40"/>
            </w:pPr>
            <w:r>
              <w:rPr>
                <w:rFonts w:ascii="Calibri" w:hAnsi="Calibri"/>
                <w:b/>
                <w:color w:val="FFFFFF"/>
                <w:sz w:val="20"/>
              </w:rPr>
              <w:t>Role</w:t>
            </w:r>
          </w:p>
        </w:tc>
      </w:tr>
      <w:tr>
        <w:tc>
          <w:tcPr>
            <w:tcW w:type="dxa" w:w="4464"/>
            <w:shd w:val="clear" w:color="auto" w:fill="E1F4FF"/>
          </w:tcPr>
          <w:p>
            <w:pPr>
              <w:spacing w:after="40" w:before="40"/>
            </w:pPr>
            <w:r>
              <w:rPr>
                <w:rFonts w:ascii="Calibri" w:hAnsi="Calibri"/>
                <w:b w:val="0"/>
                <w:sz w:val="20"/>
              </w:rPr>
              <w:t>Tyler Nguyen</w:t>
            </w:r>
          </w:p>
        </w:tc>
        <w:tc>
          <w:tcPr>
            <w:tcW w:type="dxa" w:w="4464"/>
            <w:shd w:val="clear" w:color="auto" w:fill="E1F4FF"/>
          </w:tcPr>
          <w:p>
            <w:pPr>
              <w:spacing w:after="40" w:before="40"/>
            </w:pPr>
            <w:r>
              <w:rPr>
                <w:rFonts w:ascii="Calibri" w:hAnsi="Calibri"/>
                <w:b w:val="0"/>
                <w:sz w:val="20"/>
              </w:rPr>
              <w:t>Functional Lead – Billing and Invoicing</w:t>
            </w:r>
          </w:p>
        </w:tc>
      </w:tr>
      <w:tr>
        <w:tc>
          <w:tcPr>
            <w:tcW w:type="dxa" w:w="4464"/>
          </w:tcPr>
          <w:p>
            <w:pPr>
              <w:spacing w:after="40" w:before="40"/>
            </w:pPr>
            <w:r>
              <w:rPr>
                <w:rFonts w:ascii="Calibri" w:hAnsi="Calibri"/>
                <w:b w:val="0"/>
                <w:sz w:val="20"/>
              </w:rPr>
              <w:t>Alicia Bowers</w:t>
            </w:r>
          </w:p>
        </w:tc>
        <w:tc>
          <w:tcPr>
            <w:tcW w:type="dxa" w:w="4464"/>
          </w:tcPr>
          <w:p>
            <w:pPr>
              <w:spacing w:after="40" w:before="40"/>
            </w:pPr>
            <w:r>
              <w:rPr>
                <w:rFonts w:ascii="Calibri" w:hAnsi="Calibri"/>
                <w:b w:val="0"/>
                <w:sz w:val="20"/>
              </w:rPr>
              <w:t>Functional Lead – Accounts Receivable and Collections</w:t>
            </w:r>
          </w:p>
        </w:tc>
      </w:tr>
      <w:tr>
        <w:tc>
          <w:tcPr>
            <w:tcW w:type="dxa" w:w="4464"/>
            <w:shd w:val="clear" w:color="auto" w:fill="E1F4FF"/>
          </w:tcPr>
          <w:p>
            <w:pPr>
              <w:spacing w:after="40" w:before="40"/>
            </w:pPr>
            <w:r>
              <w:rPr>
                <w:rFonts w:ascii="Calibri" w:hAnsi="Calibri"/>
                <w:b w:val="0"/>
                <w:sz w:val="20"/>
              </w:rPr>
              <w:t>Michael Park</w:t>
            </w:r>
          </w:p>
        </w:tc>
        <w:tc>
          <w:tcPr>
            <w:tcW w:type="dxa" w:w="4464"/>
            <w:shd w:val="clear" w:color="auto" w:fill="E1F4FF"/>
          </w:tcPr>
          <w:p>
            <w:pPr>
              <w:spacing w:after="40" w:before="40"/>
            </w:pPr>
            <w:r>
              <w:rPr>
                <w:rFonts w:ascii="Calibri" w:hAnsi="Calibri"/>
                <w:b w:val="0"/>
                <w:sz w:val="20"/>
              </w:rPr>
              <w:t>Digital Experience / Product Lead</w:t>
            </w:r>
          </w:p>
        </w:tc>
      </w:tr>
      <w:tr>
        <w:tc>
          <w:tcPr>
            <w:tcW w:type="dxa" w:w="4464"/>
          </w:tcPr>
          <w:p>
            <w:pPr>
              <w:spacing w:after="40" w:before="40"/>
            </w:pPr>
            <w:r>
              <w:rPr>
                <w:rFonts w:ascii="Calibri" w:hAnsi="Calibri"/>
                <w:b w:val="0"/>
                <w:sz w:val="20"/>
              </w:rPr>
              <w:t>Sandra Lee</w:t>
            </w:r>
          </w:p>
        </w:tc>
        <w:tc>
          <w:tcPr>
            <w:tcW w:type="dxa" w:w="4464"/>
          </w:tcPr>
          <w:p>
            <w:pPr>
              <w:spacing w:after="40" w:before="40"/>
            </w:pPr>
            <w:r>
              <w:rPr>
                <w:rFonts w:ascii="Calibri" w:hAnsi="Calibri"/>
                <w:b w:val="0"/>
                <w:sz w:val="20"/>
              </w:rPr>
              <w:t>Project Lead</w:t>
            </w:r>
          </w:p>
        </w:tc>
      </w:tr>
    </w:tbl>
    <w:p/>
    <w:p>
      <w:pPr>
        <w:pStyle w:val="Heading2"/>
      </w:pPr>
      <w:r>
        <w:t>3.2  Process Key Decisions</w:t>
      </w:r>
    </w:p>
    <w:p>
      <w:pPr>
        <w:spacing w:after="120" w:before="40"/>
      </w:pPr>
      <w:r>
        <w:rPr>
          <w:rFonts w:ascii="Calibri" w:hAnsi="Calibri"/>
          <w:b/>
          <w:color w:val="0070F2"/>
          <w:sz w:val="21"/>
        </w:rPr>
        <w:t xml:space="preserve">Purpose:  </w:t>
      </w:r>
      <w:r>
        <w:rPr>
          <w:rFonts w:ascii="Calibri" w:hAnsi="Calibri"/>
          <w:sz w:val="21"/>
        </w:rPr>
        <w:t>To document key decisions made that impact the Invoice Creation process design.</w:t>
      </w:r>
    </w:p>
    <w:p/>
    <w:tbl>
      <w:tblPr>
        <w:tblStyle w:val="TableGrid"/>
        <w:tblW w:type="auto" w:w="0"/>
        <w:jc w:val="left"/>
        <w:tblLook w:firstColumn="1" w:firstRow="1" w:lastColumn="0" w:lastRow="0" w:noHBand="0" w:noVBand="1" w:val="04A0"/>
      </w:tblPr>
      <w:tblGrid>
        <w:gridCol w:w="4464"/>
        <w:gridCol w:w="4464"/>
      </w:tblGrid>
      <w:tr>
        <w:tc>
          <w:tcPr>
            <w:tcW w:type="dxa" w:w="1584"/>
            <w:shd w:val="clear" w:color="auto" w:fill="0070F2"/>
          </w:tcPr>
          <w:p>
            <w:pPr>
              <w:spacing w:after="40" w:before="40"/>
            </w:pPr>
            <w:r>
              <w:rPr>
                <w:rFonts w:ascii="Calibri" w:hAnsi="Calibri"/>
                <w:b/>
                <w:color w:val="FFFFFF"/>
                <w:sz w:val="20"/>
              </w:rPr>
              <w:t>Decision ID</w:t>
            </w:r>
          </w:p>
        </w:tc>
        <w:tc>
          <w:tcPr>
            <w:tcW w:type="dxa" w:w="9216"/>
            <w:shd w:val="clear" w:color="auto" w:fill="0070F2"/>
          </w:tcPr>
          <w:p>
            <w:pPr>
              <w:spacing w:after="40" w:before="40"/>
            </w:pPr>
            <w:r>
              <w:rPr>
                <w:rFonts w:ascii="Calibri" w:hAnsi="Calibri"/>
                <w:b/>
                <w:color w:val="FFFFFF"/>
                <w:sz w:val="20"/>
              </w:rPr>
              <w:t>Description</w:t>
            </w:r>
          </w:p>
        </w:tc>
      </w:tr>
      <w:tr>
        <w:tc>
          <w:tcPr>
            <w:tcW w:type="dxa" w:w="4464"/>
            <w:shd w:val="clear" w:color="auto" w:fill="E1F4FF"/>
          </w:tcPr>
          <w:p>
            <w:pPr>
              <w:spacing w:after="40" w:before="40"/>
            </w:pPr>
            <w:r>
              <w:rPr>
                <w:rFonts w:ascii="Calibri" w:hAnsi="Calibri"/>
                <w:b w:val="0"/>
                <w:sz w:val="20"/>
              </w:rPr>
              <w:t>DE-01</w:t>
            </w:r>
          </w:p>
        </w:tc>
        <w:tc>
          <w:tcPr>
            <w:tcW w:type="dxa" w:w="4464"/>
            <w:shd w:val="clear" w:color="auto" w:fill="E1F4FF"/>
          </w:tcPr>
          <w:p>
            <w:pPr>
              <w:spacing w:after="40" w:before="40"/>
            </w:pPr>
            <w:r>
              <w:rPr>
                <w:rFonts w:ascii="Calibri" w:hAnsi="Calibri"/>
                <w:b w:val="0"/>
                <w:sz w:val="20"/>
              </w:rPr>
              <w:t>Transactional billing data (CPM rate and impression volume) will be sourced from AdOps Central. All rating and charging calculations are performed in AdOps Central prior to upload into SAP BRIM.</w:t>
            </w:r>
          </w:p>
        </w:tc>
      </w:tr>
      <w:tr>
        <w:tc>
          <w:tcPr>
            <w:tcW w:type="dxa" w:w="4464"/>
          </w:tcPr>
          <w:p>
            <w:pPr>
              <w:spacing w:after="40" w:before="40"/>
            </w:pPr>
            <w:r>
              <w:rPr>
                <w:rFonts w:ascii="Calibri" w:hAnsi="Calibri"/>
                <w:b w:val="0"/>
                <w:sz w:val="20"/>
              </w:rPr>
              <w:t>DE-11</w:t>
            </w:r>
          </w:p>
        </w:tc>
        <w:tc>
          <w:tcPr>
            <w:tcW w:type="dxa" w:w="4464"/>
          </w:tcPr>
          <w:p>
            <w:pPr>
              <w:spacing w:after="40" w:before="40"/>
            </w:pPr>
            <w:r>
              <w:rPr>
                <w:rFonts w:ascii="Calibri" w:hAnsi="Calibri"/>
                <w:b w:val="0"/>
                <w:sz w:val="20"/>
              </w:rPr>
              <w:t>No static customer statement will be generated in SAP BRIM for MVP. Customer balances will be visible in MyNexstream via the AR balance interface.</w:t>
            </w:r>
          </w:p>
        </w:tc>
      </w:tr>
      <w:tr>
        <w:tc>
          <w:tcPr>
            <w:tcW w:type="dxa" w:w="4464"/>
            <w:shd w:val="clear" w:color="auto" w:fill="E1F4FF"/>
          </w:tcPr>
          <w:p>
            <w:pPr>
              <w:spacing w:after="40" w:before="40"/>
            </w:pPr>
            <w:r>
              <w:rPr>
                <w:rFonts w:ascii="Calibri" w:hAnsi="Calibri"/>
                <w:b w:val="0"/>
                <w:sz w:val="20"/>
              </w:rPr>
              <w:t>DE-13</w:t>
            </w:r>
          </w:p>
        </w:tc>
        <w:tc>
          <w:tcPr>
            <w:tcW w:type="dxa" w:w="4464"/>
            <w:shd w:val="clear" w:color="auto" w:fill="E1F4FF"/>
          </w:tcPr>
          <w:p>
            <w:pPr>
              <w:spacing w:after="40" w:before="40"/>
            </w:pPr>
            <w:r>
              <w:rPr>
                <w:rFonts w:ascii="Calibri" w:hAnsi="Calibri"/>
                <w:b w:val="0"/>
                <w:sz w:val="20"/>
              </w:rPr>
              <w:t>Commission and affiliate calculations will be performed outside SAP BRIM for MVP. Finance Operations will handle adjustments manually via journal entries.</w:t>
            </w:r>
          </w:p>
        </w:tc>
      </w:tr>
      <w:tr>
        <w:tc>
          <w:tcPr>
            <w:tcW w:type="dxa" w:w="4464"/>
          </w:tcPr>
          <w:p>
            <w:pPr>
              <w:spacing w:after="40" w:before="40"/>
            </w:pPr>
            <w:r>
              <w:rPr>
                <w:rFonts w:ascii="Calibri" w:hAnsi="Calibri"/>
                <w:b w:val="0"/>
                <w:sz w:val="20"/>
              </w:rPr>
              <w:t>DE-23</w:t>
            </w:r>
          </w:p>
        </w:tc>
        <w:tc>
          <w:tcPr>
            <w:tcW w:type="dxa" w:w="4464"/>
          </w:tcPr>
          <w:p>
            <w:pPr>
              <w:spacing w:after="40" w:before="40"/>
            </w:pPr>
            <w:r>
              <w:rPr>
                <w:rFonts w:ascii="Calibri" w:hAnsi="Calibri"/>
                <w:b w:val="0"/>
                <w:sz w:val="20"/>
              </w:rPr>
              <w:t>Co-op credits will be handled outside SAP BRIM. Manual adjustments will be processed by the Finance Operations team post-invoice generation.</w:t>
            </w:r>
          </w:p>
        </w:tc>
      </w:tr>
      <w:tr>
        <w:tc>
          <w:tcPr>
            <w:tcW w:type="dxa" w:w="4464"/>
            <w:shd w:val="clear" w:color="auto" w:fill="E1F4FF"/>
          </w:tcPr>
          <w:p>
            <w:pPr>
              <w:spacing w:after="40" w:before="40"/>
            </w:pPr>
            <w:r>
              <w:rPr>
                <w:rFonts w:ascii="Calibri" w:hAnsi="Calibri"/>
                <w:b w:val="0"/>
                <w:sz w:val="20"/>
              </w:rPr>
              <w:t>DE-47</w:t>
            </w:r>
          </w:p>
        </w:tc>
        <w:tc>
          <w:tcPr>
            <w:tcW w:type="dxa" w:w="4464"/>
            <w:shd w:val="clear" w:color="auto" w:fill="E1F4FF"/>
          </w:tcPr>
          <w:p>
            <w:pPr>
              <w:spacing w:after="40" w:before="40"/>
            </w:pPr>
            <w:r>
              <w:rPr>
                <w:rFonts w:ascii="Calibri" w:hAnsi="Calibri"/>
                <w:b w:val="0"/>
                <w:sz w:val="20"/>
              </w:rPr>
              <w:t>Tax fields will be excluded from billable items for MVP, as Nexstream's CTV advertising products are not subject to sales tax in MVP markets.</w:t>
            </w:r>
          </w:p>
        </w:tc>
      </w:tr>
      <w:tr>
        <w:tc>
          <w:tcPr>
            <w:tcW w:type="dxa" w:w="4464"/>
          </w:tcPr>
          <w:p>
            <w:pPr>
              <w:spacing w:after="40" w:before="40"/>
            </w:pPr>
            <w:r>
              <w:rPr>
                <w:rFonts w:ascii="Calibri" w:hAnsi="Calibri"/>
                <w:b w:val="0"/>
                <w:sz w:val="20"/>
              </w:rPr>
              <w:t>DE-55</w:t>
            </w:r>
          </w:p>
        </w:tc>
        <w:tc>
          <w:tcPr>
            <w:tcW w:type="dxa" w:w="4464"/>
          </w:tcPr>
          <w:p>
            <w:pPr>
              <w:spacing w:after="40" w:before="40"/>
            </w:pPr>
            <w:r>
              <w:rPr>
                <w:rFonts w:ascii="Calibri" w:hAnsi="Calibri"/>
                <w:b w:val="0"/>
                <w:sz w:val="20"/>
              </w:rPr>
              <w:t>One consolidated invoice will be generated per USO Order ID per customer per billing period. Multiple line items within the same order are grouped on a single invoice.</w:t>
            </w:r>
          </w:p>
        </w:tc>
      </w:tr>
      <w:tr>
        <w:tc>
          <w:tcPr>
            <w:tcW w:type="dxa" w:w="4464"/>
            <w:shd w:val="clear" w:color="auto" w:fill="E1F4FF"/>
          </w:tcPr>
          <w:p>
            <w:pPr>
              <w:spacing w:after="40" w:before="40"/>
            </w:pPr>
            <w:r>
              <w:rPr>
                <w:rFonts w:ascii="Calibri" w:hAnsi="Calibri"/>
                <w:b w:val="0"/>
                <w:sz w:val="20"/>
              </w:rPr>
              <w:t>DE-56</w:t>
            </w:r>
          </w:p>
        </w:tc>
        <w:tc>
          <w:tcPr>
            <w:tcW w:type="dxa" w:w="4464"/>
            <w:shd w:val="clear" w:color="auto" w:fill="E1F4FF"/>
          </w:tcPr>
          <w:p>
            <w:pPr>
              <w:spacing w:after="40" w:before="40"/>
            </w:pPr>
            <w:r>
              <w:rPr>
                <w:rFonts w:ascii="Calibri" w:hAnsi="Calibri"/>
                <w:b w:val="0"/>
                <w:sz w:val="20"/>
              </w:rPr>
              <w:t>Billing run and invoice generation jobs will be scheduled via FPScheduler to run overnight after the AdOps Central Finance Export is uploaded.</w:t>
            </w:r>
          </w:p>
        </w:tc>
      </w:tr>
      <w:tr>
        <w:tc>
          <w:tcPr>
            <w:tcW w:type="dxa" w:w="4464"/>
          </w:tcPr>
          <w:p>
            <w:pPr>
              <w:spacing w:after="40" w:before="40"/>
            </w:pPr>
            <w:r>
              <w:rPr>
                <w:rFonts w:ascii="Calibri" w:hAnsi="Calibri"/>
                <w:b w:val="0"/>
                <w:sz w:val="20"/>
              </w:rPr>
              <w:t>DE-57</w:t>
            </w:r>
          </w:p>
        </w:tc>
        <w:tc>
          <w:tcPr>
            <w:tcW w:type="dxa" w:w="4464"/>
          </w:tcPr>
          <w:p>
            <w:pPr>
              <w:spacing w:after="40" w:before="40"/>
            </w:pPr>
            <w:r>
              <w:rPr>
                <w:rFonts w:ascii="Calibri" w:hAnsi="Calibri"/>
                <w:b w:val="0"/>
                <w:sz w:val="20"/>
              </w:rPr>
              <w:t>SAP BRIM will be the system of record for all invoice documents. MyNexstream will display invoices via API integration but will not store invoice master data independently.</w:t>
            </w:r>
          </w:p>
        </w:tc>
      </w:tr>
      <w:tr>
        <w:tc>
          <w:tcPr>
            <w:tcW w:type="dxa" w:w="4464"/>
            <w:shd w:val="clear" w:color="auto" w:fill="E1F4FF"/>
          </w:tcPr>
          <w:p>
            <w:pPr>
              <w:spacing w:after="40" w:before="40"/>
            </w:pPr>
            <w:r>
              <w:rPr>
                <w:rFonts w:ascii="Calibri" w:hAnsi="Calibri"/>
                <w:b w:val="0"/>
                <w:sz w:val="20"/>
              </w:rPr>
              <w:t>DE-58</w:t>
            </w:r>
          </w:p>
        </w:tc>
        <w:tc>
          <w:tcPr>
            <w:tcW w:type="dxa" w:w="4464"/>
            <w:shd w:val="clear" w:color="auto" w:fill="E1F4FF"/>
          </w:tcPr>
          <w:p>
            <w:pPr>
              <w:spacing w:after="40" w:before="40"/>
            </w:pPr>
            <w:r>
              <w:rPr>
                <w:rFonts w:ascii="Calibri" w:hAnsi="Calibri"/>
                <w:b w:val="0"/>
                <w:sz w:val="20"/>
              </w:rPr>
              <w:t>Preliminary invoicing will be enabled for high-value customers (defined as net amount greater than $500,000 per order per billing period) and new customers in their first billing cycle. Criteria will be finalised during the Build phase.</w:t>
            </w:r>
          </w:p>
        </w:tc>
      </w:tr>
      <w:tr>
        <w:tc>
          <w:tcPr>
            <w:tcW w:type="dxa" w:w="4464"/>
          </w:tcPr>
          <w:p>
            <w:pPr>
              <w:spacing w:after="40" w:before="40"/>
            </w:pPr>
            <w:r>
              <w:rPr>
                <w:rFonts w:ascii="Calibri" w:hAnsi="Calibri"/>
                <w:b w:val="0"/>
                <w:sz w:val="20"/>
              </w:rPr>
              <w:t>DE-59</w:t>
            </w:r>
          </w:p>
        </w:tc>
        <w:tc>
          <w:tcPr>
            <w:tcW w:type="dxa" w:w="4464"/>
          </w:tcPr>
          <w:p>
            <w:pPr>
              <w:spacing w:after="40" w:before="40"/>
            </w:pPr>
            <w:r>
              <w:rPr>
                <w:rFonts w:ascii="Calibri" w:hAnsi="Calibri"/>
                <w:b w:val="0"/>
                <w:sz w:val="20"/>
              </w:rPr>
              <w:t>The Finance Export CSV format from AdOps Central will be agreed and frozen prior to the start of the Build phase. Any changes to the format after Build commencement will be managed through the project change control process.</w:t>
            </w:r>
          </w:p>
        </w:tc>
      </w:tr>
      <w:tr>
        <w:tc>
          <w:tcPr>
            <w:tcW w:type="dxa" w:w="4464"/>
            <w:shd w:val="clear" w:color="auto" w:fill="E1F4FF"/>
          </w:tcPr>
          <w:p>
            <w:pPr>
              <w:spacing w:after="40" w:before="40"/>
            </w:pPr>
            <w:r>
              <w:rPr>
                <w:rFonts w:ascii="Calibri" w:hAnsi="Calibri"/>
                <w:b w:val="0"/>
                <w:sz w:val="20"/>
              </w:rPr>
              <w:t>DE-60</w:t>
            </w:r>
          </w:p>
        </w:tc>
        <w:tc>
          <w:tcPr>
            <w:tcW w:type="dxa" w:w="4464"/>
            <w:shd w:val="clear" w:color="auto" w:fill="E1F4FF"/>
          </w:tcPr>
          <w:p>
            <w:pPr>
              <w:spacing w:after="40" w:before="40"/>
            </w:pPr>
            <w:r>
              <w:rPr>
                <w:rFonts w:ascii="Calibri" w:hAnsi="Calibri"/>
                <w:b w:val="0"/>
                <w:sz w:val="20"/>
              </w:rPr>
              <w:t>Revenue will be recognised on a delivery basis (end-of-flight or end-of-month) and will not be recognised until all relevant BITs have been successfully invoiced and posted to the FI-CA subledger.</w:t>
            </w:r>
          </w:p>
        </w:tc>
      </w:tr>
      <w:tr>
        <w:tc>
          <w:tcPr>
            <w:tcW w:type="dxa" w:w="4464"/>
          </w:tcPr>
          <w:p>
            <w:pPr>
              <w:spacing w:after="40" w:before="40"/>
            </w:pPr>
            <w:r>
              <w:rPr>
                <w:rFonts w:ascii="Calibri" w:hAnsi="Calibri"/>
                <w:b w:val="0"/>
                <w:sz w:val="20"/>
              </w:rPr>
              <w:t>DE-99</w:t>
            </w:r>
          </w:p>
        </w:tc>
        <w:tc>
          <w:tcPr>
            <w:tcW w:type="dxa" w:w="4464"/>
          </w:tcPr>
          <w:p>
            <w:pPr>
              <w:spacing w:after="40" w:before="40"/>
            </w:pPr>
            <w:r>
              <w:rPr>
                <w:rFonts w:ascii="Calibri" w:hAnsi="Calibri"/>
                <w:b w:val="0"/>
                <w:sz w:val="20"/>
              </w:rPr>
              <w:t>Billing cycle (Monthly, End-of-Flight) will be maintained on the Contract Account in SAP BRIM, with AdOps Central providing the per-order billing cycle in the Finance Export as the authoritative source for each billing run.</w:t>
            </w:r>
          </w:p>
        </w:tc>
      </w:tr>
    </w:tbl>
    <w:p/>
    <w:p>
      <w:pPr>
        <w:pStyle w:val="Heading2"/>
      </w:pPr>
      <w:r>
        <w:t>3.3  Process Overview</w:t>
      </w:r>
    </w:p>
    <w:p>
      <w:pPr>
        <w:spacing w:after="120" w:before="40"/>
      </w:pPr>
      <w:r>
        <w:rPr>
          <w:rFonts w:ascii="Calibri" w:hAnsi="Calibri"/>
          <w:b/>
          <w:color w:val="0070F2"/>
          <w:sz w:val="21"/>
        </w:rPr>
        <w:t xml:space="preserve">Purpose:  </w:t>
      </w:r>
      <w:r>
        <w:rPr>
          <w:rFonts w:ascii="Calibri" w:hAnsi="Calibri"/>
          <w:sz w:val="21"/>
        </w:rPr>
        <w:t>This section provides a detailed description of the purpose and steps of the Invoice Creation business process.</w:t>
      </w:r>
    </w:p>
    <w:p/>
    <w:p>
      <w:pPr>
        <w:spacing w:after="120" w:before="40"/>
      </w:pPr>
      <w:r>
        <w:rPr>
          <w:rFonts w:ascii="Calibri" w:hAnsi="Calibri"/>
          <w:b/>
          <w:i w:val="0"/>
          <w:color w:val="00144A"/>
          <w:sz w:val="21"/>
        </w:rPr>
        <w:t>Billable Item Data Checks in AdOps Central</w:t>
      </w:r>
    </w:p>
    <w:p>
      <w:pPr>
        <w:spacing w:after="120" w:before="40"/>
      </w:pPr>
      <w:r>
        <w:rPr>
          <w:rFonts w:ascii="Calibri" w:hAnsi="Calibri"/>
          <w:b w:val="0"/>
          <w:i w:val="0"/>
          <w:sz w:val="21"/>
        </w:rPr>
        <w:t>A series of checks are performed by various Business Operations teams (Traffic, Campaign Management, Data Governance) prior to locking and closing individual order line items in AdOps Central. This process involves reviewing delivered impression data, validating CPM rates against executed deal terms, and confirming that all required billing fields are populated and accurate.</w:t>
      </w:r>
    </w:p>
    <w:p>
      <w:pPr>
        <w:spacing w:after="120" w:before="40"/>
      </w:pPr>
      <w:r>
        <w:rPr>
          <w:rFonts w:ascii="Calibri" w:hAnsi="Calibri"/>
          <w:b w:val="0"/>
          <w:i w:val="0"/>
          <w:sz w:val="21"/>
        </w:rPr>
        <w:t>If an error is identified, the correction is made directly in AdOps Central. Once the line items are locked, a Finance Export from AdOps Central is generated in CSV format and deposited on the shared network drive. The CSV file contains only the columns relevant for Billing and Invoicing as agreed with the project team.</w:t>
      </w:r>
    </w:p>
    <w:p/>
    <w:p>
      <w:pPr>
        <w:spacing w:after="120" w:before="40"/>
      </w:pPr>
      <w:r>
        <w:rPr>
          <w:rFonts w:ascii="Calibri" w:hAnsi="Calibri"/>
          <w:b/>
          <w:i w:val="0"/>
          <w:color w:val="00144A"/>
          <w:sz w:val="21"/>
        </w:rPr>
        <w:t>Billable Item Data Upload into SAP BRIM</w:t>
      </w:r>
    </w:p>
    <w:p>
      <w:pPr>
        <w:spacing w:after="120" w:before="40"/>
      </w:pPr>
      <w:r>
        <w:rPr>
          <w:rFonts w:ascii="Calibri" w:hAnsi="Calibri"/>
          <w:b w:val="0"/>
          <w:i w:val="0"/>
          <w:sz w:val="21"/>
        </w:rPr>
        <w:t>A Finance Operations – Billing team member retrieves the AdOps Central Finance Export file from the shared network drive and manually uploads the file into SAP BRIM using the 'Upload Billable Items' Fiori app (transaction ZZBIT_CREATE). The CSV file includes all relevant data fields such as CPM rate, impression volume, billing period, USO Order ID, and Customer ID.</w:t>
      </w:r>
    </w:p>
    <w:p>
      <w:pPr>
        <w:spacing w:after="120" w:before="40"/>
      </w:pPr>
      <w:r>
        <w:rPr>
          <w:rFonts w:ascii="Calibri" w:hAnsi="Calibri"/>
          <w:b w:val="0"/>
          <w:i w:val="0"/>
          <w:sz w:val="21"/>
        </w:rPr>
        <w:t>AdOps Central will generate a Finance Export containing only the agreed billing columns. SAP BRIM will filter the rows to select only items relevant for MVP customers, based on a Nexstream-specific customer segment flag in the CSV. The custom enrichment logic (WRICEF 5) will then derive the Business Partner, Contract Account, and Material fields required by SAP BRIM.</w:t>
      </w:r>
    </w:p>
    <w:p>
      <w:pPr>
        <w:spacing w:after="120" w:before="40"/>
      </w:pPr>
      <w:r>
        <w:rPr>
          <w:rFonts w:ascii="Calibri" w:hAnsi="Calibri"/>
          <w:b w:val="0"/>
          <w:i w:val="0"/>
          <w:sz w:val="21"/>
        </w:rPr>
        <w:t>The Finance Operations team member can simulate the file upload to check for errors before committing the import. The system will identify any rows that cannot be processed (excepted BITs) due to missing enrichment data, duplicate detection, or format inconsistencies. The user then has the ability to request a corrected Finance Export from AdOps Central or manually resolve exceptions via the Display Billable Items Fiori app.</w:t>
      </w:r>
    </w:p>
    <w:p>
      <w:pPr>
        <w:spacing w:after="120" w:before="40"/>
      </w:pPr>
      <w:r>
        <w:rPr>
          <w:rFonts w:ascii="Calibri" w:hAnsi="Calibri"/>
          <w:b w:val="0"/>
          <w:i w:val="0"/>
          <w:sz w:val="21"/>
        </w:rPr>
        <w:t>Once the file is successfully imported into SAP BRIM, the system uses the Invoice ID, Line Item ID, and USO Order ID fields to perform duplicate checks, ensuring a line item is only billed once per billing period. Duplicate records are flagged and made available in the Display Duplicates Fiori app for Finance Operations review.</w:t>
      </w:r>
    </w:p>
    <w:p>
      <w:pPr>
        <w:spacing w:after="120" w:before="40"/>
      </w:pPr>
      <w:r>
        <w:rPr>
          <w:rFonts w:ascii="Calibri" w:hAnsi="Calibri"/>
          <w:b w:val="0"/>
          <w:i w:val="0"/>
          <w:sz w:val="21"/>
        </w:rPr>
        <w:t>After a successful import, the system provides a preview of the ingested transactions in the 'Display Billable Items' Fiori app (FKKBIXBIT_MON), which can be reviewed for accuracy by the Finance Operations – Billing team prior to the billing document creation run.</w:t>
      </w:r>
    </w:p>
    <w:p/>
    <w:p>
      <w:pPr>
        <w:spacing w:after="120" w:before="40"/>
      </w:pPr>
      <w:r>
        <w:rPr>
          <w:rFonts w:ascii="Calibri" w:hAnsi="Calibri"/>
          <w:b/>
          <w:i w:val="0"/>
          <w:color w:val="00144A"/>
          <w:sz w:val="21"/>
        </w:rPr>
        <w:t>Billing and Invoicing Processing in SAP BRIM</w:t>
      </w:r>
    </w:p>
    <w:p>
      <w:pPr>
        <w:spacing w:after="120" w:before="40"/>
      </w:pPr>
      <w:r>
        <w:rPr>
          <w:rFonts w:ascii="Calibri" w:hAnsi="Calibri"/>
          <w:b w:val="0"/>
          <w:i w:val="0"/>
          <w:sz w:val="21"/>
        </w:rPr>
        <w:t>All billable items are assumed to be ready to be invoiced once uploaded to the system. Therefore, SAP BRIM does not need to determine when to bill each item based on flight calendar or broadcast month schedules — this determination has already been made by AdOps Central prior to the Finance Export generation.</w:t>
      </w:r>
    </w:p>
    <w:p>
      <w:pPr>
        <w:spacing w:after="120" w:before="40"/>
      </w:pPr>
      <w:r>
        <w:rPr>
          <w:rFonts w:ascii="Calibri" w:hAnsi="Calibri"/>
          <w:b w:val="0"/>
          <w:i w:val="0"/>
          <w:sz w:val="21"/>
        </w:rPr>
        <w:t>Once billable items are uploaded from AdOps Central, eligible BITs (excluding those excepted due to duplicate checks or enrichment errors) will be picked up by the billing batch job scheduled via FPScheduler. The billing job consolidates individual BITs into billing documents grouped by USO Order ID. Each billing document will contain all impression-level line items for a given order within the billing period.</w:t>
      </w:r>
    </w:p>
    <w:p>
      <w:pPr>
        <w:spacing w:after="120" w:before="40"/>
      </w:pPr>
      <w:r>
        <w:rPr>
          <w:rFonts w:ascii="Calibri" w:hAnsi="Calibri"/>
          <w:b w:val="0"/>
          <w:i w:val="0"/>
          <w:sz w:val="21"/>
        </w:rPr>
        <w:t>Next, the invoicing batch job (FKKINV_MA) will run automatically through FPScheduler. This job creates a consolidated invoice per customer per order (based on USO Order ID from AdOps Central) and posts a corresponding open item to the customer's FI-CA subledger. The invoice PDF is generated in the Nexstream custom invoice layout (WRICEF 7) and made available in SAP BRIM.</w:t>
      </w:r>
    </w:p>
    <w:p>
      <w:pPr>
        <w:spacing w:after="120" w:before="40"/>
      </w:pPr>
      <w:r>
        <w:rPr>
          <w:rFonts w:ascii="Calibri" w:hAnsi="Calibri"/>
          <w:b w:val="0"/>
          <w:i w:val="0"/>
          <w:sz w:val="21"/>
        </w:rPr>
        <w:t>The customer-facing invoice will include: Invoice Number, Invoice Date, Payment Terms, Remit-to Address, Bill-to Address, Campaign/Order Details, Flight Period, Impression Volume Delivered, CPM Rate, Net Amount, and Total Amount Due.</w:t>
      </w:r>
    </w:p>
    <w:p/>
    <w:p>
      <w:pPr>
        <w:spacing w:after="120" w:before="40"/>
      </w:pPr>
      <w:r>
        <w:rPr>
          <w:rFonts w:ascii="Calibri" w:hAnsi="Calibri"/>
          <w:b/>
          <w:i w:val="0"/>
          <w:color w:val="00144A"/>
          <w:sz w:val="21"/>
        </w:rPr>
        <w:t>Preliminary Invoicing Process</w:t>
      </w:r>
    </w:p>
    <w:p>
      <w:pPr>
        <w:spacing w:after="120" w:before="40"/>
      </w:pPr>
      <w:r>
        <w:rPr>
          <w:rFonts w:ascii="Calibri" w:hAnsi="Calibri"/>
          <w:b w:val="0"/>
          <w:i w:val="0"/>
          <w:sz w:val="21"/>
        </w:rPr>
        <w:t>Preliminary invoicing will be available for defined customer segments (e.g., high-value accounts, first billing cycle). Preliminary invoices do not generate postings in FI-CA. This functionality is used where Finance Operations needs to review the invoice before it is released to the customer.</w:t>
      </w:r>
    </w:p>
    <w:p>
      <w:pPr>
        <w:spacing w:after="120" w:before="40"/>
      </w:pPr>
      <w:r>
        <w:rPr>
          <w:rFonts w:ascii="Calibri" w:hAnsi="Calibri"/>
          <w:b w:val="0"/>
          <w:i w:val="0"/>
          <w:sz w:val="21"/>
        </w:rPr>
        <w:t>If an invoice is selected for the preliminary invoicing process, it will not be released to the customer or posted to the subledger until a Finance Operations – Billing team member reviews and approves it. The review is performed in the 'Process Dispute Cases from Invoicing' Fiori app (FKKINV_CFC).</w:t>
      </w:r>
    </w:p>
    <w:p>
      <w:pPr>
        <w:spacing w:after="120" w:before="40"/>
      </w:pPr>
      <w:r>
        <w:rPr>
          <w:rFonts w:ascii="Calibri" w:hAnsi="Calibri"/>
          <w:b/>
          <w:i w:val="0"/>
          <w:sz w:val="21"/>
        </w:rPr>
        <w:t>Lifecycle of a Preliminary Invoice:</w:t>
      </w:r>
    </w:p>
    <w:p>
      <w:pPr>
        <w:pStyle w:val="ListBullet"/>
      </w:pPr>
      <w:r>
        <w:rPr>
          <w:rFonts w:ascii="Calibri" w:hAnsi="Calibri"/>
          <w:sz w:val="21"/>
        </w:rPr>
        <w:t>Billing run creates billing document from eligible BITs.</w:t>
      </w:r>
    </w:p>
    <w:p>
      <w:pPr>
        <w:pStyle w:val="ListBullet"/>
      </w:pPr>
      <w:r>
        <w:rPr>
          <w:rFonts w:ascii="Calibri" w:hAnsi="Calibri"/>
          <w:sz w:val="21"/>
        </w:rPr>
        <w:t>Invoicing run creates preliminary invoice (not posted to FI-CA).</w:t>
      </w:r>
    </w:p>
    <w:p>
      <w:pPr>
        <w:pStyle w:val="ListBullet"/>
      </w:pPr>
      <w:r>
        <w:rPr>
          <w:rFonts w:ascii="Calibri" w:hAnsi="Calibri"/>
          <w:sz w:val="21"/>
        </w:rPr>
        <w:t>Finance Operations reviews the preliminary invoice in FKKINV_CFC.</w:t>
      </w:r>
    </w:p>
    <w:p>
      <w:pPr>
        <w:pStyle w:val="ListBullet"/>
      </w:pPr>
      <w:r>
        <w:rPr>
          <w:rFonts w:ascii="Calibri" w:hAnsi="Calibri"/>
          <w:sz w:val="21"/>
        </w:rPr>
        <w:t>If accepted: invoice is released, posted to FI-CA, and distributed to MyNexstream.</w:t>
      </w:r>
    </w:p>
    <w:p>
      <w:pPr>
        <w:pStyle w:val="ListBullet"/>
      </w:pPr>
      <w:r>
        <w:rPr>
          <w:rFonts w:ascii="Calibri" w:hAnsi="Calibri"/>
          <w:sz w:val="21"/>
        </w:rPr>
        <w:t>If rejected: invoice is cancelled and the BITs are returned to an actionable queue for correction and re-billing.</w:t>
      </w:r>
    </w:p>
    <w:p/>
    <w:p>
      <w:pPr>
        <w:pStyle w:val="Heading2"/>
      </w:pPr>
      <w:r>
        <w:t>3.4  Process Step Description</w:t>
      </w:r>
    </w:p>
    <w:p>
      <w:pPr>
        <w:spacing w:after="120" w:before="40"/>
      </w:pPr>
      <w:r>
        <w:rPr>
          <w:rFonts w:ascii="Calibri" w:hAnsi="Calibri"/>
          <w:b/>
          <w:color w:val="0070F2"/>
          <w:sz w:val="21"/>
        </w:rPr>
        <w:t xml:space="preserve">Purpose:  </w:t>
      </w:r>
      <w:r>
        <w:rPr>
          <w:rFonts w:ascii="Calibri" w:hAnsi="Calibri"/>
          <w:sz w:val="21"/>
        </w:rPr>
        <w:t>This section provides a list of each process step with a tabulated set of standard information including a description of the step, who performs it, which system is used, and the inputs and outputs.</w:t>
      </w:r>
    </w:p>
    <w:p/>
    <w:tbl>
      <w:tblPr>
        <w:tblStyle w:val="TableGrid"/>
        <w:tblW w:type="auto" w:w="0"/>
        <w:jc w:val="left"/>
        <w:tblLook w:firstColumn="1" w:firstRow="1" w:lastColumn="0" w:lastRow="0" w:noHBand="0" w:noVBand="1" w:val="04A0"/>
      </w:tblPr>
      <w:tblGrid>
        <w:gridCol w:w="1275"/>
        <w:gridCol w:w="1275"/>
        <w:gridCol w:w="1275"/>
        <w:gridCol w:w="1275"/>
        <w:gridCol w:w="1275"/>
        <w:gridCol w:w="1275"/>
        <w:gridCol w:w="1275"/>
      </w:tblGrid>
      <w:tr>
        <w:tc>
          <w:tcPr>
            <w:tcW w:type="dxa" w:w="504"/>
            <w:shd w:val="clear" w:color="auto" w:fill="0070F2"/>
          </w:tcPr>
          <w:p>
            <w:pPr>
              <w:spacing w:after="40" w:before="40"/>
            </w:pPr>
            <w:r>
              <w:rPr>
                <w:rFonts w:ascii="Calibri" w:hAnsi="Calibri"/>
                <w:b/>
                <w:color w:val="FFFFFF"/>
                <w:sz w:val="20"/>
              </w:rPr>
              <w:t>Step</w:t>
            </w:r>
          </w:p>
        </w:tc>
        <w:tc>
          <w:tcPr>
            <w:tcW w:type="dxa" w:w="2736"/>
            <w:shd w:val="clear" w:color="auto" w:fill="0070F2"/>
          </w:tcPr>
          <w:p>
            <w:pPr>
              <w:spacing w:after="40" w:before="40"/>
            </w:pPr>
            <w:r>
              <w:rPr>
                <w:rFonts w:ascii="Calibri" w:hAnsi="Calibri"/>
                <w:b/>
                <w:color w:val="FFFFFF"/>
                <w:sz w:val="20"/>
              </w:rPr>
              <w:t>Step Description (What)</w:t>
            </w:r>
          </w:p>
        </w:tc>
        <w:tc>
          <w:tcPr>
            <w:tcW w:type="dxa" w:w="2160"/>
            <w:shd w:val="clear" w:color="auto" w:fill="0070F2"/>
          </w:tcPr>
          <w:p>
            <w:pPr>
              <w:spacing w:after="40" w:before="40"/>
            </w:pPr>
            <w:r>
              <w:rPr>
                <w:rFonts w:ascii="Calibri" w:hAnsi="Calibri"/>
                <w:b/>
                <w:color w:val="FFFFFF"/>
                <w:sz w:val="20"/>
              </w:rPr>
              <w:t>Performed By (Who)</w:t>
            </w:r>
          </w:p>
        </w:tc>
        <w:tc>
          <w:tcPr>
            <w:tcW w:type="dxa" w:w="1728"/>
            <w:shd w:val="clear" w:color="auto" w:fill="0070F2"/>
          </w:tcPr>
          <w:p>
            <w:pPr>
              <w:spacing w:after="40" w:before="40"/>
            </w:pPr>
            <w:r>
              <w:rPr>
                <w:rFonts w:ascii="Calibri" w:hAnsi="Calibri"/>
                <w:b/>
                <w:color w:val="FFFFFF"/>
                <w:sz w:val="20"/>
              </w:rPr>
              <w:t>System / Frequency</w:t>
            </w:r>
          </w:p>
        </w:tc>
        <w:tc>
          <w:tcPr>
            <w:tcW w:type="dxa" w:w="1152"/>
            <w:shd w:val="clear" w:color="auto" w:fill="0070F2"/>
          </w:tcPr>
          <w:p>
            <w:pPr>
              <w:spacing w:after="40" w:before="40"/>
            </w:pPr>
            <w:r>
              <w:rPr>
                <w:rFonts w:ascii="Calibri" w:hAnsi="Calibri"/>
                <w:b/>
                <w:color w:val="FFFFFF"/>
                <w:sz w:val="20"/>
              </w:rPr>
              <w:t>Transaction</w:t>
            </w:r>
          </w:p>
        </w:tc>
        <w:tc>
          <w:tcPr>
            <w:tcW w:type="dxa" w:w="1584"/>
            <w:shd w:val="clear" w:color="auto" w:fill="0070F2"/>
          </w:tcPr>
          <w:p>
            <w:pPr>
              <w:spacing w:after="40" w:before="40"/>
            </w:pPr>
            <w:r>
              <w:rPr>
                <w:rFonts w:ascii="Calibri" w:hAnsi="Calibri"/>
                <w:b/>
                <w:color w:val="FFFFFF"/>
                <w:sz w:val="20"/>
              </w:rPr>
              <w:t>Inputs</w:t>
            </w:r>
          </w:p>
        </w:tc>
        <w:tc>
          <w:tcPr>
            <w:tcW w:type="dxa" w:w="1584"/>
            <w:shd w:val="clear" w:color="auto" w:fill="0070F2"/>
          </w:tcPr>
          <w:p>
            <w:pPr>
              <w:spacing w:after="40" w:before="40"/>
            </w:pPr>
            <w:r>
              <w:rPr>
                <w:rFonts w:ascii="Calibri" w:hAnsi="Calibri"/>
                <w:b/>
                <w:color w:val="FFFFFF"/>
                <w:sz w:val="20"/>
              </w:rPr>
              <w:t>Outputs</w:t>
            </w:r>
          </w:p>
        </w:tc>
      </w:tr>
      <w:tr>
        <w:tc>
          <w:tcPr>
            <w:tcW w:type="dxa" w:w="1275"/>
            <w:shd w:val="clear" w:color="auto" w:fill="E1F4FF"/>
          </w:tcPr>
          <w:p>
            <w:pPr>
              <w:spacing w:after="40" w:before="40"/>
            </w:pPr>
            <w:r>
              <w:rPr>
                <w:rFonts w:ascii="Calibri" w:hAnsi="Calibri"/>
                <w:b w:val="0"/>
                <w:sz w:val="20"/>
              </w:rPr>
              <w:t>1</w:t>
            </w:r>
          </w:p>
        </w:tc>
        <w:tc>
          <w:tcPr>
            <w:tcW w:type="dxa" w:w="1275"/>
            <w:shd w:val="clear" w:color="auto" w:fill="E1F4FF"/>
          </w:tcPr>
          <w:p>
            <w:pPr>
              <w:spacing w:after="40" w:before="40"/>
            </w:pPr>
            <w:r>
              <w:rPr>
                <w:rFonts w:ascii="Calibri" w:hAnsi="Calibri"/>
                <w:b w:val="0"/>
                <w:sz w:val="20"/>
              </w:rPr>
              <w:t>Confirm completeness and accuracy of billable items (e.g., CPM rates, impression volumes, flight dates) in AdOps Central prior to locking and closing order line items.</w:t>
            </w:r>
          </w:p>
        </w:tc>
        <w:tc>
          <w:tcPr>
            <w:tcW w:type="dxa" w:w="1275"/>
            <w:shd w:val="clear" w:color="auto" w:fill="E1F4FF"/>
          </w:tcPr>
          <w:p>
            <w:pPr>
              <w:spacing w:after="40" w:before="40"/>
            </w:pPr>
            <w:r>
              <w:rPr>
                <w:rFonts w:ascii="Calibri" w:hAnsi="Calibri"/>
                <w:b w:val="0"/>
                <w:sz w:val="20"/>
              </w:rPr>
              <w:t>Business Operations (Traffic, Campaign Management, Data Governance)</w:t>
            </w:r>
          </w:p>
        </w:tc>
        <w:tc>
          <w:tcPr>
            <w:tcW w:type="dxa" w:w="1275"/>
            <w:shd w:val="clear" w:color="auto" w:fill="E1F4FF"/>
          </w:tcPr>
          <w:p>
            <w:pPr>
              <w:spacing w:after="40" w:before="40"/>
            </w:pPr>
            <w:r>
              <w:rPr>
                <w:rFonts w:ascii="Calibri" w:hAnsi="Calibri"/>
                <w:b w:val="0"/>
                <w:sz w:val="20"/>
              </w:rPr>
              <w:t>AdOps Central / Daily (if applicable)</w:t>
            </w:r>
          </w:p>
        </w:tc>
        <w:tc>
          <w:tcPr>
            <w:tcW w:type="dxa" w:w="1275"/>
            <w:shd w:val="clear" w:color="auto" w:fill="E1F4FF"/>
          </w:tcPr>
          <w:p>
            <w:pPr>
              <w:spacing w:after="40" w:before="40"/>
            </w:pPr>
            <w:r>
              <w:rPr>
                <w:rFonts w:ascii="Calibri" w:hAnsi="Calibri"/>
                <w:b w:val="0"/>
                <w:sz w:val="20"/>
              </w:rPr>
              <w:t>Manual</w:t>
            </w:r>
          </w:p>
        </w:tc>
        <w:tc>
          <w:tcPr>
            <w:tcW w:type="dxa" w:w="1275"/>
            <w:shd w:val="clear" w:color="auto" w:fill="E1F4FF"/>
          </w:tcPr>
          <w:p>
            <w:pPr>
              <w:spacing w:after="40" w:before="40"/>
            </w:pPr>
            <w:r>
              <w:rPr>
                <w:rFonts w:ascii="Calibri" w:hAnsi="Calibri"/>
                <w:b w:val="0"/>
                <w:sz w:val="20"/>
              </w:rPr>
              <w:t>Transactional data for delivered impressions</w:t>
            </w:r>
          </w:p>
        </w:tc>
        <w:tc>
          <w:tcPr>
            <w:tcW w:type="dxa" w:w="1275"/>
            <w:shd w:val="clear" w:color="auto" w:fill="E1F4FF"/>
          </w:tcPr>
          <w:p>
            <w:pPr>
              <w:spacing w:after="40" w:before="40"/>
            </w:pPr>
            <w:r>
              <w:rPr>
                <w:rFonts w:ascii="Calibri" w:hAnsi="Calibri"/>
                <w:b w:val="0"/>
                <w:sz w:val="20"/>
              </w:rPr>
              <w:t>Finance Export CSV file of billable items</w:t>
            </w:r>
          </w:p>
        </w:tc>
      </w:tr>
      <w:tr>
        <w:tc>
          <w:tcPr>
            <w:tcW w:type="dxa" w:w="1275"/>
          </w:tcPr>
          <w:p>
            <w:pPr>
              <w:spacing w:after="40" w:before="40"/>
            </w:pPr>
            <w:r>
              <w:rPr>
                <w:rFonts w:ascii="Calibri" w:hAnsi="Calibri"/>
                <w:b w:val="0"/>
                <w:sz w:val="20"/>
              </w:rPr>
              <w:t>2</w:t>
            </w:r>
          </w:p>
        </w:tc>
        <w:tc>
          <w:tcPr>
            <w:tcW w:type="dxa" w:w="1275"/>
          </w:tcPr>
          <w:p>
            <w:pPr>
              <w:spacing w:after="40" w:before="40"/>
            </w:pPr>
            <w:r>
              <w:rPr>
                <w:rFonts w:ascii="Calibri" w:hAnsi="Calibri"/>
                <w:b w:val="0"/>
                <w:sz w:val="20"/>
              </w:rPr>
              <w:t>Filter Finance Export to include only MVP-eligible rows (Nexstream MVP customer flag) and agreed billing columns.</w:t>
            </w:r>
          </w:p>
        </w:tc>
        <w:tc>
          <w:tcPr>
            <w:tcW w:type="dxa" w:w="1275"/>
          </w:tcPr>
          <w:p>
            <w:pPr>
              <w:spacing w:after="40" w:before="40"/>
            </w:pPr>
            <w:r>
              <w:rPr>
                <w:rFonts w:ascii="Calibri" w:hAnsi="Calibri"/>
                <w:b w:val="0"/>
                <w:sz w:val="20"/>
              </w:rPr>
              <w:t>System Generated</w:t>
            </w:r>
          </w:p>
        </w:tc>
        <w:tc>
          <w:tcPr>
            <w:tcW w:type="dxa" w:w="1275"/>
          </w:tcPr>
          <w:p>
            <w:pPr>
              <w:spacing w:after="40" w:before="40"/>
            </w:pPr>
            <w:r>
              <w:rPr>
                <w:rFonts w:ascii="Calibri" w:hAnsi="Calibri"/>
                <w:b w:val="0"/>
                <w:sz w:val="20"/>
              </w:rPr>
              <w:t>AdOps Central (columns) and SAP BRIM (rows) / Daily (if applicable)</w:t>
            </w:r>
          </w:p>
        </w:tc>
        <w:tc>
          <w:tcPr>
            <w:tcW w:type="dxa" w:w="1275"/>
          </w:tcPr>
          <w:p>
            <w:pPr>
              <w:spacing w:after="40" w:before="40"/>
            </w:pPr>
            <w:r>
              <w:rPr>
                <w:rFonts w:ascii="Calibri" w:hAnsi="Calibri"/>
                <w:b w:val="0"/>
                <w:sz w:val="20"/>
              </w:rPr>
            </w:r>
          </w:p>
        </w:tc>
        <w:tc>
          <w:tcPr>
            <w:tcW w:type="dxa" w:w="1275"/>
          </w:tcPr>
          <w:p>
            <w:pPr>
              <w:spacing w:after="40" w:before="40"/>
            </w:pPr>
            <w:r>
              <w:rPr>
                <w:rFonts w:ascii="Calibri" w:hAnsi="Calibri"/>
                <w:b w:val="0"/>
                <w:sz w:val="20"/>
              </w:rPr>
              <w:t>Finance Export CSV file of billable items</w:t>
            </w:r>
          </w:p>
        </w:tc>
        <w:tc>
          <w:tcPr>
            <w:tcW w:type="dxa" w:w="1275"/>
          </w:tcPr>
          <w:p>
            <w:pPr>
              <w:spacing w:after="40" w:before="40"/>
            </w:pPr>
            <w:r>
              <w:rPr>
                <w:rFonts w:ascii="Calibri" w:hAnsi="Calibri"/>
                <w:b w:val="0"/>
                <w:sz w:val="20"/>
              </w:rPr>
              <w:t>Filtered Finance Export CSV file</w:t>
            </w:r>
          </w:p>
        </w:tc>
      </w:tr>
      <w:tr>
        <w:tc>
          <w:tcPr>
            <w:tcW w:type="dxa" w:w="1275"/>
            <w:shd w:val="clear" w:color="auto" w:fill="E1F4FF"/>
          </w:tcPr>
          <w:p>
            <w:pPr>
              <w:spacing w:after="40" w:before="40"/>
            </w:pPr>
            <w:r>
              <w:rPr>
                <w:rFonts w:ascii="Calibri" w:hAnsi="Calibri"/>
                <w:b w:val="0"/>
                <w:sz w:val="20"/>
              </w:rPr>
              <w:t>3</w:t>
            </w:r>
          </w:p>
        </w:tc>
        <w:tc>
          <w:tcPr>
            <w:tcW w:type="dxa" w:w="1275"/>
            <w:shd w:val="clear" w:color="auto" w:fill="E1F4FF"/>
          </w:tcPr>
          <w:p>
            <w:pPr>
              <w:spacing w:after="40" w:before="40"/>
            </w:pPr>
            <w:r>
              <w:rPr>
                <w:rFonts w:ascii="Calibri" w:hAnsi="Calibri"/>
                <w:b w:val="0"/>
                <w:sz w:val="20"/>
              </w:rPr>
              <w:t>Import pre-rated transactions and corresponding data into SAP BRIM via the 'Upload Billable Items' Fiori app.</w:t>
            </w:r>
          </w:p>
        </w:tc>
        <w:tc>
          <w:tcPr>
            <w:tcW w:type="dxa" w:w="1275"/>
            <w:shd w:val="clear" w:color="auto" w:fill="E1F4FF"/>
          </w:tcPr>
          <w:p>
            <w:pPr>
              <w:spacing w:after="40" w:before="40"/>
            </w:pPr>
            <w:r>
              <w:rPr>
                <w:rFonts w:ascii="Calibri" w:hAnsi="Calibri"/>
                <w:b w:val="0"/>
                <w:sz w:val="20"/>
              </w:rPr>
              <w:t>Finance Operations – Billing Team</w:t>
            </w:r>
          </w:p>
        </w:tc>
        <w:tc>
          <w:tcPr>
            <w:tcW w:type="dxa" w:w="1275"/>
            <w:shd w:val="clear" w:color="auto" w:fill="E1F4FF"/>
          </w:tcPr>
          <w:p>
            <w:pPr>
              <w:spacing w:after="40" w:before="40"/>
            </w:pPr>
            <w:r>
              <w:rPr>
                <w:rFonts w:ascii="Calibri" w:hAnsi="Calibri"/>
                <w:b w:val="0"/>
                <w:sz w:val="20"/>
              </w:rPr>
              <w:t>Manual CSV Upload / Daily (if applicable)</w:t>
            </w:r>
          </w:p>
        </w:tc>
        <w:tc>
          <w:tcPr>
            <w:tcW w:type="dxa" w:w="1275"/>
            <w:shd w:val="clear" w:color="auto" w:fill="E1F4FF"/>
          </w:tcPr>
          <w:p>
            <w:pPr>
              <w:spacing w:after="40" w:before="40"/>
            </w:pPr>
            <w:r>
              <w:rPr>
                <w:rFonts w:ascii="Calibri" w:hAnsi="Calibri"/>
                <w:b w:val="0"/>
                <w:sz w:val="20"/>
              </w:rPr>
              <w:t>ZZBIT_CREATE</w:t>
            </w:r>
          </w:p>
        </w:tc>
        <w:tc>
          <w:tcPr>
            <w:tcW w:type="dxa" w:w="1275"/>
            <w:shd w:val="clear" w:color="auto" w:fill="E1F4FF"/>
          </w:tcPr>
          <w:p>
            <w:pPr>
              <w:spacing w:after="40" w:before="40"/>
            </w:pPr>
            <w:r>
              <w:rPr>
                <w:rFonts w:ascii="Calibri" w:hAnsi="Calibri"/>
                <w:b w:val="0"/>
                <w:sz w:val="20"/>
              </w:rPr>
              <w:t>Filtered Finance Export CSV file</w:t>
            </w:r>
          </w:p>
        </w:tc>
        <w:tc>
          <w:tcPr>
            <w:tcW w:type="dxa" w:w="1275"/>
            <w:shd w:val="clear" w:color="auto" w:fill="E1F4FF"/>
          </w:tcPr>
          <w:p>
            <w:pPr>
              <w:spacing w:after="40" w:before="40"/>
            </w:pPr>
            <w:r>
              <w:rPr>
                <w:rFonts w:ascii="Calibri" w:hAnsi="Calibri"/>
                <w:b w:val="0"/>
                <w:sz w:val="20"/>
              </w:rPr>
              <w:t>Imported Billable Items in SAP BRIM</w:t>
            </w:r>
          </w:p>
        </w:tc>
      </w:tr>
      <w:tr>
        <w:tc>
          <w:tcPr>
            <w:tcW w:type="dxa" w:w="1275"/>
          </w:tcPr>
          <w:p>
            <w:pPr>
              <w:spacing w:after="40" w:before="40"/>
            </w:pPr>
            <w:r>
              <w:rPr>
                <w:rFonts w:ascii="Calibri" w:hAnsi="Calibri"/>
                <w:b w:val="0"/>
                <w:sz w:val="20"/>
              </w:rPr>
              <w:t>4</w:t>
            </w:r>
          </w:p>
        </w:tc>
        <w:tc>
          <w:tcPr>
            <w:tcW w:type="dxa" w:w="1275"/>
          </w:tcPr>
          <w:p>
            <w:pPr>
              <w:spacing w:after="40" w:before="40"/>
            </w:pPr>
            <w:r>
              <w:rPr>
                <w:rFonts w:ascii="Calibri" w:hAnsi="Calibri"/>
                <w:b w:val="0"/>
                <w:sz w:val="20"/>
              </w:rPr>
              <w:t>Resolve import issues by reviewing excepted BITs in Display Billable Items Fiori app and coordinating corrections with AdOps Central or the SAP team.</w:t>
            </w:r>
          </w:p>
        </w:tc>
        <w:tc>
          <w:tcPr>
            <w:tcW w:type="dxa" w:w="1275"/>
          </w:tcPr>
          <w:p>
            <w:pPr>
              <w:spacing w:after="40" w:before="40"/>
            </w:pPr>
            <w:r>
              <w:rPr>
                <w:rFonts w:ascii="Calibri" w:hAnsi="Calibri"/>
                <w:b w:val="0"/>
                <w:sz w:val="20"/>
              </w:rPr>
              <w:t>Business Operations / Finance Operations – Billing Team</w:t>
            </w:r>
          </w:p>
        </w:tc>
        <w:tc>
          <w:tcPr>
            <w:tcW w:type="dxa" w:w="1275"/>
          </w:tcPr>
          <w:p>
            <w:pPr>
              <w:spacing w:after="40" w:before="40"/>
            </w:pPr>
            <w:r>
              <w:rPr>
                <w:rFonts w:ascii="Calibri" w:hAnsi="Calibri"/>
                <w:b w:val="0"/>
                <w:sz w:val="20"/>
              </w:rPr>
              <w:t>SAP BRIM / Daily (if applicable)</w:t>
            </w:r>
          </w:p>
        </w:tc>
        <w:tc>
          <w:tcPr>
            <w:tcW w:type="dxa" w:w="1275"/>
          </w:tcPr>
          <w:p>
            <w:pPr>
              <w:spacing w:after="40" w:before="40"/>
            </w:pPr>
            <w:r>
              <w:rPr>
                <w:rFonts w:ascii="Calibri" w:hAnsi="Calibri"/>
                <w:b w:val="0"/>
                <w:sz w:val="20"/>
              </w:rPr>
              <w:t>FKKBIXBIT_MON or Display Billable Items</w:t>
            </w:r>
          </w:p>
        </w:tc>
        <w:tc>
          <w:tcPr>
            <w:tcW w:type="dxa" w:w="1275"/>
          </w:tcPr>
          <w:p>
            <w:pPr>
              <w:spacing w:after="40" w:before="40"/>
            </w:pPr>
            <w:r>
              <w:rPr>
                <w:rFonts w:ascii="Calibri" w:hAnsi="Calibri"/>
                <w:b w:val="0"/>
                <w:sz w:val="20"/>
              </w:rPr>
              <w:t>List of excepted BITs and updated Finance Export</w:t>
            </w:r>
          </w:p>
        </w:tc>
        <w:tc>
          <w:tcPr>
            <w:tcW w:type="dxa" w:w="1275"/>
          </w:tcPr>
          <w:p>
            <w:pPr>
              <w:spacing w:after="40" w:before="40"/>
            </w:pPr>
            <w:r>
              <w:rPr>
                <w:rFonts w:ascii="Calibri" w:hAnsi="Calibri"/>
                <w:b w:val="0"/>
                <w:sz w:val="20"/>
              </w:rPr>
              <w:t>Corrected and re-imported Billable Items</w:t>
            </w:r>
          </w:p>
        </w:tc>
      </w:tr>
      <w:tr>
        <w:tc>
          <w:tcPr>
            <w:tcW w:type="dxa" w:w="1275"/>
            <w:shd w:val="clear" w:color="auto" w:fill="E1F4FF"/>
          </w:tcPr>
          <w:p>
            <w:pPr>
              <w:spacing w:after="40" w:before="40"/>
            </w:pPr>
            <w:r>
              <w:rPr>
                <w:rFonts w:ascii="Calibri" w:hAnsi="Calibri"/>
                <w:b w:val="0"/>
                <w:sz w:val="20"/>
              </w:rPr>
              <w:t>5</w:t>
            </w:r>
          </w:p>
        </w:tc>
        <w:tc>
          <w:tcPr>
            <w:tcW w:type="dxa" w:w="1275"/>
            <w:shd w:val="clear" w:color="auto" w:fill="E1F4FF"/>
          </w:tcPr>
          <w:p>
            <w:pPr>
              <w:spacing w:after="40" w:before="40"/>
            </w:pPr>
            <w:r>
              <w:rPr>
                <w:rFonts w:ascii="Calibri" w:hAnsi="Calibri"/>
                <w:b w:val="0"/>
                <w:sz w:val="20"/>
              </w:rPr>
              <w:t>Generate and validate preview of imported transactions in Display Billable Items Fiori app to confirm accuracy before billing run.</w:t>
            </w:r>
          </w:p>
        </w:tc>
        <w:tc>
          <w:tcPr>
            <w:tcW w:type="dxa" w:w="1275"/>
            <w:shd w:val="clear" w:color="auto" w:fill="E1F4FF"/>
          </w:tcPr>
          <w:p>
            <w:pPr>
              <w:spacing w:after="40" w:before="40"/>
            </w:pPr>
            <w:r>
              <w:rPr>
                <w:rFonts w:ascii="Calibri" w:hAnsi="Calibri"/>
                <w:b w:val="0"/>
                <w:sz w:val="20"/>
              </w:rPr>
              <w:t>Finance Operations – Billing Team</w:t>
            </w:r>
          </w:p>
        </w:tc>
        <w:tc>
          <w:tcPr>
            <w:tcW w:type="dxa" w:w="1275"/>
            <w:shd w:val="clear" w:color="auto" w:fill="E1F4FF"/>
          </w:tcPr>
          <w:p>
            <w:pPr>
              <w:spacing w:after="40" w:before="40"/>
            </w:pPr>
            <w:r>
              <w:rPr>
                <w:rFonts w:ascii="Calibri" w:hAnsi="Calibri"/>
                <w:b w:val="0"/>
                <w:sz w:val="20"/>
              </w:rPr>
              <w:t>SAP BRIM / Daily (if applicable)</w:t>
            </w:r>
          </w:p>
        </w:tc>
        <w:tc>
          <w:tcPr>
            <w:tcW w:type="dxa" w:w="1275"/>
            <w:shd w:val="clear" w:color="auto" w:fill="E1F4FF"/>
          </w:tcPr>
          <w:p>
            <w:pPr>
              <w:spacing w:after="40" w:before="40"/>
            </w:pPr>
            <w:r>
              <w:rPr>
                <w:rFonts w:ascii="Calibri" w:hAnsi="Calibri"/>
                <w:b w:val="0"/>
                <w:sz w:val="20"/>
              </w:rPr>
              <w:t>FKKBIXBIT_MON or Display Billable Items</w:t>
            </w:r>
          </w:p>
        </w:tc>
        <w:tc>
          <w:tcPr>
            <w:tcW w:type="dxa" w:w="1275"/>
            <w:shd w:val="clear" w:color="auto" w:fill="E1F4FF"/>
          </w:tcPr>
          <w:p>
            <w:pPr>
              <w:spacing w:after="40" w:before="40"/>
            </w:pPr>
            <w:r>
              <w:rPr>
                <w:rFonts w:ascii="Calibri" w:hAnsi="Calibri"/>
                <w:b w:val="0"/>
                <w:sz w:val="20"/>
              </w:rPr>
              <w:t>Imported Billable Items</w:t>
            </w:r>
          </w:p>
        </w:tc>
        <w:tc>
          <w:tcPr>
            <w:tcW w:type="dxa" w:w="1275"/>
            <w:shd w:val="clear" w:color="auto" w:fill="E1F4FF"/>
          </w:tcPr>
          <w:p>
            <w:pPr>
              <w:spacing w:after="40" w:before="40"/>
            </w:pPr>
            <w:r>
              <w:rPr>
                <w:rFonts w:ascii="Calibri" w:hAnsi="Calibri"/>
                <w:b w:val="0"/>
                <w:sz w:val="20"/>
              </w:rPr>
              <w:t>Confirmed Billable Items ready for billing</w:t>
            </w:r>
          </w:p>
        </w:tc>
      </w:tr>
      <w:tr>
        <w:tc>
          <w:tcPr>
            <w:tcW w:type="dxa" w:w="1275"/>
          </w:tcPr>
          <w:p>
            <w:pPr>
              <w:spacing w:after="40" w:before="40"/>
            </w:pPr>
            <w:r>
              <w:rPr>
                <w:rFonts w:ascii="Calibri" w:hAnsi="Calibri"/>
                <w:b w:val="0"/>
                <w:sz w:val="20"/>
              </w:rPr>
              <w:t>6</w:t>
            </w:r>
          </w:p>
        </w:tc>
        <w:tc>
          <w:tcPr>
            <w:tcW w:type="dxa" w:w="1275"/>
          </w:tcPr>
          <w:p>
            <w:pPr>
              <w:spacing w:after="40" w:before="40"/>
            </w:pPr>
            <w:r>
              <w:rPr>
                <w:rFonts w:ascii="Calibri" w:hAnsi="Calibri"/>
                <w:b w:val="0"/>
                <w:sz w:val="20"/>
              </w:rPr>
              <w:t>Execute billing batch job via FPScheduler to consolidate eligible BITs into billing documents grouped by USO Order ID.</w:t>
            </w:r>
          </w:p>
        </w:tc>
        <w:tc>
          <w:tcPr>
            <w:tcW w:type="dxa" w:w="1275"/>
          </w:tcPr>
          <w:p>
            <w:pPr>
              <w:spacing w:after="40" w:before="40"/>
            </w:pPr>
            <w:r>
              <w:rPr>
                <w:rFonts w:ascii="Calibri" w:hAnsi="Calibri"/>
                <w:b w:val="0"/>
                <w:sz w:val="20"/>
              </w:rPr>
              <w:t>Automated – FPScheduler</w:t>
            </w:r>
          </w:p>
        </w:tc>
        <w:tc>
          <w:tcPr>
            <w:tcW w:type="dxa" w:w="1275"/>
          </w:tcPr>
          <w:p>
            <w:pPr>
              <w:spacing w:after="40" w:before="40"/>
            </w:pPr>
            <w:r>
              <w:rPr>
                <w:rFonts w:ascii="Calibri" w:hAnsi="Calibri"/>
                <w:b w:val="0"/>
                <w:sz w:val="20"/>
              </w:rPr>
              <w:t>SAP BRIM / Overnight (scheduled)</w:t>
            </w:r>
          </w:p>
        </w:tc>
        <w:tc>
          <w:tcPr>
            <w:tcW w:type="dxa" w:w="1275"/>
          </w:tcPr>
          <w:p>
            <w:pPr>
              <w:spacing w:after="40" w:before="40"/>
            </w:pPr>
            <w:r>
              <w:rPr>
                <w:rFonts w:ascii="Calibri" w:hAnsi="Calibri"/>
                <w:b w:val="0"/>
                <w:sz w:val="20"/>
              </w:rPr>
              <w:t>FPScheduler – Billing Job</w:t>
            </w:r>
          </w:p>
        </w:tc>
        <w:tc>
          <w:tcPr>
            <w:tcW w:type="dxa" w:w="1275"/>
          </w:tcPr>
          <w:p>
            <w:pPr>
              <w:spacing w:after="40" w:before="40"/>
            </w:pPr>
            <w:r>
              <w:rPr>
                <w:rFonts w:ascii="Calibri" w:hAnsi="Calibri"/>
                <w:b w:val="0"/>
                <w:sz w:val="20"/>
              </w:rPr>
              <w:t>Confirmed Billable Items</w:t>
            </w:r>
          </w:p>
        </w:tc>
        <w:tc>
          <w:tcPr>
            <w:tcW w:type="dxa" w:w="1275"/>
          </w:tcPr>
          <w:p>
            <w:pPr>
              <w:spacing w:after="40" w:before="40"/>
            </w:pPr>
            <w:r>
              <w:rPr>
                <w:rFonts w:ascii="Calibri" w:hAnsi="Calibri"/>
                <w:b w:val="0"/>
                <w:sz w:val="20"/>
              </w:rPr>
              <w:t>Billing Documents</w:t>
            </w:r>
          </w:p>
        </w:tc>
      </w:tr>
      <w:tr>
        <w:tc>
          <w:tcPr>
            <w:tcW w:type="dxa" w:w="1275"/>
            <w:shd w:val="clear" w:color="auto" w:fill="E1F4FF"/>
          </w:tcPr>
          <w:p>
            <w:pPr>
              <w:spacing w:after="40" w:before="40"/>
            </w:pPr>
            <w:r>
              <w:rPr>
                <w:rFonts w:ascii="Calibri" w:hAnsi="Calibri"/>
                <w:b w:val="0"/>
                <w:sz w:val="20"/>
              </w:rPr>
              <w:t>7</w:t>
            </w:r>
          </w:p>
        </w:tc>
        <w:tc>
          <w:tcPr>
            <w:tcW w:type="dxa" w:w="1275"/>
            <w:shd w:val="clear" w:color="auto" w:fill="E1F4FF"/>
          </w:tcPr>
          <w:p>
            <w:pPr>
              <w:spacing w:after="40" w:before="40"/>
            </w:pPr>
            <w:r>
              <w:rPr>
                <w:rFonts w:ascii="Calibri" w:hAnsi="Calibri"/>
                <w:b w:val="0"/>
                <w:sz w:val="20"/>
              </w:rPr>
              <w:t>Execute invoicing batch job (FKKINV_MA) to generate consolidated invoice per customer per order and post open receivable item to FI-CA subledger.</w:t>
            </w:r>
          </w:p>
        </w:tc>
        <w:tc>
          <w:tcPr>
            <w:tcW w:type="dxa" w:w="1275"/>
            <w:shd w:val="clear" w:color="auto" w:fill="E1F4FF"/>
          </w:tcPr>
          <w:p>
            <w:pPr>
              <w:spacing w:after="40" w:before="40"/>
            </w:pPr>
            <w:r>
              <w:rPr>
                <w:rFonts w:ascii="Calibri" w:hAnsi="Calibri"/>
                <w:b w:val="0"/>
                <w:sz w:val="20"/>
              </w:rPr>
              <w:t>Automated – FPScheduler</w:t>
            </w:r>
          </w:p>
        </w:tc>
        <w:tc>
          <w:tcPr>
            <w:tcW w:type="dxa" w:w="1275"/>
            <w:shd w:val="clear" w:color="auto" w:fill="E1F4FF"/>
          </w:tcPr>
          <w:p>
            <w:pPr>
              <w:spacing w:after="40" w:before="40"/>
            </w:pPr>
            <w:r>
              <w:rPr>
                <w:rFonts w:ascii="Calibri" w:hAnsi="Calibri"/>
                <w:b w:val="0"/>
                <w:sz w:val="20"/>
              </w:rPr>
              <w:t>SAP BRIM / Overnight (scheduled)</w:t>
            </w:r>
          </w:p>
        </w:tc>
        <w:tc>
          <w:tcPr>
            <w:tcW w:type="dxa" w:w="1275"/>
            <w:shd w:val="clear" w:color="auto" w:fill="E1F4FF"/>
          </w:tcPr>
          <w:p>
            <w:pPr>
              <w:spacing w:after="40" w:before="40"/>
            </w:pPr>
            <w:r>
              <w:rPr>
                <w:rFonts w:ascii="Calibri" w:hAnsi="Calibri"/>
                <w:b w:val="0"/>
                <w:sz w:val="20"/>
              </w:rPr>
              <w:t>FKKINV_MA</w:t>
            </w:r>
          </w:p>
        </w:tc>
        <w:tc>
          <w:tcPr>
            <w:tcW w:type="dxa" w:w="1275"/>
            <w:shd w:val="clear" w:color="auto" w:fill="E1F4FF"/>
          </w:tcPr>
          <w:p>
            <w:pPr>
              <w:spacing w:after="40" w:before="40"/>
            </w:pPr>
            <w:r>
              <w:rPr>
                <w:rFonts w:ascii="Calibri" w:hAnsi="Calibri"/>
                <w:b w:val="0"/>
                <w:sz w:val="20"/>
              </w:rPr>
              <w:t>Billing Documents</w:t>
            </w:r>
          </w:p>
        </w:tc>
        <w:tc>
          <w:tcPr>
            <w:tcW w:type="dxa" w:w="1275"/>
            <w:shd w:val="clear" w:color="auto" w:fill="E1F4FF"/>
          </w:tcPr>
          <w:p>
            <w:pPr>
              <w:spacing w:after="40" w:before="40"/>
            </w:pPr>
            <w:r>
              <w:rPr>
                <w:rFonts w:ascii="Calibri" w:hAnsi="Calibri"/>
                <w:b w:val="0"/>
                <w:sz w:val="20"/>
              </w:rPr>
              <w:t>Invoice Document, Invoice PDF, FI-CA Open Item</w:t>
            </w:r>
          </w:p>
        </w:tc>
      </w:tr>
      <w:tr>
        <w:tc>
          <w:tcPr>
            <w:tcW w:type="dxa" w:w="1275"/>
          </w:tcPr>
          <w:p>
            <w:pPr>
              <w:spacing w:after="40" w:before="40"/>
            </w:pPr>
            <w:r>
              <w:rPr>
                <w:rFonts w:ascii="Calibri" w:hAnsi="Calibri"/>
                <w:b w:val="0"/>
                <w:sz w:val="20"/>
              </w:rPr>
              <w:t>8</w:t>
            </w:r>
          </w:p>
        </w:tc>
        <w:tc>
          <w:tcPr>
            <w:tcW w:type="dxa" w:w="1275"/>
          </w:tcPr>
          <w:p>
            <w:pPr>
              <w:spacing w:after="40" w:before="40"/>
            </w:pPr>
            <w:r>
              <w:rPr>
                <w:rFonts w:ascii="Calibri" w:hAnsi="Calibri"/>
                <w:b w:val="0"/>
                <w:sz w:val="20"/>
              </w:rPr>
              <w:t>Review and release preliminary invoices (where applicable) via Process Dispute Cases Fiori app before final posting and distribution.</w:t>
            </w:r>
          </w:p>
        </w:tc>
        <w:tc>
          <w:tcPr>
            <w:tcW w:type="dxa" w:w="1275"/>
          </w:tcPr>
          <w:p>
            <w:pPr>
              <w:spacing w:after="40" w:before="40"/>
            </w:pPr>
            <w:r>
              <w:rPr>
                <w:rFonts w:ascii="Calibri" w:hAnsi="Calibri"/>
                <w:b w:val="0"/>
                <w:sz w:val="20"/>
              </w:rPr>
              <w:t>Finance Operations – Billing Team</w:t>
            </w:r>
          </w:p>
        </w:tc>
        <w:tc>
          <w:tcPr>
            <w:tcW w:type="dxa" w:w="1275"/>
          </w:tcPr>
          <w:p>
            <w:pPr>
              <w:spacing w:after="40" w:before="40"/>
            </w:pPr>
            <w:r>
              <w:rPr>
                <w:rFonts w:ascii="Calibri" w:hAnsi="Calibri"/>
                <w:b w:val="0"/>
                <w:sz w:val="20"/>
              </w:rPr>
              <w:t>SAP BRIM / On-Demand</w:t>
            </w:r>
          </w:p>
        </w:tc>
        <w:tc>
          <w:tcPr>
            <w:tcW w:type="dxa" w:w="1275"/>
          </w:tcPr>
          <w:p>
            <w:pPr>
              <w:spacing w:after="40" w:before="40"/>
            </w:pPr>
            <w:r>
              <w:rPr>
                <w:rFonts w:ascii="Calibri" w:hAnsi="Calibri"/>
                <w:b w:val="0"/>
                <w:sz w:val="20"/>
              </w:rPr>
              <w:t>FKKINV_CFC</w:t>
            </w:r>
          </w:p>
        </w:tc>
        <w:tc>
          <w:tcPr>
            <w:tcW w:type="dxa" w:w="1275"/>
          </w:tcPr>
          <w:p>
            <w:pPr>
              <w:spacing w:after="40" w:before="40"/>
            </w:pPr>
            <w:r>
              <w:rPr>
                <w:rFonts w:ascii="Calibri" w:hAnsi="Calibri"/>
                <w:b w:val="0"/>
                <w:sz w:val="20"/>
              </w:rPr>
              <w:t>Preliminary Invoice in review queue</w:t>
            </w:r>
          </w:p>
        </w:tc>
        <w:tc>
          <w:tcPr>
            <w:tcW w:type="dxa" w:w="1275"/>
          </w:tcPr>
          <w:p>
            <w:pPr>
              <w:spacing w:after="40" w:before="40"/>
            </w:pPr>
            <w:r>
              <w:rPr>
                <w:rFonts w:ascii="Calibri" w:hAnsi="Calibri"/>
                <w:b w:val="0"/>
                <w:sz w:val="20"/>
              </w:rPr>
              <w:t>Released Invoice Document or Cancelled Preliminary Invoice</w:t>
            </w:r>
          </w:p>
        </w:tc>
      </w:tr>
    </w:tbl>
    <w:p/>
    <w:p>
      <w:pPr>
        <w:pStyle w:val="Heading2"/>
      </w:pPr>
      <w:r>
        <w:t>3.5  Change Impact Summary</w:t>
      </w:r>
    </w:p>
    <w:p>
      <w:pPr>
        <w:spacing w:after="120" w:before="40"/>
      </w:pPr>
      <w:r>
        <w:rPr>
          <w:rFonts w:ascii="Calibri" w:hAnsi="Calibri"/>
          <w:b/>
          <w:color w:val="0070F2"/>
          <w:sz w:val="21"/>
        </w:rPr>
        <w:t xml:space="preserve">Purpose:  </w:t>
      </w:r>
      <w:r>
        <w:rPr>
          <w:rFonts w:ascii="Calibri" w:hAnsi="Calibri"/>
          <w:sz w:val="21"/>
        </w:rPr>
        <w:t>This section provides an overview of how the business will be affected by the implementation of the Invoice Creation process in SAP BRIM.</w:t>
      </w:r>
    </w:p>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2304"/>
            <w:shd w:val="clear" w:color="auto" w:fill="0070F2"/>
          </w:tcPr>
          <w:p>
            <w:pPr>
              <w:spacing w:after="40" w:before="40"/>
            </w:pPr>
            <w:r>
              <w:rPr>
                <w:rFonts w:ascii="Calibri" w:hAnsi="Calibri"/>
                <w:b/>
                <w:color w:val="FFFFFF"/>
                <w:sz w:val="20"/>
              </w:rPr>
              <w:t>Current State</w:t>
            </w:r>
          </w:p>
        </w:tc>
        <w:tc>
          <w:tcPr>
            <w:tcW w:type="dxa" w:w="2736"/>
            <w:shd w:val="clear" w:color="auto" w:fill="0070F2"/>
          </w:tcPr>
          <w:p>
            <w:pPr>
              <w:spacing w:after="40" w:before="40"/>
            </w:pPr>
            <w:r>
              <w:rPr>
                <w:rFonts w:ascii="Calibri" w:hAnsi="Calibri"/>
                <w:b/>
                <w:color w:val="FFFFFF"/>
                <w:sz w:val="20"/>
              </w:rPr>
              <w:t>MVP Future State</w:t>
            </w:r>
          </w:p>
        </w:tc>
        <w:tc>
          <w:tcPr>
            <w:tcW w:type="dxa" w:w="2880"/>
            <w:shd w:val="clear" w:color="auto" w:fill="0070F2"/>
          </w:tcPr>
          <w:p>
            <w:pPr>
              <w:spacing w:after="40" w:before="40"/>
            </w:pPr>
            <w:r>
              <w:rPr>
                <w:rFonts w:ascii="Calibri" w:hAnsi="Calibri"/>
                <w:b/>
                <w:color w:val="FFFFFF"/>
                <w:sz w:val="20"/>
              </w:rPr>
              <w:t>Net Change</w:t>
            </w:r>
          </w:p>
        </w:tc>
        <w:tc>
          <w:tcPr>
            <w:tcW w:type="dxa" w:w="1152"/>
            <w:shd w:val="clear" w:color="auto" w:fill="0070F2"/>
          </w:tcPr>
          <w:p>
            <w:pPr>
              <w:spacing w:after="40" w:before="40"/>
            </w:pPr>
            <w:r>
              <w:rPr>
                <w:rFonts w:ascii="Calibri" w:hAnsi="Calibri"/>
                <w:b/>
                <w:color w:val="FFFFFF"/>
                <w:sz w:val="20"/>
              </w:rPr>
              <w:t>Impact Type</w:t>
            </w:r>
          </w:p>
        </w:tc>
        <w:tc>
          <w:tcPr>
            <w:tcW w:type="dxa" w:w="1008"/>
            <w:shd w:val="clear" w:color="auto" w:fill="0070F2"/>
          </w:tcPr>
          <w:p>
            <w:pPr>
              <w:spacing w:after="40" w:before="40"/>
            </w:pPr>
            <w:r>
              <w:rPr>
                <w:rFonts w:ascii="Calibri" w:hAnsi="Calibri"/>
                <w:b/>
                <w:color w:val="FFFFFF"/>
                <w:sz w:val="20"/>
              </w:rPr>
              <w:t>Impact (H/M/L)</w:t>
            </w:r>
          </w:p>
        </w:tc>
        <w:tc>
          <w:tcPr>
            <w:tcW w:type="dxa" w:w="2160"/>
            <w:shd w:val="clear" w:color="auto" w:fill="0070F2"/>
          </w:tcPr>
          <w:p>
            <w:pPr>
              <w:spacing w:after="40" w:before="40"/>
            </w:pPr>
            <w:r>
              <w:rPr>
                <w:rFonts w:ascii="Calibri" w:hAnsi="Calibri"/>
                <w:b/>
                <w:color w:val="FFFFFF"/>
                <w:sz w:val="20"/>
              </w:rPr>
              <w:t>Impacted Groups</w:t>
            </w:r>
          </w:p>
        </w:tc>
      </w:tr>
      <w:tr>
        <w:tc>
          <w:tcPr>
            <w:tcW w:type="dxa" w:w="1488"/>
            <w:shd w:val="clear" w:color="auto" w:fill="E1F4FF"/>
          </w:tcPr>
          <w:p>
            <w:pPr>
              <w:spacing w:after="40" w:before="40"/>
            </w:pPr>
            <w:r>
              <w:rPr>
                <w:rFonts w:ascii="Calibri" w:hAnsi="Calibri"/>
                <w:b w:val="0"/>
                <w:sz w:val="20"/>
              </w:rPr>
              <w:t>Customers who do not pass the credit check may currently pre-pay for their order.</w:t>
            </w:r>
          </w:p>
        </w:tc>
        <w:tc>
          <w:tcPr>
            <w:tcW w:type="dxa" w:w="1488"/>
            <w:shd w:val="clear" w:color="auto" w:fill="E1F4FF"/>
          </w:tcPr>
          <w:p>
            <w:pPr>
              <w:spacing w:after="40" w:before="40"/>
            </w:pPr>
            <w:r>
              <w:rPr>
                <w:rFonts w:ascii="Calibri" w:hAnsi="Calibri"/>
                <w:b w:val="0"/>
                <w:sz w:val="20"/>
              </w:rPr>
              <w:t>MVP will not support pre-payment or advance billing. Customers unable to pass the credit check will be excluded from MVP scope and must use legacy billing processes.</w:t>
            </w:r>
          </w:p>
        </w:tc>
        <w:tc>
          <w:tcPr>
            <w:tcW w:type="dxa" w:w="1488"/>
            <w:shd w:val="clear" w:color="auto" w:fill="E1F4FF"/>
          </w:tcPr>
          <w:p>
            <w:pPr>
              <w:spacing w:after="40" w:before="40"/>
            </w:pPr>
            <w:r>
              <w:rPr>
                <w:rFonts w:ascii="Calibri" w:hAnsi="Calibri"/>
                <w:b w:val="0"/>
                <w:sz w:val="20"/>
              </w:rPr>
              <w:t>Finance Operations and Credit team communication with Account Executives regarding MVP credit qualification requirements.</w:t>
            </w:r>
          </w:p>
        </w:tc>
        <w:tc>
          <w:tcPr>
            <w:tcW w:type="dxa" w:w="1488"/>
            <w:shd w:val="clear" w:color="auto" w:fill="E1F4FF"/>
          </w:tcPr>
          <w:p>
            <w:pPr>
              <w:spacing w:after="40" w:before="40"/>
            </w:pPr>
            <w:r>
              <w:rPr>
                <w:rFonts w:ascii="Calibri" w:hAnsi="Calibri"/>
                <w:b w:val="0"/>
                <w:sz w:val="20"/>
              </w:rPr>
              <w:t>People</w:t>
            </w:r>
          </w:p>
        </w:tc>
        <w:tc>
          <w:tcPr>
            <w:tcW w:type="dxa" w:w="1488"/>
            <w:shd w:val="clear" w:color="auto" w:fill="E1F4FF"/>
          </w:tcPr>
          <w:p>
            <w:pPr>
              <w:spacing w:after="40" w:before="40"/>
            </w:pPr>
            <w:r>
              <w:rPr>
                <w:rFonts w:ascii="Calibri" w:hAnsi="Calibri"/>
                <w:b w:val="0"/>
                <w:sz w:val="20"/>
              </w:rPr>
              <w:t>Low</w:t>
            </w:r>
          </w:p>
        </w:tc>
        <w:tc>
          <w:tcPr>
            <w:tcW w:type="dxa" w:w="1488"/>
            <w:shd w:val="clear" w:color="auto" w:fill="E1F4FF"/>
          </w:tcPr>
          <w:p>
            <w:pPr>
              <w:spacing w:after="40" w:before="40"/>
            </w:pPr>
            <w:r>
              <w:rPr>
                <w:rFonts w:ascii="Calibri" w:hAnsi="Calibri"/>
                <w:b w:val="0"/>
                <w:sz w:val="20"/>
              </w:rPr>
              <w:t>Credit, Account Executives, Customer Success</w:t>
            </w:r>
          </w:p>
        </w:tc>
      </w:tr>
      <w:tr>
        <w:tc>
          <w:tcPr>
            <w:tcW w:type="dxa" w:w="1488"/>
          </w:tcPr>
          <w:p>
            <w:pPr>
              <w:spacing w:after="40" w:before="40"/>
            </w:pPr>
            <w:r>
              <w:rPr>
                <w:rFonts w:ascii="Calibri" w:hAnsi="Calibri"/>
                <w:b w:val="0"/>
                <w:sz w:val="20"/>
              </w:rPr>
              <w:t>Current invoice format includes various legacy fields (Traffic ID, Advertiser ID, Affidavit reference).</w:t>
            </w:r>
          </w:p>
        </w:tc>
        <w:tc>
          <w:tcPr>
            <w:tcW w:type="dxa" w:w="1488"/>
          </w:tcPr>
          <w:p>
            <w:pPr>
              <w:spacing w:after="40" w:before="40"/>
            </w:pPr>
            <w:r>
              <w:rPr>
                <w:rFonts w:ascii="Calibri" w:hAnsi="Calibri"/>
                <w:b w:val="0"/>
                <w:sz w:val="20"/>
              </w:rPr>
              <w:t>MVP invoice will include: Invoice Number, Invoice Date, Payment Terms, Remit-to Address, Bill-to Address, Campaign/Order Details, Flight Period, Impression Volume, CPM Rate, Net Amount, Total Amount Due.</w:t>
            </w:r>
          </w:p>
        </w:tc>
        <w:tc>
          <w:tcPr>
            <w:tcW w:type="dxa" w:w="1488"/>
          </w:tcPr>
          <w:p>
            <w:pPr>
              <w:spacing w:after="40" w:before="40"/>
            </w:pPr>
            <w:r>
              <w:rPr>
                <w:rFonts w:ascii="Calibri" w:hAnsi="Calibri"/>
                <w:b w:val="0"/>
                <w:sz w:val="20"/>
              </w:rPr>
              <w:t>Communication to Account Executives and Customer Success regarding changes to invoice format and content before MVP go-live.</w:t>
            </w:r>
          </w:p>
        </w:tc>
        <w:tc>
          <w:tcPr>
            <w:tcW w:type="dxa" w:w="1488"/>
          </w:tcPr>
          <w:p>
            <w:pPr>
              <w:spacing w:after="40" w:before="40"/>
            </w:pPr>
            <w:r>
              <w:rPr>
                <w:rFonts w:ascii="Calibri" w:hAnsi="Calibri"/>
                <w:b w:val="0"/>
                <w:sz w:val="20"/>
              </w:rPr>
              <w:t>People</w:t>
            </w:r>
          </w:p>
        </w:tc>
        <w:tc>
          <w:tcPr>
            <w:tcW w:type="dxa" w:w="1488"/>
          </w:tcPr>
          <w:p>
            <w:pPr>
              <w:spacing w:after="40" w:before="40"/>
            </w:pPr>
            <w:r>
              <w:rPr>
                <w:rFonts w:ascii="Calibri" w:hAnsi="Calibri"/>
                <w:b w:val="0"/>
                <w:sz w:val="20"/>
              </w:rPr>
              <w:t>Medium</w:t>
            </w:r>
          </w:p>
        </w:tc>
        <w:tc>
          <w:tcPr>
            <w:tcW w:type="dxa" w:w="1488"/>
          </w:tcPr>
          <w:p>
            <w:pPr>
              <w:spacing w:after="40" w:before="40"/>
            </w:pPr>
            <w:r>
              <w:rPr>
                <w:rFonts w:ascii="Calibri" w:hAnsi="Calibri"/>
                <w:b w:val="0"/>
                <w:sz w:val="20"/>
              </w:rPr>
              <w:t>Customer Success, Campaign Managers, Account Executives, Collections, Accounting</w:t>
            </w:r>
          </w:p>
        </w:tc>
      </w:tr>
      <w:tr>
        <w:tc>
          <w:tcPr>
            <w:tcW w:type="dxa" w:w="1488"/>
            <w:shd w:val="clear" w:color="auto" w:fill="E1F4FF"/>
          </w:tcPr>
          <w:p>
            <w:pPr>
              <w:spacing w:after="40" w:before="40"/>
            </w:pPr>
            <w:r>
              <w:rPr>
                <w:rFonts w:ascii="Calibri" w:hAnsi="Calibri"/>
                <w:b w:val="0"/>
                <w:sz w:val="20"/>
              </w:rPr>
              <w:t>The Advertiser ID was the primary customer identifier in legacy systems.</w:t>
            </w:r>
          </w:p>
        </w:tc>
        <w:tc>
          <w:tcPr>
            <w:tcW w:type="dxa" w:w="1488"/>
            <w:shd w:val="clear" w:color="auto" w:fill="E1F4FF"/>
          </w:tcPr>
          <w:p>
            <w:pPr>
              <w:spacing w:after="40" w:before="40"/>
            </w:pPr>
            <w:r>
              <w:rPr>
                <w:rFonts w:ascii="Calibri" w:hAnsi="Calibri"/>
                <w:b w:val="0"/>
                <w:sz w:val="20"/>
              </w:rPr>
              <w:t>Salesforce CRM Customer ID will be provided by AdOps Central and used as the primary customer identifier in SAP BRIM. Business Partner IDs in BRIM will match Salesforce CRM IDs.</w:t>
            </w:r>
          </w:p>
        </w:tc>
        <w:tc>
          <w:tcPr>
            <w:tcW w:type="dxa" w:w="1488"/>
            <w:shd w:val="clear" w:color="auto" w:fill="E1F4FF"/>
          </w:tcPr>
          <w:p>
            <w:pPr>
              <w:spacing w:after="40" w:before="40"/>
            </w:pPr>
            <w:r>
              <w:rPr>
                <w:rFonts w:ascii="Calibri" w:hAnsi="Calibri"/>
                <w:b w:val="0"/>
                <w:sz w:val="20"/>
              </w:rPr>
              <w:t>Training for all teams on the new single master customer ID and lookup process.</w:t>
            </w:r>
          </w:p>
        </w:tc>
        <w:tc>
          <w:tcPr>
            <w:tcW w:type="dxa" w:w="1488"/>
            <w:shd w:val="clear" w:color="auto" w:fill="E1F4FF"/>
          </w:tcPr>
          <w:p>
            <w:pPr>
              <w:spacing w:after="40" w:before="40"/>
            </w:pPr>
            <w:r>
              <w:rPr>
                <w:rFonts w:ascii="Calibri" w:hAnsi="Calibri"/>
                <w:b w:val="0"/>
                <w:sz w:val="20"/>
              </w:rPr>
              <w:t>People</w:t>
            </w:r>
          </w:p>
        </w:tc>
        <w:tc>
          <w:tcPr>
            <w:tcW w:type="dxa" w:w="1488"/>
            <w:shd w:val="clear" w:color="auto" w:fill="E1F4FF"/>
          </w:tcPr>
          <w:p>
            <w:pPr>
              <w:spacing w:after="40" w:before="40"/>
            </w:pPr>
            <w:r>
              <w:rPr>
                <w:rFonts w:ascii="Calibri" w:hAnsi="Calibri"/>
                <w:b w:val="0"/>
                <w:sz w:val="20"/>
              </w:rPr>
              <w:t>Medium</w:t>
            </w:r>
          </w:p>
        </w:tc>
        <w:tc>
          <w:tcPr>
            <w:tcW w:type="dxa" w:w="1488"/>
            <w:shd w:val="clear" w:color="auto" w:fill="E1F4FF"/>
          </w:tcPr>
          <w:p>
            <w:pPr>
              <w:spacing w:after="40" w:before="40"/>
            </w:pPr>
            <w:r>
              <w:rPr>
                <w:rFonts w:ascii="Calibri" w:hAnsi="Calibri"/>
                <w:b w:val="0"/>
                <w:sz w:val="20"/>
              </w:rPr>
              <w:t>Customer Success, Account Executives, Campaign Managers, Finance Operations</w:t>
            </w:r>
          </w:p>
        </w:tc>
      </w:tr>
      <w:tr>
        <w:tc>
          <w:tcPr>
            <w:tcW w:type="dxa" w:w="1488"/>
          </w:tcPr>
          <w:p>
            <w:pPr>
              <w:spacing w:after="40" w:before="40"/>
            </w:pPr>
            <w:r>
              <w:rPr>
                <w:rFonts w:ascii="Calibri" w:hAnsi="Calibri"/>
                <w:b w:val="0"/>
                <w:sz w:val="20"/>
              </w:rPr>
              <w:t>Market billing process is currently automated in legacy ad operations systems.</w:t>
            </w:r>
          </w:p>
        </w:tc>
        <w:tc>
          <w:tcPr>
            <w:tcW w:type="dxa" w:w="1488"/>
          </w:tcPr>
          <w:p>
            <w:pPr>
              <w:spacing w:after="40" w:before="40"/>
            </w:pPr>
            <w:r>
              <w:rPr>
                <w:rFonts w:ascii="Calibri" w:hAnsi="Calibri"/>
                <w:b w:val="0"/>
                <w:sz w:val="20"/>
              </w:rPr>
              <w:t>Finance Operations will manually upload the AdOps Central Finance Export CSV into SAP BRIM daily as part of the MVP billing process.</w:t>
            </w:r>
          </w:p>
        </w:tc>
        <w:tc>
          <w:tcPr>
            <w:tcW w:type="dxa" w:w="1488"/>
          </w:tcPr>
          <w:p>
            <w:pPr>
              <w:spacing w:after="40" w:before="40"/>
            </w:pPr>
            <w:r>
              <w:rPr>
                <w:rFonts w:ascii="Calibri" w:hAnsi="Calibri"/>
                <w:b w:val="0"/>
                <w:sz w:val="20"/>
              </w:rPr>
              <w:t>Finance Operations training on the CSV upload process and troubleshooting of import errors in SAP BRIM.</w:t>
            </w:r>
          </w:p>
        </w:tc>
        <w:tc>
          <w:tcPr>
            <w:tcW w:type="dxa" w:w="1488"/>
          </w:tcPr>
          <w:p>
            <w:pPr>
              <w:spacing w:after="40" w:before="40"/>
            </w:pPr>
            <w:r>
              <w:rPr>
                <w:rFonts w:ascii="Calibri" w:hAnsi="Calibri"/>
                <w:b w:val="0"/>
                <w:sz w:val="20"/>
              </w:rPr>
              <w:t>People and Process</w:t>
            </w:r>
          </w:p>
        </w:tc>
        <w:tc>
          <w:tcPr>
            <w:tcW w:type="dxa" w:w="1488"/>
          </w:tcPr>
          <w:p>
            <w:pPr>
              <w:spacing w:after="40" w:before="40"/>
            </w:pPr>
            <w:r>
              <w:rPr>
                <w:rFonts w:ascii="Calibri" w:hAnsi="Calibri"/>
                <w:b w:val="0"/>
                <w:sz w:val="20"/>
              </w:rPr>
              <w:t>Medium</w:t>
            </w:r>
          </w:p>
        </w:tc>
        <w:tc>
          <w:tcPr>
            <w:tcW w:type="dxa" w:w="1488"/>
          </w:tcPr>
          <w:p>
            <w:pPr>
              <w:spacing w:after="40" w:before="40"/>
            </w:pPr>
            <w:r>
              <w:rPr>
                <w:rFonts w:ascii="Calibri" w:hAnsi="Calibri"/>
                <w:b w:val="0"/>
                <w:sz w:val="20"/>
              </w:rPr>
              <w:t>Finance Operations</w:t>
            </w:r>
          </w:p>
        </w:tc>
      </w:tr>
      <w:tr>
        <w:tc>
          <w:tcPr>
            <w:tcW w:type="dxa" w:w="1488"/>
            <w:shd w:val="clear" w:color="auto" w:fill="E1F4FF"/>
          </w:tcPr>
          <w:p>
            <w:pPr>
              <w:spacing w:after="40" w:before="40"/>
            </w:pPr>
            <w:r>
              <w:rPr>
                <w:rFonts w:ascii="Calibri" w:hAnsi="Calibri"/>
                <w:b w:val="0"/>
                <w:sz w:val="20"/>
              </w:rPr>
              <w:t>If a CSV import failure occurs in legacy systems, the team must raise a manual ticket with IT support.</w:t>
            </w:r>
          </w:p>
        </w:tc>
        <w:tc>
          <w:tcPr>
            <w:tcW w:type="dxa" w:w="1488"/>
            <w:shd w:val="clear" w:color="auto" w:fill="E1F4FF"/>
          </w:tcPr>
          <w:p>
            <w:pPr>
              <w:spacing w:after="40" w:before="40"/>
            </w:pPr>
            <w:r>
              <w:rPr>
                <w:rFonts w:ascii="Calibri" w:hAnsi="Calibri"/>
                <w:b w:val="0"/>
                <w:sz w:val="20"/>
              </w:rPr>
              <w:t>SAP BRIM will automatically identify import failures after the CSV file is uploaded. Some BITs may appear as raw excepted items in the Display Billable Items app.</w:t>
            </w:r>
          </w:p>
        </w:tc>
        <w:tc>
          <w:tcPr>
            <w:tcW w:type="dxa" w:w="1488"/>
            <w:shd w:val="clear" w:color="auto" w:fill="E1F4FF"/>
          </w:tcPr>
          <w:p>
            <w:pPr>
              <w:spacing w:after="40" w:before="40"/>
            </w:pPr>
            <w:r>
              <w:rPr>
                <w:rFonts w:ascii="Calibri" w:hAnsi="Calibri"/>
                <w:b w:val="0"/>
                <w:sz w:val="20"/>
              </w:rPr>
              <w:t>Training on the automated failure identification process and Fiori-based BIT exception resolution workflow.</w:t>
            </w:r>
          </w:p>
        </w:tc>
        <w:tc>
          <w:tcPr>
            <w:tcW w:type="dxa" w:w="1488"/>
            <w:shd w:val="clear" w:color="auto" w:fill="E1F4FF"/>
          </w:tcPr>
          <w:p>
            <w:pPr>
              <w:spacing w:after="40" w:before="40"/>
            </w:pPr>
            <w:r>
              <w:rPr>
                <w:rFonts w:ascii="Calibri" w:hAnsi="Calibri"/>
                <w:b w:val="0"/>
                <w:sz w:val="20"/>
              </w:rPr>
              <w:t>Tech</w:t>
            </w:r>
          </w:p>
        </w:tc>
        <w:tc>
          <w:tcPr>
            <w:tcW w:type="dxa" w:w="1488"/>
            <w:shd w:val="clear" w:color="auto" w:fill="E1F4FF"/>
          </w:tcPr>
          <w:p>
            <w:pPr>
              <w:spacing w:after="40" w:before="40"/>
            </w:pPr>
            <w:r>
              <w:rPr>
                <w:rFonts w:ascii="Calibri" w:hAnsi="Calibri"/>
                <w:b w:val="0"/>
                <w:sz w:val="20"/>
              </w:rPr>
              <w:t>Low</w:t>
            </w:r>
          </w:p>
        </w:tc>
        <w:tc>
          <w:tcPr>
            <w:tcW w:type="dxa" w:w="1488"/>
            <w:shd w:val="clear" w:color="auto" w:fill="E1F4FF"/>
          </w:tcPr>
          <w:p>
            <w:pPr>
              <w:spacing w:after="40" w:before="40"/>
            </w:pPr>
            <w:r>
              <w:rPr>
                <w:rFonts w:ascii="Calibri" w:hAnsi="Calibri"/>
                <w:b w:val="0"/>
                <w:sz w:val="20"/>
              </w:rPr>
              <w:t>Finance Operations</w:t>
            </w:r>
          </w:p>
        </w:tc>
      </w:tr>
      <w:tr>
        <w:tc>
          <w:tcPr>
            <w:tcW w:type="dxa" w:w="1488"/>
          </w:tcPr>
          <w:p>
            <w:pPr>
              <w:spacing w:after="40" w:before="40"/>
            </w:pPr>
            <w:r>
              <w:rPr>
                <w:rFonts w:ascii="Calibri" w:hAnsi="Calibri"/>
                <w:b w:val="0"/>
                <w:sz w:val="20"/>
              </w:rPr>
              <w:t>Finance Operations has limited visibility into the billing status of individual line items in legacy systems.</w:t>
            </w:r>
          </w:p>
        </w:tc>
        <w:tc>
          <w:tcPr>
            <w:tcW w:type="dxa" w:w="1488"/>
          </w:tcPr>
          <w:p>
            <w:pPr>
              <w:spacing w:after="40" w:before="40"/>
            </w:pPr>
            <w:r>
              <w:rPr>
                <w:rFonts w:ascii="Calibri" w:hAnsi="Calibri"/>
                <w:b w:val="0"/>
                <w:sz w:val="20"/>
              </w:rPr>
              <w:t>SAP BRIM provides real-time visibility into BIT status (billable, excepted, billed) via the Display Billable Items Fiori app for all Finance Operations team members.</w:t>
            </w:r>
          </w:p>
        </w:tc>
        <w:tc>
          <w:tcPr>
            <w:tcW w:type="dxa" w:w="1488"/>
          </w:tcPr>
          <w:p>
            <w:pPr>
              <w:spacing w:after="40" w:before="40"/>
            </w:pPr>
            <w:r>
              <w:rPr>
                <w:rFonts w:ascii="Calibri" w:hAnsi="Calibri"/>
                <w:b w:val="0"/>
                <w:sz w:val="20"/>
              </w:rPr>
              <w:t>Training on the Display Billable Items Fiori app and BIT monitoring process.</w:t>
            </w:r>
          </w:p>
        </w:tc>
        <w:tc>
          <w:tcPr>
            <w:tcW w:type="dxa" w:w="1488"/>
          </w:tcPr>
          <w:p>
            <w:pPr>
              <w:spacing w:after="40" w:before="40"/>
            </w:pPr>
            <w:r>
              <w:rPr>
                <w:rFonts w:ascii="Calibri" w:hAnsi="Calibri"/>
                <w:b w:val="0"/>
                <w:sz w:val="20"/>
              </w:rPr>
              <w:t>People and Tech</w:t>
            </w:r>
          </w:p>
        </w:tc>
        <w:tc>
          <w:tcPr>
            <w:tcW w:type="dxa" w:w="1488"/>
          </w:tcPr>
          <w:p>
            <w:pPr>
              <w:spacing w:after="40" w:before="40"/>
            </w:pPr>
            <w:r>
              <w:rPr>
                <w:rFonts w:ascii="Calibri" w:hAnsi="Calibri"/>
                <w:b w:val="0"/>
                <w:sz w:val="20"/>
              </w:rPr>
              <w:t>Low</w:t>
            </w:r>
          </w:p>
        </w:tc>
        <w:tc>
          <w:tcPr>
            <w:tcW w:type="dxa" w:w="1488"/>
          </w:tcPr>
          <w:p>
            <w:pPr>
              <w:spacing w:after="40" w:before="40"/>
            </w:pPr>
            <w:r>
              <w:rPr>
                <w:rFonts w:ascii="Calibri" w:hAnsi="Calibri"/>
                <w:b w:val="0"/>
                <w:sz w:val="20"/>
              </w:rPr>
              <w:t>Finance Operations – Billing Team</w:t>
            </w:r>
          </w:p>
        </w:tc>
      </w:tr>
    </w:tbl>
    <w:p/>
    <w:p>
      <w:pPr>
        <w:pStyle w:val="Heading1"/>
      </w:pPr>
      <w:r>
        <w:t>4. Invoice Distribution Details</w:t>
      </w:r>
    </w:p>
    <w:p>
      <w:pPr>
        <w:spacing w:after="120" w:before="40"/>
      </w:pPr>
      <w:r>
        <w:rPr>
          <w:rFonts w:ascii="Calibri" w:hAnsi="Calibri"/>
          <w:b/>
          <w:color w:val="0070F2"/>
          <w:sz w:val="21"/>
        </w:rPr>
        <w:t xml:space="preserve">Purpose:  </w:t>
      </w:r>
      <w:r>
        <w:rPr>
          <w:rFonts w:ascii="Calibri" w:hAnsi="Calibri"/>
          <w:sz w:val="21"/>
        </w:rPr>
        <w:t>To provide a detailed picture of the Invoice Distribution Level 3 business process, with all the relevant process and solution detail required at this stage of the project.</w:t>
      </w:r>
    </w:p>
    <w:p>
      <w:pPr>
        <w:pStyle w:val="Heading2"/>
      </w:pPr>
      <w:r>
        <w:t>4.1  Process Owners</w:t>
      </w:r>
    </w:p>
    <w:p>
      <w:pPr>
        <w:spacing w:after="120" w:before="40"/>
      </w:pPr>
      <w:r>
        <w:rPr>
          <w:rFonts w:ascii="Calibri" w:hAnsi="Calibri"/>
          <w:b/>
          <w:color w:val="0070F2"/>
          <w:sz w:val="21"/>
        </w:rPr>
        <w:t xml:space="preserve">Purpose:  </w:t>
      </w:r>
      <w:r>
        <w:rPr>
          <w:rFonts w:ascii="Calibri" w:hAnsi="Calibri"/>
          <w:sz w:val="21"/>
        </w:rPr>
        <w:t>The named individuals within Nexstream who own the business process and are jointly responsible for the design and implementation of the Invoice Distribution process.</w:t>
      </w:r>
    </w:p>
    <w:p/>
    <w:tbl>
      <w:tblPr>
        <w:tblStyle w:val="TableGrid"/>
        <w:tblW w:type="auto" w:w="0"/>
        <w:jc w:val="left"/>
        <w:tblLook w:firstColumn="1" w:firstRow="1" w:lastColumn="0" w:lastRow="0" w:noHBand="0" w:noVBand="1" w:val="04A0"/>
      </w:tblPr>
      <w:tblGrid>
        <w:gridCol w:w="4464"/>
        <w:gridCol w:w="4464"/>
      </w:tblGrid>
      <w:tr>
        <w:tc>
          <w:tcPr>
            <w:tcW w:type="dxa" w:w="3600"/>
            <w:shd w:val="clear" w:color="auto" w:fill="0070F2"/>
          </w:tcPr>
          <w:p>
            <w:pPr>
              <w:spacing w:after="40" w:before="40"/>
            </w:pPr>
            <w:r>
              <w:rPr>
                <w:rFonts w:ascii="Calibri" w:hAnsi="Calibri"/>
                <w:b/>
                <w:color w:val="FFFFFF"/>
                <w:sz w:val="20"/>
              </w:rPr>
              <w:t>Name</w:t>
            </w:r>
          </w:p>
        </w:tc>
        <w:tc>
          <w:tcPr>
            <w:tcW w:type="dxa" w:w="5760"/>
            <w:shd w:val="clear" w:color="auto" w:fill="0070F2"/>
          </w:tcPr>
          <w:p>
            <w:pPr>
              <w:spacing w:after="40" w:before="40"/>
            </w:pPr>
            <w:r>
              <w:rPr>
                <w:rFonts w:ascii="Calibri" w:hAnsi="Calibri"/>
                <w:b/>
                <w:color w:val="FFFFFF"/>
                <w:sz w:val="20"/>
              </w:rPr>
              <w:t>Role</w:t>
            </w:r>
          </w:p>
        </w:tc>
      </w:tr>
      <w:tr>
        <w:tc>
          <w:tcPr>
            <w:tcW w:type="dxa" w:w="4464"/>
            <w:shd w:val="clear" w:color="auto" w:fill="E1F4FF"/>
          </w:tcPr>
          <w:p>
            <w:pPr>
              <w:spacing w:after="40" w:before="40"/>
            </w:pPr>
            <w:r>
              <w:rPr>
                <w:rFonts w:ascii="Calibri" w:hAnsi="Calibri"/>
                <w:b w:val="0"/>
                <w:sz w:val="20"/>
              </w:rPr>
              <w:t>Tyler Nguyen</w:t>
            </w:r>
          </w:p>
        </w:tc>
        <w:tc>
          <w:tcPr>
            <w:tcW w:type="dxa" w:w="4464"/>
            <w:shd w:val="clear" w:color="auto" w:fill="E1F4FF"/>
          </w:tcPr>
          <w:p>
            <w:pPr>
              <w:spacing w:after="40" w:before="40"/>
            </w:pPr>
            <w:r>
              <w:rPr>
                <w:rFonts w:ascii="Calibri" w:hAnsi="Calibri"/>
                <w:b w:val="0"/>
                <w:sz w:val="20"/>
              </w:rPr>
              <w:t>Functional Lead – Billing and Invoicing</w:t>
            </w:r>
          </w:p>
        </w:tc>
      </w:tr>
      <w:tr>
        <w:tc>
          <w:tcPr>
            <w:tcW w:type="dxa" w:w="4464"/>
          </w:tcPr>
          <w:p>
            <w:pPr>
              <w:spacing w:after="40" w:before="40"/>
            </w:pPr>
            <w:r>
              <w:rPr>
                <w:rFonts w:ascii="Calibri" w:hAnsi="Calibri"/>
                <w:b w:val="0"/>
                <w:sz w:val="20"/>
              </w:rPr>
              <w:t>Alicia Bowers</w:t>
            </w:r>
          </w:p>
        </w:tc>
        <w:tc>
          <w:tcPr>
            <w:tcW w:type="dxa" w:w="4464"/>
          </w:tcPr>
          <w:p>
            <w:pPr>
              <w:spacing w:after="40" w:before="40"/>
            </w:pPr>
            <w:r>
              <w:rPr>
                <w:rFonts w:ascii="Calibri" w:hAnsi="Calibri"/>
                <w:b w:val="0"/>
                <w:sz w:val="20"/>
              </w:rPr>
              <w:t>Functional Lead – Accounts Receivable and Collections</w:t>
            </w:r>
          </w:p>
        </w:tc>
      </w:tr>
      <w:tr>
        <w:tc>
          <w:tcPr>
            <w:tcW w:type="dxa" w:w="4464"/>
            <w:shd w:val="clear" w:color="auto" w:fill="E1F4FF"/>
          </w:tcPr>
          <w:p>
            <w:pPr>
              <w:spacing w:after="40" w:before="40"/>
            </w:pPr>
            <w:r>
              <w:rPr>
                <w:rFonts w:ascii="Calibri" w:hAnsi="Calibri"/>
                <w:b w:val="0"/>
                <w:sz w:val="20"/>
              </w:rPr>
              <w:t>Michael Park</w:t>
            </w:r>
          </w:p>
        </w:tc>
        <w:tc>
          <w:tcPr>
            <w:tcW w:type="dxa" w:w="4464"/>
            <w:shd w:val="clear" w:color="auto" w:fill="E1F4FF"/>
          </w:tcPr>
          <w:p>
            <w:pPr>
              <w:spacing w:after="40" w:before="40"/>
            </w:pPr>
            <w:r>
              <w:rPr>
                <w:rFonts w:ascii="Calibri" w:hAnsi="Calibri"/>
                <w:b w:val="0"/>
                <w:sz w:val="20"/>
              </w:rPr>
              <w:t>Digital Experience / Product Lead</w:t>
            </w:r>
          </w:p>
        </w:tc>
      </w:tr>
      <w:tr>
        <w:tc>
          <w:tcPr>
            <w:tcW w:type="dxa" w:w="4464"/>
          </w:tcPr>
          <w:p>
            <w:pPr>
              <w:spacing w:after="40" w:before="40"/>
            </w:pPr>
            <w:r>
              <w:rPr>
                <w:rFonts w:ascii="Calibri" w:hAnsi="Calibri"/>
                <w:b w:val="0"/>
                <w:sz w:val="20"/>
              </w:rPr>
              <w:t>Sandra Lee</w:t>
            </w:r>
          </w:p>
        </w:tc>
        <w:tc>
          <w:tcPr>
            <w:tcW w:type="dxa" w:w="4464"/>
          </w:tcPr>
          <w:p>
            <w:pPr>
              <w:spacing w:after="40" w:before="40"/>
            </w:pPr>
            <w:r>
              <w:rPr>
                <w:rFonts w:ascii="Calibri" w:hAnsi="Calibri"/>
                <w:b w:val="0"/>
                <w:sz w:val="20"/>
              </w:rPr>
              <w:t>Project Lead</w:t>
            </w:r>
          </w:p>
        </w:tc>
      </w:tr>
    </w:tbl>
    <w:p/>
    <w:p>
      <w:pPr>
        <w:pStyle w:val="Heading2"/>
      </w:pPr>
      <w:r>
        <w:t>4.2  Process Key Decisions</w:t>
      </w:r>
    </w:p>
    <w:p>
      <w:pPr>
        <w:spacing w:after="120" w:before="40"/>
      </w:pPr>
      <w:r>
        <w:rPr>
          <w:rFonts w:ascii="Calibri" w:hAnsi="Calibri"/>
          <w:b/>
          <w:color w:val="0070F2"/>
          <w:sz w:val="21"/>
        </w:rPr>
        <w:t xml:space="preserve">Purpose:  </w:t>
      </w:r>
      <w:r>
        <w:rPr>
          <w:rFonts w:ascii="Calibri" w:hAnsi="Calibri"/>
          <w:sz w:val="21"/>
        </w:rPr>
        <w:t>To document key decisions made that impact the Invoice Distribution process design.</w:t>
      </w:r>
    </w:p>
    <w:p/>
    <w:tbl>
      <w:tblPr>
        <w:tblStyle w:val="TableGrid"/>
        <w:tblW w:type="auto" w:w="0"/>
        <w:jc w:val="left"/>
        <w:tblLook w:firstColumn="1" w:firstRow="1" w:lastColumn="0" w:lastRow="0" w:noHBand="0" w:noVBand="1" w:val="04A0"/>
      </w:tblPr>
      <w:tblGrid>
        <w:gridCol w:w="4464"/>
        <w:gridCol w:w="4464"/>
      </w:tblGrid>
      <w:tr>
        <w:tc>
          <w:tcPr>
            <w:tcW w:type="dxa" w:w="1584"/>
            <w:shd w:val="clear" w:color="auto" w:fill="0070F2"/>
          </w:tcPr>
          <w:p>
            <w:pPr>
              <w:spacing w:after="40" w:before="40"/>
            </w:pPr>
            <w:r>
              <w:rPr>
                <w:rFonts w:ascii="Calibri" w:hAnsi="Calibri"/>
                <w:b/>
                <w:color w:val="FFFFFF"/>
                <w:sz w:val="20"/>
              </w:rPr>
              <w:t>Decision ID</w:t>
            </w:r>
          </w:p>
        </w:tc>
        <w:tc>
          <w:tcPr>
            <w:tcW w:type="dxa" w:w="9216"/>
            <w:shd w:val="clear" w:color="auto" w:fill="0070F2"/>
          </w:tcPr>
          <w:p>
            <w:pPr>
              <w:spacing w:after="40" w:before="40"/>
            </w:pPr>
            <w:r>
              <w:rPr>
                <w:rFonts w:ascii="Calibri" w:hAnsi="Calibri"/>
                <w:b/>
                <w:color w:val="FFFFFF"/>
                <w:sz w:val="20"/>
              </w:rPr>
              <w:t>Description</w:t>
            </w:r>
          </w:p>
        </w:tc>
      </w:tr>
      <w:tr>
        <w:tc>
          <w:tcPr>
            <w:tcW w:type="dxa" w:w="4464"/>
            <w:shd w:val="clear" w:color="auto" w:fill="E1F4FF"/>
          </w:tcPr>
          <w:p>
            <w:pPr>
              <w:spacing w:after="40" w:before="40"/>
            </w:pPr>
            <w:r>
              <w:rPr>
                <w:rFonts w:ascii="Calibri" w:hAnsi="Calibri"/>
                <w:b w:val="0"/>
                <w:sz w:val="20"/>
              </w:rPr>
              <w:t>DE-02</w:t>
            </w:r>
          </w:p>
        </w:tc>
        <w:tc>
          <w:tcPr>
            <w:tcW w:type="dxa" w:w="4464"/>
            <w:shd w:val="clear" w:color="auto" w:fill="E1F4FF"/>
          </w:tcPr>
          <w:p>
            <w:pPr>
              <w:spacing w:after="40" w:before="40"/>
            </w:pPr>
            <w:r>
              <w:rPr>
                <w:rFonts w:ascii="Calibri" w:hAnsi="Calibri"/>
                <w:b w:val="0"/>
                <w:sz w:val="20"/>
              </w:rPr>
              <w:t>MyNexstream will be the future digital self-service experience for Nexstream customers, providing access to invoices, account balances, and payment history.</w:t>
            </w:r>
          </w:p>
        </w:tc>
      </w:tr>
      <w:tr>
        <w:tc>
          <w:tcPr>
            <w:tcW w:type="dxa" w:w="4464"/>
          </w:tcPr>
          <w:p>
            <w:pPr>
              <w:spacing w:after="40" w:before="40"/>
            </w:pPr>
            <w:r>
              <w:rPr>
                <w:rFonts w:ascii="Calibri" w:hAnsi="Calibri"/>
                <w:b w:val="0"/>
                <w:sz w:val="20"/>
              </w:rPr>
              <w:t>DE-03</w:t>
            </w:r>
          </w:p>
        </w:tc>
        <w:tc>
          <w:tcPr>
            <w:tcW w:type="dxa" w:w="4464"/>
          </w:tcPr>
          <w:p>
            <w:pPr>
              <w:spacing w:after="40" w:before="40"/>
            </w:pPr>
            <w:r>
              <w:rPr>
                <w:rFonts w:ascii="Calibri" w:hAnsi="Calibri"/>
                <w:b w:val="0"/>
                <w:sz w:val="20"/>
              </w:rPr>
              <w:t>MyNexstream will receive invoice PDFs and transactional invoice data at line-item detail level via API from SAP BRIM.</w:t>
            </w:r>
          </w:p>
        </w:tc>
      </w:tr>
      <w:tr>
        <w:tc>
          <w:tcPr>
            <w:tcW w:type="dxa" w:w="4464"/>
            <w:shd w:val="clear" w:color="auto" w:fill="E1F4FF"/>
          </w:tcPr>
          <w:p>
            <w:pPr>
              <w:spacing w:after="40" w:before="40"/>
            </w:pPr>
            <w:r>
              <w:rPr>
                <w:rFonts w:ascii="Calibri" w:hAnsi="Calibri"/>
                <w:b w:val="0"/>
                <w:sz w:val="20"/>
              </w:rPr>
              <w:t>DE-10</w:t>
            </w:r>
          </w:p>
        </w:tc>
        <w:tc>
          <w:tcPr>
            <w:tcW w:type="dxa" w:w="4464"/>
            <w:shd w:val="clear" w:color="auto" w:fill="E1F4FF"/>
          </w:tcPr>
          <w:p>
            <w:pPr>
              <w:spacing w:after="40" w:before="40"/>
            </w:pPr>
            <w:r>
              <w:rPr>
                <w:rFonts w:ascii="Calibri" w:hAnsi="Calibri"/>
                <w:b w:val="0"/>
                <w:sz w:val="20"/>
              </w:rPr>
              <w:t>Invoice PDFs are available in SAP BRIM and can be downloaded from the Display Invoice Documents Fiori app (FKKINVDOC_DISP) by Finance Operations and Customer Success teams.</w:t>
            </w:r>
          </w:p>
        </w:tc>
      </w:tr>
      <w:tr>
        <w:tc>
          <w:tcPr>
            <w:tcW w:type="dxa" w:w="4464"/>
          </w:tcPr>
          <w:p>
            <w:pPr>
              <w:spacing w:after="40" w:before="40"/>
            </w:pPr>
            <w:r>
              <w:rPr>
                <w:rFonts w:ascii="Calibri" w:hAnsi="Calibri"/>
                <w:b w:val="0"/>
                <w:sz w:val="20"/>
              </w:rPr>
              <w:t>DE-20</w:t>
            </w:r>
          </w:p>
        </w:tc>
        <w:tc>
          <w:tcPr>
            <w:tcW w:type="dxa" w:w="4464"/>
          </w:tcPr>
          <w:p>
            <w:pPr>
              <w:spacing w:after="40" w:before="40"/>
            </w:pPr>
            <w:r>
              <w:rPr>
                <w:rFonts w:ascii="Calibri" w:hAnsi="Calibri"/>
                <w:b w:val="0"/>
                <w:sz w:val="20"/>
              </w:rPr>
              <w:t>There will be no integration between SAP BRIM and a print/mail centre for MVP. Paper invoice distribution is out of scope for MVP.</w:t>
            </w:r>
          </w:p>
        </w:tc>
      </w:tr>
      <w:tr>
        <w:tc>
          <w:tcPr>
            <w:tcW w:type="dxa" w:w="4464"/>
            <w:shd w:val="clear" w:color="auto" w:fill="E1F4FF"/>
          </w:tcPr>
          <w:p>
            <w:pPr>
              <w:spacing w:after="40" w:before="40"/>
            </w:pPr>
            <w:r>
              <w:rPr>
                <w:rFonts w:ascii="Calibri" w:hAnsi="Calibri"/>
                <w:b w:val="0"/>
                <w:sz w:val="20"/>
              </w:rPr>
              <w:t>DE-21</w:t>
            </w:r>
          </w:p>
        </w:tc>
        <w:tc>
          <w:tcPr>
            <w:tcW w:type="dxa" w:w="4464"/>
            <w:shd w:val="clear" w:color="auto" w:fill="E1F4FF"/>
          </w:tcPr>
          <w:p>
            <w:pPr>
              <w:spacing w:after="40" w:before="40"/>
            </w:pPr>
            <w:r>
              <w:rPr>
                <w:rFonts w:ascii="Calibri" w:hAnsi="Calibri"/>
                <w:b w:val="0"/>
                <w:sz w:val="20"/>
              </w:rPr>
              <w:t>Invoices will be available for MVP customers exclusively via MyNexstream.</w:t>
            </w:r>
          </w:p>
        </w:tc>
      </w:tr>
      <w:tr>
        <w:tc>
          <w:tcPr>
            <w:tcW w:type="dxa" w:w="4464"/>
          </w:tcPr>
          <w:p>
            <w:pPr>
              <w:spacing w:after="40" w:before="40"/>
            </w:pPr>
            <w:r>
              <w:rPr>
                <w:rFonts w:ascii="Calibri" w:hAnsi="Calibri"/>
                <w:b w:val="0"/>
                <w:sz w:val="20"/>
              </w:rPr>
              <w:t>DE-22</w:t>
            </w:r>
          </w:p>
        </w:tc>
        <w:tc>
          <w:tcPr>
            <w:tcW w:type="dxa" w:w="4464"/>
          </w:tcPr>
          <w:p>
            <w:pPr>
              <w:spacing w:after="40" w:before="40"/>
            </w:pPr>
            <w:r>
              <w:rPr>
                <w:rFonts w:ascii="Calibri" w:hAnsi="Calibri"/>
                <w:b w:val="0"/>
                <w:sz w:val="20"/>
              </w:rPr>
              <w:t>SAP BRIM will notify MyNexstream when new invoices are available via an API notification event. MyNexstream will pull the invoice PDF and data upon receiving the notification.</w:t>
            </w:r>
          </w:p>
        </w:tc>
      </w:tr>
      <w:tr>
        <w:tc>
          <w:tcPr>
            <w:tcW w:type="dxa" w:w="4464"/>
            <w:shd w:val="clear" w:color="auto" w:fill="E1F4FF"/>
          </w:tcPr>
          <w:p>
            <w:pPr>
              <w:spacing w:after="40" w:before="40"/>
            </w:pPr>
            <w:r>
              <w:rPr>
                <w:rFonts w:ascii="Calibri" w:hAnsi="Calibri"/>
                <w:b w:val="0"/>
                <w:sz w:val="20"/>
              </w:rPr>
              <w:t>DE-23</w:t>
            </w:r>
          </w:p>
        </w:tc>
        <w:tc>
          <w:tcPr>
            <w:tcW w:type="dxa" w:w="4464"/>
            <w:shd w:val="clear" w:color="auto" w:fill="E1F4FF"/>
          </w:tcPr>
          <w:p>
            <w:pPr>
              <w:spacing w:after="40" w:before="40"/>
            </w:pPr>
            <w:r>
              <w:rPr>
                <w:rFonts w:ascii="Calibri" w:hAnsi="Calibri"/>
                <w:b w:val="0"/>
                <w:sz w:val="20"/>
              </w:rPr>
              <w:t>Account Executives who require a copy of an invoice must submit a request to the Customer Success team, who will access the invoice PDF directly in SAP BRIM and provide it to the AE.</w:t>
            </w:r>
          </w:p>
        </w:tc>
      </w:tr>
      <w:tr>
        <w:tc>
          <w:tcPr>
            <w:tcW w:type="dxa" w:w="4464"/>
          </w:tcPr>
          <w:p>
            <w:pPr>
              <w:spacing w:after="40" w:before="40"/>
            </w:pPr>
            <w:r>
              <w:rPr>
                <w:rFonts w:ascii="Calibri" w:hAnsi="Calibri"/>
                <w:b w:val="0"/>
                <w:sz w:val="20"/>
              </w:rPr>
              <w:t>DE-24</w:t>
            </w:r>
          </w:p>
        </w:tc>
        <w:tc>
          <w:tcPr>
            <w:tcW w:type="dxa" w:w="4464"/>
          </w:tcPr>
          <w:p>
            <w:pPr>
              <w:spacing w:after="40" w:before="40"/>
            </w:pPr>
            <w:r>
              <w:rPr>
                <w:rFonts w:ascii="Calibri" w:hAnsi="Calibri"/>
                <w:b w:val="0"/>
                <w:sz w:val="20"/>
              </w:rPr>
              <w:t>Archiving of invoice PDFs will be handled by SAP BRIM's standard document management capability. MyNexstream will not independently archive invoice PDFs.</w:t>
            </w:r>
          </w:p>
        </w:tc>
      </w:tr>
      <w:tr>
        <w:tc>
          <w:tcPr>
            <w:tcW w:type="dxa" w:w="4464"/>
            <w:shd w:val="clear" w:color="auto" w:fill="E1F4FF"/>
          </w:tcPr>
          <w:p>
            <w:pPr>
              <w:spacing w:after="40" w:before="40"/>
            </w:pPr>
            <w:r>
              <w:rPr>
                <w:rFonts w:ascii="Calibri" w:hAnsi="Calibri"/>
                <w:b w:val="0"/>
                <w:sz w:val="20"/>
              </w:rPr>
              <w:t>DE-25</w:t>
            </w:r>
          </w:p>
        </w:tc>
        <w:tc>
          <w:tcPr>
            <w:tcW w:type="dxa" w:w="4464"/>
            <w:shd w:val="clear" w:color="auto" w:fill="E1F4FF"/>
          </w:tcPr>
          <w:p>
            <w:pPr>
              <w:spacing w:after="40" w:before="40"/>
            </w:pPr>
            <w:r>
              <w:rPr>
                <w:rFonts w:ascii="Calibri" w:hAnsi="Calibri"/>
                <w:b w:val="0"/>
                <w:sz w:val="20"/>
              </w:rPr>
              <w:t>Invoice delivery method and invoice recipient (bill-to contact) will be stored on the customer's Contract Account in SAP BRIM. For MVP, the delivery method will always be 'MyNexstream Portal'.</w:t>
            </w:r>
          </w:p>
        </w:tc>
      </w:tr>
      <w:tr>
        <w:tc>
          <w:tcPr>
            <w:tcW w:type="dxa" w:w="4464"/>
          </w:tcPr>
          <w:p>
            <w:pPr>
              <w:spacing w:after="40" w:before="40"/>
            </w:pPr>
            <w:r>
              <w:rPr>
                <w:rFonts w:ascii="Calibri" w:hAnsi="Calibri"/>
                <w:b w:val="0"/>
                <w:sz w:val="20"/>
              </w:rPr>
              <w:t>DE-26</w:t>
            </w:r>
          </w:p>
        </w:tc>
        <w:tc>
          <w:tcPr>
            <w:tcW w:type="dxa" w:w="4464"/>
          </w:tcPr>
          <w:p>
            <w:pPr>
              <w:spacing w:after="40" w:before="40"/>
            </w:pPr>
            <w:r>
              <w:rPr>
                <w:rFonts w:ascii="Calibri" w:hAnsi="Calibri"/>
                <w:b w:val="0"/>
                <w:sz w:val="20"/>
              </w:rPr>
              <w:t>Email notification to the customer upon invoice availability in MyNexstream is deferred to a future phase. For MVP, customers will need to log in to MyNexstream to view new invoices.</w:t>
            </w:r>
          </w:p>
        </w:tc>
      </w:tr>
    </w:tbl>
    <w:p/>
    <w:p>
      <w:pPr>
        <w:pStyle w:val="Heading2"/>
      </w:pPr>
      <w:r>
        <w:t>4.3  Process Overview</w:t>
      </w:r>
    </w:p>
    <w:p>
      <w:pPr>
        <w:spacing w:after="120" w:before="40"/>
      </w:pPr>
      <w:r>
        <w:rPr>
          <w:rFonts w:ascii="Calibri" w:hAnsi="Calibri"/>
          <w:b/>
          <w:color w:val="0070F2"/>
          <w:sz w:val="21"/>
        </w:rPr>
        <w:t xml:space="preserve">Purpose:  </w:t>
      </w:r>
      <w:r>
        <w:rPr>
          <w:rFonts w:ascii="Calibri" w:hAnsi="Calibri"/>
          <w:sz w:val="21"/>
        </w:rPr>
        <w:t>This section provides a detailed description of the purpose and steps of the Invoice Distribution business process.</w:t>
      </w:r>
    </w:p>
    <w:p/>
    <w:p>
      <w:pPr>
        <w:spacing w:after="120" w:before="40"/>
      </w:pPr>
      <w:r>
        <w:rPr>
          <w:rFonts w:ascii="Calibri" w:hAnsi="Calibri"/>
          <w:b/>
          <w:i w:val="0"/>
          <w:color w:val="00144A"/>
          <w:sz w:val="21"/>
        </w:rPr>
        <w:t>Invoice Distribution</w:t>
      </w:r>
    </w:p>
    <w:p>
      <w:pPr>
        <w:spacing w:after="120" w:before="40"/>
      </w:pPr>
      <w:r>
        <w:rPr>
          <w:rFonts w:ascii="Calibri" w:hAnsi="Calibri"/>
          <w:b w:val="0"/>
          <w:i w:val="0"/>
          <w:sz w:val="21"/>
        </w:rPr>
        <w:t>Invoice delivery method and invoice recipient information will be stored on the Contract Account in SAP BRIM. For MVP customers, only invoice delivery via MyNexstream is in scope.</w:t>
      </w:r>
    </w:p>
    <w:p>
      <w:pPr>
        <w:spacing w:after="120" w:before="40"/>
      </w:pPr>
      <w:r>
        <w:rPr>
          <w:rFonts w:ascii="Calibri" w:hAnsi="Calibri"/>
          <w:b w:val="0"/>
          <w:i w:val="0"/>
          <w:sz w:val="21"/>
        </w:rPr>
        <w:t>Once the invoice generation batch job is run, SAP BRIM will automatically distribute available invoice PDFs and transactional invoice data via API to MyNexstream (WRICEF 9). SAP BRIM will send a notification event to MyNexstream when a new invoice correspondence is available, at which point MyNexstream will retrieve the invoice PDF and line-item data via the API.</w:t>
      </w:r>
    </w:p>
    <w:p>
      <w:pPr>
        <w:spacing w:after="120" w:before="40"/>
      </w:pPr>
      <w:r>
        <w:rPr>
          <w:rFonts w:ascii="Calibri" w:hAnsi="Calibri"/>
          <w:b w:val="0"/>
          <w:i w:val="0"/>
          <w:sz w:val="21"/>
        </w:rPr>
        <w:t>If an Account Executive requires a copy of the invoice, they will need to submit a request through the Customer Success team, who will have access to SAP BRIM. The Customer Success team will retrieve the invoice from SAP BRIM using the Display Invoice Documents Fiori app (FKKINVDOC_DISP) and provide the PDF to the Account Executive.</w:t>
      </w:r>
    </w:p>
    <w:p/>
    <w:p>
      <w:pPr>
        <w:spacing w:after="120" w:before="40"/>
      </w:pPr>
      <w:r>
        <w:rPr>
          <w:rFonts w:ascii="Calibri" w:hAnsi="Calibri"/>
          <w:b/>
          <w:i w:val="0"/>
          <w:color w:val="00144A"/>
          <w:sz w:val="21"/>
        </w:rPr>
        <w:t>Invoice View and Download</w:t>
      </w:r>
    </w:p>
    <w:p>
      <w:pPr>
        <w:spacing w:after="120" w:before="40"/>
      </w:pPr>
      <w:r>
        <w:rPr>
          <w:rFonts w:ascii="Calibri" w:hAnsi="Calibri"/>
          <w:b w:val="0"/>
          <w:i w:val="0"/>
          <w:sz w:val="21"/>
        </w:rPr>
        <w:t>Invoice PDFs are available within the standard SAP transaction FKKINVDOC_DISP (Display Invoicing Documents Fiori app) and can be accessed by clicking the preview button. The document can be downloaded as a PDF file by Finance Operations, Customer Success, and Collections teams.</w:t>
      </w:r>
    </w:p>
    <w:p>
      <w:pPr>
        <w:spacing w:after="120" w:before="40"/>
      </w:pPr>
      <w:r>
        <w:rPr>
          <w:rFonts w:ascii="Calibri" w:hAnsi="Calibri"/>
          <w:b w:val="0"/>
          <w:i w:val="0"/>
          <w:sz w:val="21"/>
        </w:rPr>
        <w:t>Archiving of invoice PDFs will be handled by SAP BRIM's standard document management capability. MyNexstream will display invoices to customers via the API but will not independently store or archive invoice PDF documents.</w:t>
      </w:r>
    </w:p>
    <w:p>
      <w:pPr>
        <w:spacing w:after="120" w:before="40"/>
      </w:pPr>
      <w:r>
        <w:rPr>
          <w:rFonts w:ascii="Calibri" w:hAnsi="Calibri"/>
          <w:b/>
          <w:i w:val="0"/>
          <w:color w:val="00144A"/>
          <w:sz w:val="21"/>
        </w:rPr>
        <w:t>AR Balance Distribution to MyNexstream</w:t>
      </w:r>
    </w:p>
    <w:p>
      <w:pPr>
        <w:spacing w:after="120" w:before="40"/>
      </w:pPr>
      <w:r>
        <w:rPr>
          <w:rFonts w:ascii="Calibri" w:hAnsi="Calibri"/>
          <w:b w:val="0"/>
          <w:i w:val="0"/>
          <w:sz w:val="21"/>
        </w:rPr>
        <w:t>In addition to invoice distribution, a custom interface (WRICEF 14) will push AR balance data from SAP BRIM FI-CA to MyNexstream at the Contract Account level. This enables customers to view their outstanding balance, payment due dates, and account summary directly in MyNexstream without contacting Nexstream Finance Operations.</w:t>
      </w:r>
    </w:p>
    <w:p/>
    <w:p>
      <w:pPr>
        <w:pStyle w:val="Heading2"/>
      </w:pPr>
      <w:r>
        <w:t>4.4  Process Step Description</w:t>
      </w:r>
    </w:p>
    <w:p>
      <w:pPr>
        <w:spacing w:after="120" w:before="40"/>
      </w:pPr>
      <w:r>
        <w:rPr>
          <w:rFonts w:ascii="Calibri" w:hAnsi="Calibri"/>
          <w:b/>
          <w:color w:val="0070F2"/>
          <w:sz w:val="21"/>
        </w:rPr>
        <w:t xml:space="preserve">Purpose:  </w:t>
      </w:r>
      <w:r>
        <w:rPr>
          <w:rFonts w:ascii="Calibri" w:hAnsi="Calibri"/>
          <w:sz w:val="21"/>
        </w:rPr>
        <w:t>This section provides a list of each process step with a tabulated set of standard information including a description of the step, who performs it, which system is used, and the inputs and outputs.</w:t>
      </w:r>
    </w:p>
    <w:p/>
    <w:tbl>
      <w:tblPr>
        <w:tblStyle w:val="TableGrid"/>
        <w:tblW w:type="auto" w:w="0"/>
        <w:jc w:val="left"/>
        <w:tblLook w:firstColumn="1" w:firstRow="1" w:lastColumn="0" w:lastRow="0" w:noHBand="0" w:noVBand="1" w:val="04A0"/>
      </w:tblPr>
      <w:tblGrid>
        <w:gridCol w:w="1275"/>
        <w:gridCol w:w="1275"/>
        <w:gridCol w:w="1275"/>
        <w:gridCol w:w="1275"/>
        <w:gridCol w:w="1275"/>
        <w:gridCol w:w="1275"/>
        <w:gridCol w:w="1275"/>
      </w:tblGrid>
      <w:tr>
        <w:tc>
          <w:tcPr>
            <w:tcW w:type="dxa" w:w="504"/>
            <w:shd w:val="clear" w:color="auto" w:fill="0070F2"/>
          </w:tcPr>
          <w:p>
            <w:pPr>
              <w:spacing w:after="40" w:before="40"/>
            </w:pPr>
            <w:r>
              <w:rPr>
                <w:rFonts w:ascii="Calibri" w:hAnsi="Calibri"/>
                <w:b/>
                <w:color w:val="FFFFFF"/>
                <w:sz w:val="20"/>
              </w:rPr>
              <w:t>Step</w:t>
            </w:r>
          </w:p>
        </w:tc>
        <w:tc>
          <w:tcPr>
            <w:tcW w:type="dxa" w:w="2736"/>
            <w:shd w:val="clear" w:color="auto" w:fill="0070F2"/>
          </w:tcPr>
          <w:p>
            <w:pPr>
              <w:spacing w:after="40" w:before="40"/>
            </w:pPr>
            <w:r>
              <w:rPr>
                <w:rFonts w:ascii="Calibri" w:hAnsi="Calibri"/>
                <w:b/>
                <w:color w:val="FFFFFF"/>
                <w:sz w:val="20"/>
              </w:rPr>
              <w:t>Step Description (What)</w:t>
            </w:r>
          </w:p>
        </w:tc>
        <w:tc>
          <w:tcPr>
            <w:tcW w:type="dxa" w:w="2160"/>
            <w:shd w:val="clear" w:color="auto" w:fill="0070F2"/>
          </w:tcPr>
          <w:p>
            <w:pPr>
              <w:spacing w:after="40" w:before="40"/>
            </w:pPr>
            <w:r>
              <w:rPr>
                <w:rFonts w:ascii="Calibri" w:hAnsi="Calibri"/>
                <w:b/>
                <w:color w:val="FFFFFF"/>
                <w:sz w:val="20"/>
              </w:rPr>
              <w:t>Performed By (Who)</w:t>
            </w:r>
          </w:p>
        </w:tc>
        <w:tc>
          <w:tcPr>
            <w:tcW w:type="dxa" w:w="1728"/>
            <w:shd w:val="clear" w:color="auto" w:fill="0070F2"/>
          </w:tcPr>
          <w:p>
            <w:pPr>
              <w:spacing w:after="40" w:before="40"/>
            </w:pPr>
            <w:r>
              <w:rPr>
                <w:rFonts w:ascii="Calibri" w:hAnsi="Calibri"/>
                <w:b/>
                <w:color w:val="FFFFFF"/>
                <w:sz w:val="20"/>
              </w:rPr>
              <w:t>System / Frequency</w:t>
            </w:r>
          </w:p>
        </w:tc>
        <w:tc>
          <w:tcPr>
            <w:tcW w:type="dxa" w:w="1152"/>
            <w:shd w:val="clear" w:color="auto" w:fill="0070F2"/>
          </w:tcPr>
          <w:p>
            <w:pPr>
              <w:spacing w:after="40" w:before="40"/>
            </w:pPr>
            <w:r>
              <w:rPr>
                <w:rFonts w:ascii="Calibri" w:hAnsi="Calibri"/>
                <w:b/>
                <w:color w:val="FFFFFF"/>
                <w:sz w:val="20"/>
              </w:rPr>
              <w:t>Transaction</w:t>
            </w:r>
          </w:p>
        </w:tc>
        <w:tc>
          <w:tcPr>
            <w:tcW w:type="dxa" w:w="1584"/>
            <w:shd w:val="clear" w:color="auto" w:fill="0070F2"/>
          </w:tcPr>
          <w:p>
            <w:pPr>
              <w:spacing w:after="40" w:before="40"/>
            </w:pPr>
            <w:r>
              <w:rPr>
                <w:rFonts w:ascii="Calibri" w:hAnsi="Calibri"/>
                <w:b/>
                <w:color w:val="FFFFFF"/>
                <w:sz w:val="20"/>
              </w:rPr>
              <w:t>Inputs</w:t>
            </w:r>
          </w:p>
        </w:tc>
        <w:tc>
          <w:tcPr>
            <w:tcW w:type="dxa" w:w="1584"/>
            <w:shd w:val="clear" w:color="auto" w:fill="0070F2"/>
          </w:tcPr>
          <w:p>
            <w:pPr>
              <w:spacing w:after="40" w:before="40"/>
            </w:pPr>
            <w:r>
              <w:rPr>
                <w:rFonts w:ascii="Calibri" w:hAnsi="Calibri"/>
                <w:b/>
                <w:color w:val="FFFFFF"/>
                <w:sz w:val="20"/>
              </w:rPr>
              <w:t>Outputs</w:t>
            </w:r>
          </w:p>
        </w:tc>
      </w:tr>
      <w:tr>
        <w:tc>
          <w:tcPr>
            <w:tcW w:type="dxa" w:w="1275"/>
            <w:shd w:val="clear" w:color="auto" w:fill="E1F4FF"/>
          </w:tcPr>
          <w:p>
            <w:pPr>
              <w:spacing w:after="40" w:before="40"/>
            </w:pPr>
            <w:r>
              <w:rPr>
                <w:rFonts w:ascii="Calibri" w:hAnsi="Calibri"/>
                <w:b w:val="0"/>
                <w:sz w:val="20"/>
              </w:rPr>
              <w:t>1</w:t>
            </w:r>
          </w:p>
        </w:tc>
        <w:tc>
          <w:tcPr>
            <w:tcW w:type="dxa" w:w="1275"/>
            <w:shd w:val="clear" w:color="auto" w:fill="E1F4FF"/>
          </w:tcPr>
          <w:p>
            <w:pPr>
              <w:spacing w:after="40" w:before="40"/>
            </w:pPr>
            <w:r>
              <w:rPr>
                <w:rFonts w:ascii="Calibri" w:hAnsi="Calibri"/>
                <w:b w:val="0"/>
                <w:sz w:val="20"/>
              </w:rPr>
              <w:t>Determine invoice delivery method and invoice recipient based on details stored on the customer's Contract Account in SAP BRIM.</w:t>
            </w:r>
          </w:p>
        </w:tc>
        <w:tc>
          <w:tcPr>
            <w:tcW w:type="dxa" w:w="1275"/>
            <w:shd w:val="clear" w:color="auto" w:fill="E1F4FF"/>
          </w:tcPr>
          <w:p>
            <w:pPr>
              <w:spacing w:after="40" w:before="40"/>
            </w:pPr>
            <w:r>
              <w:rPr>
                <w:rFonts w:ascii="Calibri" w:hAnsi="Calibri"/>
                <w:b w:val="0"/>
                <w:sz w:val="20"/>
              </w:rPr>
              <w:t>Automated</w:t>
            </w:r>
          </w:p>
        </w:tc>
        <w:tc>
          <w:tcPr>
            <w:tcW w:type="dxa" w:w="1275"/>
            <w:shd w:val="clear" w:color="auto" w:fill="E1F4FF"/>
          </w:tcPr>
          <w:p>
            <w:pPr>
              <w:spacing w:after="40" w:before="40"/>
            </w:pPr>
            <w:r>
              <w:rPr>
                <w:rFonts w:ascii="Calibri" w:hAnsi="Calibri"/>
                <w:b w:val="0"/>
                <w:sz w:val="20"/>
              </w:rPr>
              <w:t>SAP BRIM / Daily (if applicable)</w:t>
            </w:r>
          </w:p>
        </w:tc>
        <w:tc>
          <w:tcPr>
            <w:tcW w:type="dxa" w:w="1275"/>
            <w:shd w:val="clear" w:color="auto" w:fill="E1F4FF"/>
          </w:tcPr>
          <w:p>
            <w:pPr>
              <w:spacing w:after="40" w:before="40"/>
            </w:pPr>
            <w:r>
              <w:rPr>
                <w:rFonts w:ascii="Calibri" w:hAnsi="Calibri"/>
                <w:b w:val="0"/>
                <w:sz w:val="20"/>
              </w:rPr>
              <w:t>Details stored in Manage Contract Account Fiori App</w:t>
            </w:r>
          </w:p>
        </w:tc>
        <w:tc>
          <w:tcPr>
            <w:tcW w:type="dxa" w:w="1275"/>
            <w:shd w:val="clear" w:color="auto" w:fill="E1F4FF"/>
          </w:tcPr>
          <w:p>
            <w:pPr>
              <w:spacing w:after="40" w:before="40"/>
            </w:pPr>
            <w:r>
              <w:rPr>
                <w:rFonts w:ascii="Calibri" w:hAnsi="Calibri"/>
                <w:b w:val="0"/>
                <w:sz w:val="20"/>
              </w:rPr>
              <w:t>Contract Account details</w:t>
            </w:r>
          </w:p>
        </w:tc>
        <w:tc>
          <w:tcPr>
            <w:tcW w:type="dxa" w:w="1275"/>
            <w:shd w:val="clear" w:color="auto" w:fill="E1F4FF"/>
          </w:tcPr>
          <w:p>
            <w:pPr>
              <w:spacing w:after="40" w:before="40"/>
            </w:pPr>
            <w:r>
              <w:rPr>
                <w:rFonts w:ascii="Calibri" w:hAnsi="Calibri"/>
                <w:b w:val="0"/>
                <w:sz w:val="20"/>
              </w:rPr>
              <w:t>Invoice delivery method and bill-to information</w:t>
            </w:r>
          </w:p>
        </w:tc>
      </w:tr>
      <w:tr>
        <w:tc>
          <w:tcPr>
            <w:tcW w:type="dxa" w:w="1275"/>
          </w:tcPr>
          <w:p>
            <w:pPr>
              <w:spacing w:after="40" w:before="40"/>
            </w:pPr>
            <w:r>
              <w:rPr>
                <w:rFonts w:ascii="Calibri" w:hAnsi="Calibri"/>
                <w:b w:val="0"/>
                <w:sz w:val="20"/>
              </w:rPr>
              <w:t>2.1</w:t>
            </w:r>
          </w:p>
        </w:tc>
        <w:tc>
          <w:tcPr>
            <w:tcW w:type="dxa" w:w="1275"/>
          </w:tcPr>
          <w:p>
            <w:pPr>
              <w:spacing w:after="40" w:before="40"/>
            </w:pPr>
            <w:r>
              <w:rPr>
                <w:rFonts w:ascii="Calibri" w:hAnsi="Calibri"/>
                <w:b w:val="0"/>
                <w:sz w:val="20"/>
              </w:rPr>
              <w:t>Send notification event to MyNexstream indicating that new invoice correspondences are available for distribution via API.</w:t>
            </w:r>
          </w:p>
        </w:tc>
        <w:tc>
          <w:tcPr>
            <w:tcW w:type="dxa" w:w="1275"/>
          </w:tcPr>
          <w:p>
            <w:pPr>
              <w:spacing w:after="40" w:before="40"/>
            </w:pPr>
            <w:r>
              <w:rPr>
                <w:rFonts w:ascii="Calibri" w:hAnsi="Calibri"/>
                <w:b w:val="0"/>
                <w:sz w:val="20"/>
              </w:rPr>
              <w:t>Automated</w:t>
            </w:r>
          </w:p>
        </w:tc>
        <w:tc>
          <w:tcPr>
            <w:tcW w:type="dxa" w:w="1275"/>
          </w:tcPr>
          <w:p>
            <w:pPr>
              <w:spacing w:after="40" w:before="40"/>
            </w:pPr>
            <w:r>
              <w:rPr>
                <w:rFonts w:ascii="Calibri" w:hAnsi="Calibri"/>
                <w:b w:val="0"/>
                <w:sz w:val="20"/>
              </w:rPr>
              <w:t>SAP BRIM / Daily (if applicable)</w:t>
            </w:r>
          </w:p>
        </w:tc>
        <w:tc>
          <w:tcPr>
            <w:tcW w:type="dxa" w:w="1275"/>
          </w:tcPr>
          <w:p>
            <w:pPr>
              <w:spacing w:after="40" w:before="40"/>
            </w:pPr>
            <w:r>
              <w:rPr>
                <w:rFonts w:ascii="Calibri" w:hAnsi="Calibri"/>
                <w:b w:val="0"/>
                <w:sz w:val="20"/>
              </w:rPr>
              <w:t>WRICEF 9 – API Interface</w:t>
            </w:r>
          </w:p>
        </w:tc>
        <w:tc>
          <w:tcPr>
            <w:tcW w:type="dxa" w:w="1275"/>
          </w:tcPr>
          <w:p>
            <w:pPr>
              <w:spacing w:after="40" w:before="40"/>
            </w:pPr>
            <w:r>
              <w:rPr>
                <w:rFonts w:ascii="Calibri" w:hAnsi="Calibri"/>
                <w:b w:val="0"/>
                <w:sz w:val="20"/>
              </w:rPr>
              <w:t>Invoice PDF document and transactional invoice data in SAP BRIM</w:t>
            </w:r>
          </w:p>
        </w:tc>
        <w:tc>
          <w:tcPr>
            <w:tcW w:type="dxa" w:w="1275"/>
          </w:tcPr>
          <w:p>
            <w:pPr>
              <w:spacing w:after="40" w:before="40"/>
            </w:pPr>
            <w:r>
              <w:rPr>
                <w:rFonts w:ascii="Calibri" w:hAnsi="Calibri"/>
                <w:b w:val="0"/>
                <w:sz w:val="20"/>
              </w:rPr>
              <w:t>Notification event sent to MyNexstream API</w:t>
            </w:r>
          </w:p>
        </w:tc>
      </w:tr>
      <w:tr>
        <w:tc>
          <w:tcPr>
            <w:tcW w:type="dxa" w:w="1275"/>
            <w:shd w:val="clear" w:color="auto" w:fill="E1F4FF"/>
          </w:tcPr>
          <w:p>
            <w:pPr>
              <w:spacing w:after="40" w:before="40"/>
            </w:pPr>
            <w:r>
              <w:rPr>
                <w:rFonts w:ascii="Calibri" w:hAnsi="Calibri"/>
                <w:b w:val="0"/>
                <w:sz w:val="20"/>
              </w:rPr>
              <w:t>3.1</w:t>
            </w:r>
          </w:p>
        </w:tc>
        <w:tc>
          <w:tcPr>
            <w:tcW w:type="dxa" w:w="1275"/>
            <w:shd w:val="clear" w:color="auto" w:fill="E1F4FF"/>
          </w:tcPr>
          <w:p>
            <w:pPr>
              <w:spacing w:after="40" w:before="40"/>
            </w:pPr>
            <w:r>
              <w:rPr>
                <w:rFonts w:ascii="Calibri" w:hAnsi="Calibri"/>
                <w:b w:val="0"/>
                <w:sz w:val="20"/>
              </w:rPr>
              <w:t>Display invoice PDF and line-item invoice data in MyNexstream customer portal for customer self-service access.</w:t>
            </w:r>
          </w:p>
        </w:tc>
        <w:tc>
          <w:tcPr>
            <w:tcW w:type="dxa" w:w="1275"/>
            <w:shd w:val="clear" w:color="auto" w:fill="E1F4FF"/>
          </w:tcPr>
          <w:p>
            <w:pPr>
              <w:spacing w:after="40" w:before="40"/>
            </w:pPr>
            <w:r>
              <w:rPr>
                <w:rFonts w:ascii="Calibri" w:hAnsi="Calibri"/>
                <w:b w:val="0"/>
                <w:sz w:val="20"/>
              </w:rPr>
              <w:t>Automated</w:t>
            </w:r>
          </w:p>
        </w:tc>
        <w:tc>
          <w:tcPr>
            <w:tcW w:type="dxa" w:w="1275"/>
            <w:shd w:val="clear" w:color="auto" w:fill="E1F4FF"/>
          </w:tcPr>
          <w:p>
            <w:pPr>
              <w:spacing w:after="40" w:before="40"/>
            </w:pPr>
            <w:r>
              <w:rPr>
                <w:rFonts w:ascii="Calibri" w:hAnsi="Calibri"/>
                <w:b w:val="0"/>
                <w:sz w:val="20"/>
              </w:rPr>
              <w:t>MyNexstream / On-Demand</w:t>
            </w:r>
          </w:p>
        </w:tc>
        <w:tc>
          <w:tcPr>
            <w:tcW w:type="dxa" w:w="1275"/>
            <w:shd w:val="clear" w:color="auto" w:fill="E1F4FF"/>
          </w:tcPr>
          <w:p>
            <w:pPr>
              <w:spacing w:after="40" w:before="40"/>
            </w:pPr>
            <w:r>
              <w:rPr>
                <w:rFonts w:ascii="Calibri" w:hAnsi="Calibri"/>
                <w:b w:val="0"/>
                <w:sz w:val="20"/>
              </w:rPr>
              <w:t>WRICEF 9 – API Interface</w:t>
            </w:r>
          </w:p>
        </w:tc>
        <w:tc>
          <w:tcPr>
            <w:tcW w:type="dxa" w:w="1275"/>
            <w:shd w:val="clear" w:color="auto" w:fill="E1F4FF"/>
          </w:tcPr>
          <w:p>
            <w:pPr>
              <w:spacing w:after="40" w:before="40"/>
            </w:pPr>
            <w:r>
              <w:rPr>
                <w:rFonts w:ascii="Calibri" w:hAnsi="Calibri"/>
                <w:b w:val="0"/>
                <w:sz w:val="20"/>
              </w:rPr>
              <w:t>Invoice PDF document and transactional invoice data from SAP BRIM</w:t>
            </w:r>
          </w:p>
        </w:tc>
        <w:tc>
          <w:tcPr>
            <w:tcW w:type="dxa" w:w="1275"/>
            <w:shd w:val="clear" w:color="auto" w:fill="E1F4FF"/>
          </w:tcPr>
          <w:p>
            <w:pPr>
              <w:spacing w:after="40" w:before="40"/>
            </w:pPr>
            <w:r>
              <w:rPr>
                <w:rFonts w:ascii="Calibri" w:hAnsi="Calibri"/>
                <w:b w:val="0"/>
                <w:sz w:val="20"/>
              </w:rPr>
              <w:t>Invoice PDF and data displayed in MyNexstream</w:t>
            </w:r>
          </w:p>
        </w:tc>
      </w:tr>
      <w:tr>
        <w:tc>
          <w:tcPr>
            <w:tcW w:type="dxa" w:w="1275"/>
          </w:tcPr>
          <w:p>
            <w:pPr>
              <w:spacing w:after="40" w:before="40"/>
            </w:pPr>
            <w:r>
              <w:rPr>
                <w:rFonts w:ascii="Calibri" w:hAnsi="Calibri"/>
                <w:b w:val="0"/>
                <w:sz w:val="20"/>
              </w:rPr>
              <w:t>2.2</w:t>
            </w:r>
          </w:p>
        </w:tc>
        <w:tc>
          <w:tcPr>
            <w:tcW w:type="dxa" w:w="1275"/>
          </w:tcPr>
          <w:p>
            <w:pPr>
              <w:spacing w:after="40" w:before="40"/>
            </w:pPr>
            <w:r>
              <w:rPr>
                <w:rFonts w:ascii="Calibri" w:hAnsi="Calibri"/>
                <w:b w:val="0"/>
                <w:sz w:val="20"/>
              </w:rPr>
              <w:t>Store invoice PDF in SAP BRIM document management for internal Finance Operations and Customer Success access.</w:t>
            </w:r>
          </w:p>
        </w:tc>
        <w:tc>
          <w:tcPr>
            <w:tcW w:type="dxa" w:w="1275"/>
          </w:tcPr>
          <w:p>
            <w:pPr>
              <w:spacing w:after="40" w:before="40"/>
            </w:pPr>
            <w:r>
              <w:rPr>
                <w:rFonts w:ascii="Calibri" w:hAnsi="Calibri"/>
                <w:b w:val="0"/>
                <w:sz w:val="20"/>
              </w:rPr>
              <w:t>Automated</w:t>
            </w:r>
          </w:p>
        </w:tc>
        <w:tc>
          <w:tcPr>
            <w:tcW w:type="dxa" w:w="1275"/>
          </w:tcPr>
          <w:p>
            <w:pPr>
              <w:spacing w:after="40" w:before="40"/>
            </w:pPr>
            <w:r>
              <w:rPr>
                <w:rFonts w:ascii="Calibri" w:hAnsi="Calibri"/>
                <w:b w:val="0"/>
                <w:sz w:val="20"/>
              </w:rPr>
              <w:t>SAP BRIM / Daily (if applicable)</w:t>
            </w:r>
          </w:p>
        </w:tc>
        <w:tc>
          <w:tcPr>
            <w:tcW w:type="dxa" w:w="1275"/>
          </w:tcPr>
          <w:p>
            <w:pPr>
              <w:spacing w:after="40" w:before="40"/>
            </w:pPr>
            <w:r>
              <w:rPr>
                <w:rFonts w:ascii="Calibri" w:hAnsi="Calibri"/>
                <w:b w:val="0"/>
                <w:sz w:val="20"/>
              </w:rPr>
              <w:t>FKKINVDOC_DISP</w:t>
            </w:r>
          </w:p>
        </w:tc>
        <w:tc>
          <w:tcPr>
            <w:tcW w:type="dxa" w:w="1275"/>
          </w:tcPr>
          <w:p>
            <w:pPr>
              <w:spacing w:after="40" w:before="40"/>
            </w:pPr>
            <w:r>
              <w:rPr>
                <w:rFonts w:ascii="Calibri" w:hAnsi="Calibri"/>
                <w:b w:val="0"/>
                <w:sz w:val="20"/>
              </w:rPr>
              <w:t>Invoice PDF</w:t>
            </w:r>
          </w:p>
        </w:tc>
        <w:tc>
          <w:tcPr>
            <w:tcW w:type="dxa" w:w="1275"/>
          </w:tcPr>
          <w:p>
            <w:pPr>
              <w:spacing w:after="40" w:before="40"/>
            </w:pPr>
            <w:r>
              <w:rPr>
                <w:rFonts w:ascii="Calibri" w:hAnsi="Calibri"/>
                <w:b w:val="0"/>
                <w:sz w:val="20"/>
              </w:rPr>
              <w:t>Archived Invoice PDF in SAP BRIM</w:t>
            </w:r>
          </w:p>
        </w:tc>
      </w:tr>
      <w:tr>
        <w:tc>
          <w:tcPr>
            <w:tcW w:type="dxa" w:w="1275"/>
            <w:shd w:val="clear" w:color="auto" w:fill="E1F4FF"/>
          </w:tcPr>
          <w:p>
            <w:pPr>
              <w:spacing w:after="40" w:before="40"/>
            </w:pPr>
            <w:r>
              <w:rPr>
                <w:rFonts w:ascii="Calibri" w:hAnsi="Calibri"/>
                <w:b w:val="0"/>
                <w:sz w:val="20"/>
              </w:rPr>
              <w:t>3.2</w:t>
            </w:r>
          </w:p>
        </w:tc>
        <w:tc>
          <w:tcPr>
            <w:tcW w:type="dxa" w:w="1275"/>
            <w:shd w:val="clear" w:color="auto" w:fill="E1F4FF"/>
          </w:tcPr>
          <w:p>
            <w:pPr>
              <w:spacing w:after="40" w:before="40"/>
            </w:pPr>
            <w:r>
              <w:rPr>
                <w:rFonts w:ascii="Calibri" w:hAnsi="Calibri"/>
                <w:b w:val="0"/>
                <w:sz w:val="20"/>
              </w:rPr>
              <w:t>View and download invoice PDF as needed by Finance Operations, Customer Success, Collections, or Account Executives (via Customer Success).</w:t>
            </w:r>
          </w:p>
        </w:tc>
        <w:tc>
          <w:tcPr>
            <w:tcW w:type="dxa" w:w="1275"/>
            <w:shd w:val="clear" w:color="auto" w:fill="E1F4FF"/>
          </w:tcPr>
          <w:p>
            <w:pPr>
              <w:spacing w:after="40" w:before="40"/>
            </w:pPr>
            <w:r>
              <w:rPr>
                <w:rFonts w:ascii="Calibri" w:hAnsi="Calibri"/>
                <w:b w:val="0"/>
                <w:sz w:val="20"/>
              </w:rPr>
              <w:t>Finance Operations – Billing / AR / Collections / Customer Success</w:t>
            </w:r>
          </w:p>
        </w:tc>
        <w:tc>
          <w:tcPr>
            <w:tcW w:type="dxa" w:w="1275"/>
            <w:shd w:val="clear" w:color="auto" w:fill="E1F4FF"/>
          </w:tcPr>
          <w:p>
            <w:pPr>
              <w:spacing w:after="40" w:before="40"/>
            </w:pPr>
            <w:r>
              <w:rPr>
                <w:rFonts w:ascii="Calibri" w:hAnsi="Calibri"/>
                <w:b w:val="0"/>
                <w:sz w:val="20"/>
              </w:rPr>
              <w:t>SAP BRIM / MyNexstream / On-Demand</w:t>
            </w:r>
          </w:p>
        </w:tc>
        <w:tc>
          <w:tcPr>
            <w:tcW w:type="dxa" w:w="1275"/>
            <w:shd w:val="clear" w:color="auto" w:fill="E1F4FF"/>
          </w:tcPr>
          <w:p>
            <w:pPr>
              <w:spacing w:after="40" w:before="40"/>
            </w:pPr>
            <w:r>
              <w:rPr>
                <w:rFonts w:ascii="Calibri" w:hAnsi="Calibri"/>
                <w:b w:val="0"/>
                <w:sz w:val="20"/>
              </w:rPr>
              <w:t>FKKINVDOC_DISP</w:t>
            </w:r>
          </w:p>
        </w:tc>
        <w:tc>
          <w:tcPr>
            <w:tcW w:type="dxa" w:w="1275"/>
            <w:shd w:val="clear" w:color="auto" w:fill="E1F4FF"/>
          </w:tcPr>
          <w:p>
            <w:pPr>
              <w:spacing w:after="40" w:before="40"/>
            </w:pPr>
            <w:r>
              <w:rPr>
                <w:rFonts w:ascii="Calibri" w:hAnsi="Calibri"/>
                <w:b w:val="0"/>
                <w:sz w:val="20"/>
              </w:rPr>
              <w:t>Invoice PDF</w:t>
            </w:r>
          </w:p>
        </w:tc>
        <w:tc>
          <w:tcPr>
            <w:tcW w:type="dxa" w:w="1275"/>
            <w:shd w:val="clear" w:color="auto" w:fill="E1F4FF"/>
          </w:tcPr>
          <w:p>
            <w:pPr>
              <w:spacing w:after="40" w:before="40"/>
            </w:pPr>
            <w:r>
              <w:rPr>
                <w:rFonts w:ascii="Calibri" w:hAnsi="Calibri"/>
                <w:b w:val="0"/>
                <w:sz w:val="20"/>
              </w:rPr>
              <w:t>Downloaded Invoice PDF</w:t>
            </w:r>
          </w:p>
        </w:tc>
      </w:tr>
      <w:tr>
        <w:tc>
          <w:tcPr>
            <w:tcW w:type="dxa" w:w="1275"/>
          </w:tcPr>
          <w:p>
            <w:pPr>
              <w:spacing w:after="40" w:before="40"/>
            </w:pPr>
            <w:r>
              <w:rPr>
                <w:rFonts w:ascii="Calibri" w:hAnsi="Calibri"/>
                <w:b w:val="0"/>
                <w:sz w:val="20"/>
              </w:rPr>
              <w:t>4</w:t>
            </w:r>
          </w:p>
        </w:tc>
        <w:tc>
          <w:tcPr>
            <w:tcW w:type="dxa" w:w="1275"/>
          </w:tcPr>
          <w:p>
            <w:pPr>
              <w:spacing w:after="40" w:before="40"/>
            </w:pPr>
            <w:r>
              <w:rPr>
                <w:rFonts w:ascii="Calibri" w:hAnsi="Calibri"/>
                <w:b w:val="0"/>
                <w:sz w:val="20"/>
              </w:rPr>
              <w:t>Push AR balance data from SAP BRIM FI-CA to MyNexstream at Contract Account level to enable customer self-service balance visibility.</w:t>
            </w:r>
          </w:p>
        </w:tc>
        <w:tc>
          <w:tcPr>
            <w:tcW w:type="dxa" w:w="1275"/>
          </w:tcPr>
          <w:p>
            <w:pPr>
              <w:spacing w:after="40" w:before="40"/>
            </w:pPr>
            <w:r>
              <w:rPr>
                <w:rFonts w:ascii="Calibri" w:hAnsi="Calibri"/>
                <w:b w:val="0"/>
                <w:sz w:val="20"/>
              </w:rPr>
              <w:t>Automated – WRICEF 14</w:t>
            </w:r>
          </w:p>
        </w:tc>
        <w:tc>
          <w:tcPr>
            <w:tcW w:type="dxa" w:w="1275"/>
          </w:tcPr>
          <w:p>
            <w:pPr>
              <w:spacing w:after="40" w:before="40"/>
            </w:pPr>
            <w:r>
              <w:rPr>
                <w:rFonts w:ascii="Calibri" w:hAnsi="Calibri"/>
                <w:b w:val="0"/>
                <w:sz w:val="20"/>
              </w:rPr>
              <w:t>SAP BRIM to MyNexstream / Daily (or near-real-time)</w:t>
            </w:r>
          </w:p>
        </w:tc>
        <w:tc>
          <w:tcPr>
            <w:tcW w:type="dxa" w:w="1275"/>
          </w:tcPr>
          <w:p>
            <w:pPr>
              <w:spacing w:after="40" w:before="40"/>
            </w:pPr>
            <w:r>
              <w:rPr>
                <w:rFonts w:ascii="Calibri" w:hAnsi="Calibri"/>
                <w:b w:val="0"/>
                <w:sz w:val="20"/>
              </w:rPr>
              <w:t>WRICEF 14 – AR Balance Interface</w:t>
            </w:r>
          </w:p>
        </w:tc>
        <w:tc>
          <w:tcPr>
            <w:tcW w:type="dxa" w:w="1275"/>
          </w:tcPr>
          <w:p>
            <w:pPr>
              <w:spacing w:after="40" w:before="40"/>
            </w:pPr>
            <w:r>
              <w:rPr>
                <w:rFonts w:ascii="Calibri" w:hAnsi="Calibri"/>
                <w:b w:val="0"/>
                <w:sz w:val="20"/>
              </w:rPr>
              <w:t>FI-CA open item data and AR balance summary</w:t>
            </w:r>
          </w:p>
        </w:tc>
        <w:tc>
          <w:tcPr>
            <w:tcW w:type="dxa" w:w="1275"/>
          </w:tcPr>
          <w:p>
            <w:pPr>
              <w:spacing w:after="40" w:before="40"/>
            </w:pPr>
            <w:r>
              <w:rPr>
                <w:rFonts w:ascii="Calibri" w:hAnsi="Calibri"/>
                <w:b w:val="0"/>
                <w:sz w:val="20"/>
              </w:rPr>
              <w:t>Updated AR balance displayed in MyNexstream</w:t>
            </w:r>
          </w:p>
        </w:tc>
      </w:tr>
    </w:tbl>
    <w:p/>
    <w:p>
      <w:pPr>
        <w:pStyle w:val="Heading2"/>
      </w:pPr>
      <w:r>
        <w:t>4.5  Change Impact Summary</w:t>
      </w:r>
    </w:p>
    <w:p>
      <w:pPr>
        <w:spacing w:after="120" w:before="40"/>
      </w:pPr>
      <w:r>
        <w:rPr>
          <w:rFonts w:ascii="Calibri" w:hAnsi="Calibri"/>
          <w:b/>
          <w:color w:val="0070F2"/>
          <w:sz w:val="21"/>
        </w:rPr>
        <w:t xml:space="preserve">Purpose:  </w:t>
      </w:r>
      <w:r>
        <w:rPr>
          <w:rFonts w:ascii="Calibri" w:hAnsi="Calibri"/>
          <w:sz w:val="21"/>
        </w:rPr>
        <w:t>This section provides an overview of how the business will be affected by the implementation of the Invoice Distribution process in SAP BRIM.</w:t>
      </w:r>
    </w:p>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2304"/>
            <w:shd w:val="clear" w:color="auto" w:fill="0070F2"/>
          </w:tcPr>
          <w:p>
            <w:pPr>
              <w:spacing w:after="40" w:before="40"/>
            </w:pPr>
            <w:r>
              <w:rPr>
                <w:rFonts w:ascii="Calibri" w:hAnsi="Calibri"/>
                <w:b/>
                <w:color w:val="FFFFFF"/>
                <w:sz w:val="20"/>
              </w:rPr>
              <w:t>Current State</w:t>
            </w:r>
          </w:p>
        </w:tc>
        <w:tc>
          <w:tcPr>
            <w:tcW w:type="dxa" w:w="2736"/>
            <w:shd w:val="clear" w:color="auto" w:fill="0070F2"/>
          </w:tcPr>
          <w:p>
            <w:pPr>
              <w:spacing w:after="40" w:before="40"/>
            </w:pPr>
            <w:r>
              <w:rPr>
                <w:rFonts w:ascii="Calibri" w:hAnsi="Calibri"/>
                <w:b/>
                <w:color w:val="FFFFFF"/>
                <w:sz w:val="20"/>
              </w:rPr>
              <w:t>MVP Future State</w:t>
            </w:r>
          </w:p>
        </w:tc>
        <w:tc>
          <w:tcPr>
            <w:tcW w:type="dxa" w:w="2880"/>
            <w:shd w:val="clear" w:color="auto" w:fill="0070F2"/>
          </w:tcPr>
          <w:p>
            <w:pPr>
              <w:spacing w:after="40" w:before="40"/>
            </w:pPr>
            <w:r>
              <w:rPr>
                <w:rFonts w:ascii="Calibri" w:hAnsi="Calibri"/>
                <w:b/>
                <w:color w:val="FFFFFF"/>
                <w:sz w:val="20"/>
              </w:rPr>
              <w:t>Net Change</w:t>
            </w:r>
          </w:p>
        </w:tc>
        <w:tc>
          <w:tcPr>
            <w:tcW w:type="dxa" w:w="1152"/>
            <w:shd w:val="clear" w:color="auto" w:fill="0070F2"/>
          </w:tcPr>
          <w:p>
            <w:pPr>
              <w:spacing w:after="40" w:before="40"/>
            </w:pPr>
            <w:r>
              <w:rPr>
                <w:rFonts w:ascii="Calibri" w:hAnsi="Calibri"/>
                <w:b/>
                <w:color w:val="FFFFFF"/>
                <w:sz w:val="20"/>
              </w:rPr>
              <w:t>Impact Type</w:t>
            </w:r>
          </w:p>
        </w:tc>
        <w:tc>
          <w:tcPr>
            <w:tcW w:type="dxa" w:w="1008"/>
            <w:shd w:val="clear" w:color="auto" w:fill="0070F2"/>
          </w:tcPr>
          <w:p>
            <w:pPr>
              <w:spacing w:after="40" w:before="40"/>
            </w:pPr>
            <w:r>
              <w:rPr>
                <w:rFonts w:ascii="Calibri" w:hAnsi="Calibri"/>
                <w:b/>
                <w:color w:val="FFFFFF"/>
                <w:sz w:val="20"/>
              </w:rPr>
              <w:t>Impact (H/M/L)</w:t>
            </w:r>
          </w:p>
        </w:tc>
        <w:tc>
          <w:tcPr>
            <w:tcW w:type="dxa" w:w="2160"/>
            <w:shd w:val="clear" w:color="auto" w:fill="0070F2"/>
          </w:tcPr>
          <w:p>
            <w:pPr>
              <w:spacing w:after="40" w:before="40"/>
            </w:pPr>
            <w:r>
              <w:rPr>
                <w:rFonts w:ascii="Calibri" w:hAnsi="Calibri"/>
                <w:b/>
                <w:color w:val="FFFFFF"/>
                <w:sz w:val="20"/>
              </w:rPr>
              <w:t>Impacted Groups</w:t>
            </w:r>
          </w:p>
        </w:tc>
      </w:tr>
      <w:tr>
        <w:tc>
          <w:tcPr>
            <w:tcW w:type="dxa" w:w="1488"/>
            <w:shd w:val="clear" w:color="auto" w:fill="E1F4FF"/>
          </w:tcPr>
          <w:p>
            <w:pPr>
              <w:spacing w:after="40" w:before="40"/>
            </w:pPr>
            <w:r>
              <w:rPr>
                <w:rFonts w:ascii="Calibri" w:hAnsi="Calibri"/>
                <w:b w:val="0"/>
                <w:sz w:val="20"/>
              </w:rPr>
              <w:t>Account Executives have access to view invoices directly in Salesforce CRM, including customer account details and billing history.</w:t>
            </w:r>
          </w:p>
        </w:tc>
        <w:tc>
          <w:tcPr>
            <w:tcW w:type="dxa" w:w="1488"/>
            <w:shd w:val="clear" w:color="auto" w:fill="E1F4FF"/>
          </w:tcPr>
          <w:p>
            <w:pPr>
              <w:spacing w:after="40" w:before="40"/>
            </w:pPr>
            <w:r>
              <w:rPr>
                <w:rFonts w:ascii="Calibri" w:hAnsi="Calibri"/>
                <w:b w:val="0"/>
                <w:sz w:val="20"/>
              </w:rPr>
              <w:t>There will be no direct interface between SAP BRIM and Salesforce CRM to deliver invoices for MVP. Account Executives must request invoice copies from Customer Success, who will retrieve them from SAP BRIM.</w:t>
            </w:r>
          </w:p>
        </w:tc>
        <w:tc>
          <w:tcPr>
            <w:tcW w:type="dxa" w:w="1488"/>
            <w:shd w:val="clear" w:color="auto" w:fill="E1F4FF"/>
          </w:tcPr>
          <w:p>
            <w:pPr>
              <w:spacing w:after="40" w:before="40"/>
            </w:pPr>
            <w:r>
              <w:rPr>
                <w:rFonts w:ascii="Calibri" w:hAnsi="Calibri"/>
                <w:b w:val="0"/>
                <w:sz w:val="20"/>
              </w:rPr>
              <w:t>Clear escalation and request process must be established between Account Executives and Customer Success / Collections teams to manage invoice access before MVP go-live.</w:t>
            </w:r>
          </w:p>
        </w:tc>
        <w:tc>
          <w:tcPr>
            <w:tcW w:type="dxa" w:w="1488"/>
            <w:shd w:val="clear" w:color="auto" w:fill="E1F4FF"/>
          </w:tcPr>
          <w:p>
            <w:pPr>
              <w:spacing w:after="40" w:before="40"/>
            </w:pPr>
            <w:r>
              <w:rPr>
                <w:rFonts w:ascii="Calibri" w:hAnsi="Calibri"/>
                <w:b w:val="0"/>
                <w:sz w:val="20"/>
              </w:rPr>
              <w:t>People and Process</w:t>
            </w:r>
          </w:p>
        </w:tc>
        <w:tc>
          <w:tcPr>
            <w:tcW w:type="dxa" w:w="1488"/>
            <w:shd w:val="clear" w:color="auto" w:fill="E1F4FF"/>
          </w:tcPr>
          <w:p>
            <w:pPr>
              <w:spacing w:after="40" w:before="40"/>
            </w:pPr>
            <w:r>
              <w:rPr>
                <w:rFonts w:ascii="Calibri" w:hAnsi="Calibri"/>
                <w:b w:val="0"/>
                <w:sz w:val="20"/>
              </w:rPr>
              <w:t>High</w:t>
            </w:r>
          </w:p>
        </w:tc>
        <w:tc>
          <w:tcPr>
            <w:tcW w:type="dxa" w:w="1488"/>
            <w:shd w:val="clear" w:color="auto" w:fill="E1F4FF"/>
          </w:tcPr>
          <w:p>
            <w:pPr>
              <w:spacing w:after="40" w:before="40"/>
            </w:pPr>
            <w:r>
              <w:rPr>
                <w:rFonts w:ascii="Calibri" w:hAnsi="Calibri"/>
                <w:b w:val="0"/>
                <w:sz w:val="20"/>
              </w:rPr>
              <w:t>Account Executives, Customer Success, Collections</w:t>
            </w:r>
          </w:p>
        </w:tc>
      </w:tr>
      <w:tr>
        <w:tc>
          <w:tcPr>
            <w:tcW w:type="dxa" w:w="1488"/>
          </w:tcPr>
          <w:p>
            <w:pPr>
              <w:spacing w:after="40" w:before="40"/>
            </w:pPr>
            <w:r>
              <w:rPr>
                <w:rFonts w:ascii="Calibri" w:hAnsi="Calibri"/>
                <w:b w:val="0"/>
                <w:sz w:val="20"/>
              </w:rPr>
              <w:t>Affidavit documents are currently sent alongside the invoice to confirm campaign delivery to customers.</w:t>
            </w:r>
          </w:p>
        </w:tc>
        <w:tc>
          <w:tcPr>
            <w:tcW w:type="dxa" w:w="1488"/>
          </w:tcPr>
          <w:p>
            <w:pPr>
              <w:spacing w:after="40" w:before="40"/>
            </w:pPr>
            <w:r>
              <w:rPr>
                <w:rFonts w:ascii="Calibri" w:hAnsi="Calibri"/>
                <w:b w:val="0"/>
                <w:sz w:val="20"/>
              </w:rPr>
              <w:t>Affidavits are not required in the MVP future state. The Nexstream CTV invoice design includes comprehensive impression delivery data, making separate affidavits unnecessary for MVP.</w:t>
            </w:r>
          </w:p>
        </w:tc>
        <w:tc>
          <w:tcPr>
            <w:tcW w:type="dxa" w:w="1488"/>
          </w:tcPr>
          <w:p>
            <w:pPr>
              <w:spacing w:after="40" w:before="40"/>
            </w:pPr>
            <w:r>
              <w:rPr>
                <w:rFonts w:ascii="Calibri" w:hAnsi="Calibri"/>
                <w:b w:val="0"/>
                <w:sz w:val="20"/>
              </w:rPr>
              <w:t>Communication to Account Executives and Customer Success to inform clients of the change in invoice delivery and the removal of affidavit documents.</w:t>
            </w:r>
          </w:p>
        </w:tc>
        <w:tc>
          <w:tcPr>
            <w:tcW w:type="dxa" w:w="1488"/>
          </w:tcPr>
          <w:p>
            <w:pPr>
              <w:spacing w:after="40" w:before="40"/>
            </w:pPr>
            <w:r>
              <w:rPr>
                <w:rFonts w:ascii="Calibri" w:hAnsi="Calibri"/>
                <w:b w:val="0"/>
                <w:sz w:val="20"/>
              </w:rPr>
              <w:t>People</w:t>
            </w:r>
          </w:p>
        </w:tc>
        <w:tc>
          <w:tcPr>
            <w:tcW w:type="dxa" w:w="1488"/>
          </w:tcPr>
          <w:p>
            <w:pPr>
              <w:spacing w:after="40" w:before="40"/>
            </w:pPr>
            <w:r>
              <w:rPr>
                <w:rFonts w:ascii="Calibri" w:hAnsi="Calibri"/>
                <w:b w:val="0"/>
                <w:sz w:val="20"/>
              </w:rPr>
              <w:t>Low</w:t>
            </w:r>
          </w:p>
        </w:tc>
        <w:tc>
          <w:tcPr>
            <w:tcW w:type="dxa" w:w="1488"/>
          </w:tcPr>
          <w:p>
            <w:pPr>
              <w:spacing w:after="40" w:before="40"/>
            </w:pPr>
            <w:r>
              <w:rPr>
                <w:rFonts w:ascii="Calibri" w:hAnsi="Calibri"/>
                <w:b w:val="0"/>
                <w:sz w:val="20"/>
              </w:rPr>
              <w:t>Account Executives, Customer Success, Campaign Management</w:t>
            </w:r>
          </w:p>
        </w:tc>
      </w:tr>
      <w:tr>
        <w:tc>
          <w:tcPr>
            <w:tcW w:type="dxa" w:w="1488"/>
            <w:shd w:val="clear" w:color="auto" w:fill="E1F4FF"/>
          </w:tcPr>
          <w:p>
            <w:pPr>
              <w:spacing w:after="40" w:before="40"/>
            </w:pPr>
            <w:r>
              <w:rPr>
                <w:rFonts w:ascii="Calibri" w:hAnsi="Calibri"/>
                <w:b w:val="0"/>
                <w:sz w:val="20"/>
              </w:rPr>
              <w:t>Customers currently access invoices through the legacy Customer Account Portal (CAP).</w:t>
            </w:r>
          </w:p>
        </w:tc>
        <w:tc>
          <w:tcPr>
            <w:tcW w:type="dxa" w:w="1488"/>
            <w:shd w:val="clear" w:color="auto" w:fill="E1F4FF"/>
          </w:tcPr>
          <w:p>
            <w:pPr>
              <w:spacing w:after="40" w:before="40"/>
            </w:pPr>
            <w:r>
              <w:rPr>
                <w:rFonts w:ascii="Calibri" w:hAnsi="Calibri"/>
                <w:b w:val="0"/>
                <w:sz w:val="20"/>
              </w:rPr>
              <w:t>Invoices will be available for MVP customers exclusively in MyNexstream.</w:t>
            </w:r>
          </w:p>
        </w:tc>
        <w:tc>
          <w:tcPr>
            <w:tcW w:type="dxa" w:w="1488"/>
            <w:shd w:val="clear" w:color="auto" w:fill="E1F4FF"/>
          </w:tcPr>
          <w:p>
            <w:pPr>
              <w:spacing w:after="40" w:before="40"/>
            </w:pPr>
            <w:r>
              <w:rPr>
                <w:rFonts w:ascii="Calibri" w:hAnsi="Calibri"/>
                <w:b w:val="0"/>
                <w:sz w:val="20"/>
              </w:rPr>
              <w:t>Customer communication and onboarding materials must be prepared to guide customers to MyNexstream for invoice access before MVP go-live.</w:t>
            </w:r>
          </w:p>
        </w:tc>
        <w:tc>
          <w:tcPr>
            <w:tcW w:type="dxa" w:w="1488"/>
            <w:shd w:val="clear" w:color="auto" w:fill="E1F4FF"/>
          </w:tcPr>
          <w:p>
            <w:pPr>
              <w:spacing w:after="40" w:before="40"/>
            </w:pPr>
            <w:r>
              <w:rPr>
                <w:rFonts w:ascii="Calibri" w:hAnsi="Calibri"/>
                <w:b w:val="0"/>
                <w:sz w:val="20"/>
              </w:rPr>
              <w:t>People</w:t>
            </w:r>
          </w:p>
        </w:tc>
        <w:tc>
          <w:tcPr>
            <w:tcW w:type="dxa" w:w="1488"/>
            <w:shd w:val="clear" w:color="auto" w:fill="E1F4FF"/>
          </w:tcPr>
          <w:p>
            <w:pPr>
              <w:spacing w:after="40" w:before="40"/>
            </w:pPr>
            <w:r>
              <w:rPr>
                <w:rFonts w:ascii="Calibri" w:hAnsi="Calibri"/>
                <w:b w:val="0"/>
                <w:sz w:val="20"/>
              </w:rPr>
              <w:t>Medium</w:t>
            </w:r>
          </w:p>
        </w:tc>
        <w:tc>
          <w:tcPr>
            <w:tcW w:type="dxa" w:w="1488"/>
            <w:shd w:val="clear" w:color="auto" w:fill="E1F4FF"/>
          </w:tcPr>
          <w:p>
            <w:pPr>
              <w:spacing w:after="40" w:before="40"/>
            </w:pPr>
            <w:r>
              <w:rPr>
                <w:rFonts w:ascii="Calibri" w:hAnsi="Calibri"/>
                <w:b w:val="0"/>
                <w:sz w:val="20"/>
              </w:rPr>
              <w:t>Customer Success, Account Executives, Campaign Management</w:t>
            </w:r>
          </w:p>
        </w:tc>
      </w:tr>
      <w:tr>
        <w:tc>
          <w:tcPr>
            <w:tcW w:type="dxa" w:w="1488"/>
          </w:tcPr>
          <w:p>
            <w:pPr>
              <w:spacing w:after="40" w:before="40"/>
            </w:pPr>
            <w:r>
              <w:rPr>
                <w:rFonts w:ascii="Calibri" w:hAnsi="Calibri"/>
                <w:b w:val="0"/>
                <w:sz w:val="20"/>
              </w:rPr>
              <w:t>Finance Operations and Collections teams can view billing and AR data in legacy ad operations systems.</w:t>
            </w:r>
          </w:p>
        </w:tc>
        <w:tc>
          <w:tcPr>
            <w:tcW w:type="dxa" w:w="1488"/>
          </w:tcPr>
          <w:p>
            <w:pPr>
              <w:spacing w:after="40" w:before="40"/>
            </w:pPr>
            <w:r>
              <w:rPr>
                <w:rFonts w:ascii="Calibri" w:hAnsi="Calibri"/>
                <w:b w:val="0"/>
                <w:sz w:val="20"/>
              </w:rPr>
              <w:t>SAP BRIM will be the single source of truth for all invoice and AR data. Finance Operations and Collections must use SAP BRIM Fiori apps for invoice review and AR management.</w:t>
            </w:r>
          </w:p>
        </w:tc>
        <w:tc>
          <w:tcPr>
            <w:tcW w:type="dxa" w:w="1488"/>
          </w:tcPr>
          <w:p>
            <w:pPr>
              <w:spacing w:after="40" w:before="40"/>
            </w:pPr>
            <w:r>
              <w:rPr>
                <w:rFonts w:ascii="Calibri" w:hAnsi="Calibri"/>
                <w:b w:val="0"/>
                <w:sz w:val="20"/>
              </w:rPr>
              <w:t>Training for Finance Operations and Collections teams on SAP BRIM Fiori apps for invoice viewing, AR management, and dispute resolution.</w:t>
            </w:r>
          </w:p>
        </w:tc>
        <w:tc>
          <w:tcPr>
            <w:tcW w:type="dxa" w:w="1488"/>
          </w:tcPr>
          <w:p>
            <w:pPr>
              <w:spacing w:after="40" w:before="40"/>
            </w:pPr>
            <w:r>
              <w:rPr>
                <w:rFonts w:ascii="Calibri" w:hAnsi="Calibri"/>
                <w:b w:val="0"/>
                <w:sz w:val="20"/>
              </w:rPr>
              <w:t>People and Tech</w:t>
            </w:r>
          </w:p>
        </w:tc>
        <w:tc>
          <w:tcPr>
            <w:tcW w:type="dxa" w:w="1488"/>
          </w:tcPr>
          <w:p>
            <w:pPr>
              <w:spacing w:after="40" w:before="40"/>
            </w:pPr>
            <w:r>
              <w:rPr>
                <w:rFonts w:ascii="Calibri" w:hAnsi="Calibri"/>
                <w:b w:val="0"/>
                <w:sz w:val="20"/>
              </w:rPr>
              <w:t>Medium</w:t>
            </w:r>
          </w:p>
        </w:tc>
        <w:tc>
          <w:tcPr>
            <w:tcW w:type="dxa" w:w="1488"/>
          </w:tcPr>
          <w:p>
            <w:pPr>
              <w:spacing w:after="40" w:before="40"/>
            </w:pPr>
            <w:r>
              <w:rPr>
                <w:rFonts w:ascii="Calibri" w:hAnsi="Calibri"/>
                <w:b w:val="0"/>
                <w:sz w:val="20"/>
              </w:rPr>
              <w:t>Finance Operations, Collections, Accounting</w:t>
            </w:r>
          </w:p>
        </w:tc>
      </w:tr>
    </w:tbl>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144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070F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