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2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  <w:rtl/>
        </w:rPr>
        <w:t xml:space="preserve">تحديثات ملف متطلبات موقع الاختبار — من الإصدار 1 إلى الإصدار 2</w:t>
      </w:r>
    </w:p>
    <w:p>
      <w:pPr>
        <w:pBdr>
          <w:bottom w:val="single" w:color="1F4E79" w:sz="12" w:space="8"/>
        </w:pBdr>
        <w:bidi/>
        <w:spacing w:after="280"/>
        <w:jc w:val="center"/>
      </w:pPr>
      <w:r>
        <w:rPr>
          <w:rFonts w:ascii="Arial" w:cs="Arial" w:eastAsia="Arial" w:hAnsi="Arial"/>
          <w:color w:val="595959"/>
          <w:sz w:val="22"/>
          <w:szCs w:val="22"/>
          <w:rtl/>
        </w:rPr>
        <w:t xml:space="preserve">مشروع هاكثون إكسبو 2030 الرياض · تحدي 2.3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2600"/>
        <w:gridCol w:w="7038"/>
      </w:tblGrid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المشروع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هبوب — عقدة استشعار الراحة الحرارية، تحدي 2.3، هاكثون إكسبو 2030 الرياض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نوع المستند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سجل التغييرات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يقارن بين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«متطلبات موقع اختبار الحساسات والقطع» الإصدار 1 (4 أكتوبر 2026) والإصدار 2 (5 أكتوبر 2026)</w:t>
            </w:r>
          </w:p>
        </w:tc>
      </w:tr>
      <w:tr>
        <w:trPr>
          <w:cantSplit/>
          <w:tblHeader w:val="false"/>
        </w:trPr>
        <w:tc>
          <w:tcPr>
            <w:tcW w:type="dxa" w:w="2600"/>
            <w:shd w:fill="DCE6F1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الحالة</w:t>
            </w:r>
          </w:p>
        </w:tc>
        <w:tc>
          <w:tcPr>
            <w:tcW w:type="dxa" w:w="7038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  <w:rtl/>
              </w:rPr>
              <w:t xml:space="preserve">مسودة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1. أسباب التحديث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تغيّر اسم المشروع إلى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هبوب</w:t>
      </w:r>
      <w:r>
        <w:rPr>
          <w:rFonts w:ascii="Arial" w:cs="Arial" w:eastAsia="Arial" w:hAnsi="Arial"/>
          <w:sz w:val="22"/>
          <w:szCs w:val="22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تأجيل الكرة الحرارية (DS18B20)</w:t>
      </w:r>
      <w:r>
        <w:rPr>
          <w:rFonts w:ascii="Arial" w:cs="Arial" w:eastAsia="Arial" w:hAnsi="Arial"/>
          <w:sz w:val="22"/>
          <w:szCs w:val="22"/>
          <w:rtl/>
        </w:rPr>
        <w:t xml:space="preserve">، لأن التقييم داخل القاعة وليس في الشمس.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وصل حساس الضوء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VEML7700</w:t>
      </w:r>
      <w:r>
        <w:rPr>
          <w:rFonts w:ascii="Arial" w:cs="Arial" w:eastAsia="Arial" w:hAnsi="Arial"/>
          <w:sz w:val="22"/>
          <w:szCs w:val="22"/>
          <w:rtl/>
        </w:rPr>
        <w:t xml:space="preserve"> بدل BH1750.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وصلت شاشة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1.69 بوصة</w:t>
      </w:r>
      <w:r>
        <w:rPr>
          <w:rFonts w:ascii="Arial" w:cs="Arial" w:eastAsia="Arial" w:hAnsi="Arial"/>
          <w:sz w:val="22"/>
          <w:szCs w:val="22"/>
          <w:rtl/>
        </w:rPr>
        <w:t xml:space="preserve"> بدل شاشة 2.0 بوصة.</w:t>
      </w:r>
    </w:p>
    <w:p>
      <w:pPr>
        <w:pStyle w:val="ListParagraph"/>
        <w:numPr>
          <w:ilvl w:val="0"/>
          <w:numId w:val="2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صارت التغذية من </w:t>
      </w:r>
      <w:r>
        <w:rPr>
          <w:rFonts w:ascii="Arial" w:cs="Arial" w:eastAsia="Arial" w:hAnsi="Arial"/>
          <w:b/>
          <w:bCs/>
          <w:sz w:val="22"/>
          <w:szCs w:val="22"/>
          <w:rtl/>
        </w:rPr>
        <w:t xml:space="preserve">USB مباشرة</w:t>
      </w:r>
      <w:r>
        <w:rPr>
          <w:rFonts w:ascii="Arial" w:cs="Arial" w:eastAsia="Arial" w:hAnsi="Arial"/>
          <w:sz w:val="22"/>
          <w:szCs w:val="22"/>
          <w:rtl/>
        </w:rPr>
        <w:t xml:space="preserve"> بدل دائرة البطارية.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2. التغييرات حسب أقسام الملف</w:t>
      </w:r>
    </w:p>
    <w:tbl>
      <w:tblPr>
        <w:bidiVisual/>
        <w:tblW w:type="dxa" w:w="9638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  <w:tblLayout w:type="fixed"/>
      </w:tblPr>
      <w:tblGrid>
        <w:gridCol w:w="3214"/>
        <w:gridCol w:w="3212"/>
        <w:gridCol w:w="3212"/>
      </w:tblGrid>
      <w:tr>
        <w:trPr>
          <w:cantSplit/>
          <w:tblHeader/>
        </w:trPr>
        <w:tc>
          <w:tcPr>
            <w:tcW w:type="dxa" w:w="3214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القسم</w:t>
            </w:r>
          </w:p>
        </w:tc>
        <w:tc>
          <w:tcPr>
            <w:tcW w:type="dxa" w:w="321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 1</w:t>
            </w:r>
          </w:p>
        </w:tc>
        <w:tc>
          <w:tcPr>
            <w:tcW w:type="dxa" w:w="3212"/>
            <w:shd w:fill="1F4E79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  <w:rtl/>
              </w:rPr>
              <w:t xml:space="preserve">الإصدار 2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العنوان والترويسة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منظومة الراحة الحرارية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هبوب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، ومرجعه «دليل بناء عقدة هبوب» الإصدار 2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جديد: جدول «التغييرات في الإصدار 2»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غير موجود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أُضيف في أول الملف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1.2 داخل النطاق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حساب MRT من الكرة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MRT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مفترضة تساوي حرارة الهواء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، وقابلة للتحويل إلى قياس من الكرة لاحقًا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3.1 القطع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bh1750 على 0x23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veml7700 على 0x10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3.1 القطع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ds18b20 تعمل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ds18b20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مؤجلة (disabled)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3.1 القطع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battery على A1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battery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مؤجلة (disabled)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3.1 القطع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ads1115 يقرأ الموتور والبطارية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يقرأ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الموتور فقط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3.1 القطع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شاشة ST7789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شاشة 1.69 بوصة ST7789V2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3.2 الحالات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disabled مثالها BH1750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مثالها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DS18B20 والبطارية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3.2 الحالات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assumed للشاشة فقط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assumed للشاشة،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ولقيمة MRT المفترضة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3.3 المدى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lux حتى 120,000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lux حتى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140,000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، وهو حد VEML7700 في ملف المواصفات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3.3 المدى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tg_c وbat_v مفعّلتان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عند التفعيل فقط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3.4 الفحوص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CK-01 وCK-05 مفعّلان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عند تفعيل الكرة فقط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3.4 الفحوص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CK-04: تشبع BH1750 عند 65,535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CK-04: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lux ثابت عند الصفر في مكان مضاء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(تحقق من VEML7700)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3.4 الفحوص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CK-06: تحقق من المكثف والمحول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CK-06: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غيّر كابل USB أو المنفذ، أو ركّب المكثف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4.1 FW-01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عناوين ADS1115 وMLX90614 وBH1750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0x48 و0x5A و0x10 (VEML7700)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4.1 FW-02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عدّ مجسات DS18B20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إعداد جديد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ENABLE_GLOBE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مطفأ. عند إطفائه تُرسل ds18b20 وbattery بحالة disabled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4.1 FW-10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الشاشة تعرض الكرة والبطارية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شاشة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240×280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: UTCI ولونها بخط كبير، ثم Ta وRH والرياح والاتصال، مع هامش 20 بكسل للزوايا الدائرية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4.2 المكتبات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BH1750 (Christopher Laws)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Adafruit VEML7700 Library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؛ ومكتبات DS18B20 عند التفعيل فقط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4.3 العتاد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A1 للبطارية مع الكسب GAIN_ONE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A1 غير مستخدم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4.3 العتاد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أضيفت قائمة عناوين I2C المتوقعة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4.3 العتاد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الشاشة: الأطراف فقط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ST7789V2 بدقة 240×280، مع التحقق من الدقة والإزاحة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4.3 العتاد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أضيف أن التغذية USB بجهد 5V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5.1 رسالة JSON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schema 2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schema 3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، والإصدار fw 0.3.0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5.1 رسالة JSON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حقل جديد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power_source = "usb"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5.1 رسالة JSON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قائمة I2C: 0x23 و0x48 و0x5A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0x10 و0x48 و0x5A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5.1 رسالة JSON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ds18b20 وbattery بقيم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disabled مع null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5.1 رسالة JSON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bh1750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veml7700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5.3 رد الخادم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utci وmrt وغيرها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أضيف حقل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mrt_source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(assumed أو globe)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6.1 SV-14 الإعدادات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قطر الكرة وانبعاثيتها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أضيف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مصدر MRT (assumed أو globe)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 CA-02 حساب MRT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من الكرة بمعادلة ISO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الآن MRT = Ta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بحالة assumed؛ ومعادلة الكرة عند التفعيل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 CA-05 البطارية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مفعّل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مؤجل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 CA-06 تصحيح الكرة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مفعّل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عند تفعيل الكرة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7 CA-07 القيم الأساسية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ta وrh وtg والرياح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ta وrh والرياح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؛ وtg عند التفعيل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8.1 شريط العقدة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البطارية بالنسبة والجهد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مصدر الطاقة (USB)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8.1 بطاقة UTCI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MRT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MRT مع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شارة «مفترضة»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8.1 الرسوم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Ta وTg وMRT وUTCI والرياح والبطارية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Ta والرطوبة وUTCI والرياح وجهد الموتور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8.1 التشخيص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فيه عدد مجسات DS18B20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أزيل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8.4 رسائل الأعطال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DHT22: مقاومة 10kΩ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تحقق من OUT والتغذية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(الوحدة فيها المقاومة)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8.4 رسائل الأعطال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MLX90614: نسخة الجهد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التغذية ولحام الأطراف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8.4 رسائل الأعطال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BH1750 على 0x23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VEML7700 على 0x10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: VIN وSDA وSCL ولحام الأطراف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8.4 رسائل الأعطال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رسالة البطارية موجودة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حُذفت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8.4 رسائل الأعطال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العقدة غير متصلة: الطاقة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كابل USB والطاقة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9.3 مقارنة الطريقتين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الطاقة من بطارية العمود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من محول USB أو باور بانك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المرحلة 3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إضافة DS18B20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التحقق أن القطع المؤجلة disabled، وMRT «مفترضة»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المرحلة 5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MLX90614 وBH1750 (0x23)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MLX90614 وVEML7700 (0x10)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المرحلة 6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الشاشة تعرض القيم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تعرض بالمقاس 240×280 دون إزاحة أو قص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المرحلة 8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دائرة البطارية وفصل المحول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استقرار التغذية من USB لمدة 30 دقيقة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10 المرحلة 10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المصباح يرفع Tg وUTCI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المروحة فقط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، وMRT «مفترضة»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12 معايير القبول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—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أضيف معياران: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MRT مفترضة والقطع المؤجلة disabled؛ وتفعيل الكرة بإعداد واحد</w:t>
            </w:r>
          </w:p>
        </w:tc>
      </w:tr>
      <w:tr>
        <w:trPr>
          <w:cantSplit/>
          <w:tblHeader w:val="false"/>
        </w:trPr>
        <w:tc>
          <w:tcPr>
            <w:tcW w:type="dxa" w:w="3214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13 النص الجاهز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عام</w:t>
            </w:r>
          </w:p>
        </w:tc>
        <w:tc>
          <w:tcPr>
            <w:tcW w:type="dxa" w:w="3212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يذكر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هبوب</w:t>
            </w: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 والقطع الفعلية وschema 3، والمعرّفات FW</w:t>
            </w:r>
          </w:p>
        </w:tc>
      </w:tr>
      <w:tr>
        <w:trPr>
          <w:cantSplit/>
          <w:tblHeader w:val="false"/>
        </w:trPr>
        <w:tc>
          <w:tcPr>
            <w:tcW w:type="dxa" w:w="3214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ملاحظة البداية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المعرّف FR-01</w:t>
            </w:r>
          </w:p>
        </w:tc>
        <w:tc>
          <w:tcPr>
            <w:tcW w:type="dxa" w:w="3212"/>
            <w:shd w:fill="F5F8FB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bidi/>
              <w:spacing w:after="0" w:line="276"/>
            </w:pPr>
            <w:r>
              <w:rPr>
                <w:rFonts w:ascii="Arial" w:cs="Arial" w:eastAsia="Arial" w:hAnsi="Arial"/>
                <w:sz w:val="19"/>
                <w:szCs w:val="19"/>
                <w:rtl/>
              </w:rPr>
              <w:t xml:space="preserve">تصحيح إلى </w:t>
            </w:r>
            <w:r>
              <w:rPr>
                <w:rFonts w:ascii="Arial" w:cs="Arial" w:eastAsia="Arial" w:hAnsi="Arial"/>
                <w:b/>
                <w:bCs/>
                <w:sz w:val="19"/>
                <w:szCs w:val="19"/>
                <w:rtl/>
              </w:rPr>
              <w:t xml:space="preserve">FW-01</w:t>
            </w:r>
          </w:p>
        </w:tc>
      </w:tr>
    </w:tbl>
    <w:p>
      <w:pPr>
        <w:spacing w:after="120"/>
      </w:pP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3. ما لم يتغير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البنية العامة: برنامج العقدة، وجسر USB، والخادم، ولوحة العرض.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طريقتا الربط: الواي فاي وكابل USB، وخطواتهما.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واجهات الخادم (API).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ألوان فئات UTCI.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حساب الرياح عند 10 م، وحد 0.5 م/ث الأدنى.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المتطلبات غير الوظيفية NF-01 إلى NF-08.</w:t>
      </w:r>
    </w:p>
    <w:p>
      <w:pPr>
        <w:pStyle w:val="ListParagraph"/>
        <w:numPr>
          <w:ilvl w:val="0"/>
          <w:numId w:val="3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متطلبات الجسر BR-01 إلى BR-05.</w:t>
      </w:r>
    </w:p>
    <w:p>
      <w:pPr>
        <w:pStyle w:val="Heading1"/>
        <w:bidi/>
      </w:pPr>
      <w:r>
        <w:rPr>
          <w:rFonts w:ascii="Arial" w:cs="Arial" w:eastAsia="Arial" w:hAnsi="Arial"/>
          <w:rtl/>
        </w:rPr>
        <w:t xml:space="preserve">4. لإعادة الكرة الحرارية لاحقًا</w:t>
      </w:r>
    </w:p>
    <w:p>
      <w:pPr>
        <w:pStyle w:val="ListParagraph"/>
        <w:numPr>
          <w:ilvl w:val="0"/>
          <w:numId w:val="4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وصّل DS18B20 على GPIO 13، مع مقاومة 4.7kΩ.</w:t>
      </w:r>
    </w:p>
    <w:p>
      <w:pPr>
        <w:pStyle w:val="ListParagraph"/>
        <w:numPr>
          <w:ilvl w:val="0"/>
          <w:numId w:val="4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شغّل الإعداد ENABLE_GLOBE في برنامج العقدة.</w:t>
      </w:r>
    </w:p>
    <w:p>
      <w:pPr>
        <w:pStyle w:val="ListParagraph"/>
        <w:numPr>
          <w:ilvl w:val="0"/>
          <w:numId w:val="4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غيّر مصدر MRT في إعدادات الخادم إلى globe.</w:t>
      </w:r>
    </w:p>
    <w:p>
      <w:pPr>
        <w:pStyle w:val="ListParagraph"/>
        <w:numPr>
          <w:ilvl w:val="0"/>
          <w:numId w:val="4"/>
        </w:numPr>
        <w:bidi/>
        <w:spacing w:after="80"/>
      </w:pPr>
      <w:r>
        <w:rPr>
          <w:rFonts w:ascii="Arial" w:cs="Arial" w:eastAsia="Arial" w:hAnsi="Arial"/>
          <w:sz w:val="22"/>
          <w:szCs w:val="22"/>
          <w:rtl/>
        </w:rPr>
        <w:t xml:space="preserve">نفّذ المعايرة: قارن حساس الكرة مع DHT22 في الظل، وسجّل الفرق كمعامل تصحيح.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start"/>
    </w:pPr>
    <w:r>
      <w:rPr>
        <w:rFonts w:ascii="Arial" w:cs="Arial" w:eastAsia="Arial" w:hAnsi="Arial"/>
        <w:color w:val="595959"/>
        <w:sz w:val="16"/>
        <w:szCs w:val="16"/>
        <w:rtl/>
      </w:rPr>
      <w:t xml:space="preserve">تحديثات ملف المتطلبات — هبوب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720" w:hanging="360"/>
      </w:pPr>
    </w:lvl>
    <w:lvl w:ilvl="1" w15:tentative="1">
      <w:start w:val="1"/>
      <w:numFmt w:val="bullet"/>
      <w:lvlText w:val="◦"/>
      <w:lvlJc w:val="star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BFBFBF" w:sz="6" w:space="4"/>
      </w:pBdr>
      <w:spacing w:after="160" w:before="36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تحديثات ملف المتطلبات — هبوب</dc:title>
  <dc:creator>فريق المشروع</dc:creator>
  <cp:lastModifiedBy>Un-named</cp:lastModifiedBy>
  <cp:revision>1</cp:revision>
  <dcterms:created xsi:type="dcterms:W3CDTF">2026-10-05T06:04:28.530Z</dcterms:created>
  <dcterms:modified xsi:type="dcterms:W3CDTF">2026-10-05T06:04:28.536Z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