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TABLEAU LINK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https://public.tableau.com/views/EdTEchDashboard/Dashboard1?:language=en-US&amp;publish=yes&amp;:display_count=n&amp;:origin=viz_share_link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EdTECH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After analyzing the dataset, I found the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insights: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conversion rate of leads to awareness, consideration, and conversion stages is 1547,331,64,250 respectively.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most common reasons for lack of interest at each stage are as follows: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Lead Stage: Not interested in further discussion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Awareness Stage: Not interested in the product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Consideration Stage: Looking for other options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Conversion Stage: High cost of the product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most common reasons for unsuccessful calls at each stage are as follows: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Lead Stage: Lead not interested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Awareness Stage: Call not answered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Consideration Stage: Call not answered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Conversion Stage: Call not answered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There are some outliers in the dataset, such as leads that have moved from the lead stage to the conversion stage within a day, which should be excluded from the analysis.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Based on these insights, I built a suitable dashboard to present my findings. The dashboard includes visualizations of conversion rates, lead journey timelines, reasons for lack of interest, sales managers' performance, and demo session watched percentages.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My recommendations are backed by data insights and professional visualizations that can help the business team design road maps, strategies, and action items to achieve their goals.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lic.tableau.com/views/EdTEchDashboard/Dashboard1?:language=en-US&amp;publish=yes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