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Fixture Title</w:t>
      </w:r>
    </w:p>
    <w:p>
      <w:pPr>
        <w:pStyle w:val="Heading1"/>
      </w:pPr>
      <w:r>
        <w:t xml:space="preserve">Heading level 1</w:t>
      </w:r>
    </w:p>
    <w:p>
      <w:pPr>
        <w:pStyle w:val="Heading2"/>
      </w:pPr>
      <w:r>
        <w:t xml:space="preserve">Heading level 2</w:t>
      </w:r>
    </w:p>
    <w:p>
      <w:pPr>
        <w:pStyle w:val="Heading3"/>
      </w:pPr>
      <w:r>
        <w:t xml:space="preserve">Heading level 3</w:t>
      </w:r>
    </w:p>
    <w:p>
      <w:pPr>
        <w:pStyle w:val="Heading4"/>
      </w:pPr>
      <w:r>
        <w:t xml:space="preserve">Heading level 4</w:t>
      </w:r>
    </w:p>
    <w:p>
      <w:pPr>
        <w:pStyle w:val="Heading5"/>
      </w:pPr>
      <w:r>
        <w:t xml:space="preserve">Heading level 5</w:t>
      </w:r>
    </w:p>
    <w:p>
      <w:pPr>
        <w:pStyle w:val="Heading6"/>
      </w:pPr>
      <w:r>
        <w:t xml:space="preserve">Heading level 6</w:t>
      </w:r>
    </w:p>
    <w:p>
      <w:r>
        <w:t xml:space="preserve">Plain,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</w:t>
      </w:r>
      <w:r>
        <w:t xml:space="preserve">, H</w:t>
      </w:r>
      <w:r>
        <w:rPr>
          <w:vertAlign w:val="subscript"/>
        </w:rPr>
        <w:t xml:space="preserve">2</w:t>
      </w:r>
      <w:r>
        <w:t xml:space="preserve">O, x</w:t>
      </w:r>
      <w:r>
        <w:rPr>
          <w:vertAlign w:val="superscript"/>
        </w:rPr>
        <w:t xml:space="preserve">2</w:t>
      </w:r>
      <w:r>
        <w:t xml:space="preserve">, </w:t>
      </w:r>
      <w:r>
        <w:rPr>
          <w:color w:val="FF0000"/>
        </w:rPr>
        <w:t xml:space="preserve">red</w:t>
      </w:r>
      <w:r>
        <w:t xml:space="preserve">, </w:t>
      </w:r>
      <w:r>
        <w:rPr>
          <w:highlight w:val="yellow"/>
        </w:rPr>
        <w:t xml:space="preserve">highlight</w:t>
      </w:r>
      <w:r>
        <w:t xml:space="preserve">, </w:t>
      </w:r>
      <w:r>
        <w:rPr>
          <w:shd w:fill="C6EFCE" w:val="clear"/>
        </w:rPr>
        <w:t xml:space="preserve">shading</w:t>
      </w:r>
      <w:r>
        <w:t xml:space="preserve">, </w:t>
      </w:r>
      <w:r>
        <w:rPr>
          <w:rFonts w:ascii="Courier New" w:cs="Courier New" w:eastAsia="Courier New" w:hAnsi="Courier New"/>
        </w:rPr>
        <w:t xml:space="preserve">inlineMono</w:t>
      </w:r>
      <w:r>
        <w:t xml:space="preserve">.</w:t>
      </w:r>
    </w:p>
    <w:p>
      <w:r>
        <w:t xml:space="preserve">Link: </w:t>
      </w:r>
      <w:hyperlink w:history="1" r:id="rIdt5iwk_umr9udzk2ndykr1">
        <w:r>
          <w:rPr>
            <w:rStyle w:val="Hyperlink"/>
          </w:rPr>
          <w:t xml:space="preserve">safe link</w:t>
        </w:r>
      </w:hyperlink>
      <w:r>
        <w:t xml:space="preserve"> and </w:t>
      </w:r>
      <w:hyperlink w:history="1" r:id="rIdjxrlp1j-mgjmur92gnpg2">
        <w:r>
          <w:rPr>
            <w:rStyle w:val="Hyperlink"/>
          </w:rPr>
          <w:t xml:space="preserve">evil link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Bullet A</w:t>
      </w:r>
    </w:p>
    <w:p>
      <w:pPr>
        <w:pStyle w:val="ListParagraph"/>
        <w:numPr>
          <w:ilvl w:val="1"/>
          <w:numId w:val="2"/>
        </w:numPr>
      </w:pPr>
      <w:r>
        <w:t xml:space="preserve">Bullet A.1</w:t>
      </w:r>
    </w:p>
    <w:p>
      <w:pPr>
        <w:pStyle w:val="ListParagraph"/>
        <w:numPr>
          <w:ilvl w:val="2"/>
          <w:numId w:val="2"/>
        </w:numPr>
      </w:pPr>
      <w:r>
        <w:t xml:space="preserve">Bullet A.1.a</w:t>
      </w:r>
    </w:p>
    <w:p>
      <w:pPr>
        <w:pStyle w:val="ListParagraph"/>
        <w:numPr>
          <w:ilvl w:val="0"/>
          <w:numId w:val="2"/>
        </w:numPr>
      </w:pPr>
      <w:r>
        <w:t xml:space="preserve">Bullet B</w:t>
      </w:r>
    </w:p>
    <w:p>
      <w:pPr>
        <w:pStyle w:val="ListParagraph"/>
        <w:numPr>
          <w:ilvl w:val="0"/>
          <w:numId w:val="3"/>
        </w:numPr>
      </w:pPr>
      <w:r>
        <w:t xml:space="preserve">Number three</w:t>
      </w:r>
    </w:p>
    <w:p>
      <w:pPr>
        <w:pStyle w:val="ListParagraph"/>
        <w:numPr>
          <w:ilvl w:val="1"/>
          <w:numId w:val="3"/>
        </w:numPr>
      </w:pPr>
      <w:r>
        <w:t xml:space="preserve">Number sub a</w:t>
      </w:r>
    </w:p>
    <w:p>
      <w:pPr>
        <w:pStyle w:val="ListParagraph"/>
        <w:numPr>
          <w:ilvl w:val="2"/>
          <w:numId w:val="3"/>
        </w:numPr>
      </w:pPr>
      <w:r>
        <w:t xml:space="preserve">Number sub i</w:t>
      </w:r>
    </w:p>
    <w:p>
      <w:pPr>
        <w:pStyle w:val="ListParagraph"/>
        <w:numPr>
          <w:ilvl w:val="0"/>
          <w:numId w:val="3"/>
        </w:numPr>
      </w:pPr>
      <w:r>
        <w:t xml:space="preserve">Number four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sym w:char="2612" w:font="MS Gothic"/>
          </w:r>
        </w:sdtContent>
      </w:sdt>
      <w:r>
        <w:t xml:space="preserve"> Done task (sdt)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Open task (sdt)</w:t>
      </w:r>
    </w:p>
    <w:p>
      <w:r>
        <w:t xml:space="preserve">☐ Open task (glyph)</w:t>
      </w:r>
    </w:p>
    <w:p>
      <w:r>
        <w:t xml:space="preserve">☑ Done task (glyph)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H1</w:t>
            </w:r>
          </w:p>
        </w:tc>
        <w:tc>
          <w:p>
            <w:r>
              <w:rPr>
                <w:b/>
                <w:bCs/>
              </w:rPr>
              <w:t xml:space="preserve">H2</w:t>
            </w:r>
          </w:p>
        </w:tc>
        <w:tc>
          <w:p>
            <w:r>
              <w:rPr>
                <w:b/>
                <w:bCs/>
              </w:rPr>
              <w:t xml:space="preserve">H3</w:t>
            </w:r>
          </w:p>
        </w:tc>
      </w:tr>
      <w:tr>
        <w:tc>
          <w:tcPr>
            <w:gridSpan w:val="2"/>
          </w:tcPr>
          <w:p>
            <w:r>
              <w:t xml:space="preserve">Colspan 2</w:t>
            </w:r>
          </w:p>
        </w:tc>
        <w:tc>
          <w:p>
            <w:r>
              <w:t xml:space="preserve">C3</w:t>
            </w:r>
          </w:p>
        </w:tc>
      </w:tr>
      <w:tr>
        <w:tc>
          <w:tcPr>
            <w:vMerge w:val="restart"/>
          </w:tcPr>
          <w:p>
            <w:r>
              <w:t xml:space="preserve">Rowspan 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B3</w:t>
            </w:r>
          </w:p>
        </w:tc>
      </w:tr>
      <w:tr>
        <w:tc>
          <w:tcPr>
            <w:vMerge w:val="continue"/>
          </w:tcPr>
          <w:p>
            <w:r>
              <w:t xml:space="preserve"/>
            </w:r>
          </w:p>
        </w:tc>
        <w:tc>
          <w:p>
            <w:r>
              <w:t xml:space="preserve">C2</w:t>
            </w:r>
          </w:p>
        </w:tc>
        <w:tc>
          <w:p>
            <w:r>
              <w:t xml:space="preserve">C3b</w:t>
            </w:r>
          </w:p>
        </w:tc>
      </w:tr>
    </w:tbl>
    <w:p>
      <w:pPr>
        <w:pStyle w:val="Code"/>
      </w:pPr>
      <w:r>
        <w:t xml:space="preserve">function add(a, b) {</w:t>
      </w:r>
    </w:p>
    <w:p>
      <w:pPr>
        <w:pStyle w:val="Code"/>
      </w:pPr>
      <w:r>
        <w:t xml:space="preserve">  return a + b;</w:t>
      </w:r>
    </w:p>
    <w:p>
      <w:pPr>
        <w:pStyle w:val="Code"/>
      </w:pPr>
      <w:r>
        <w:t xml:space="preserve">}</w:t>
      </w:r>
    </w:p>
    <w:p>
      <w:pPr>
        <w:pStyle w:val="Quote"/>
      </w:pPr>
      <w:r>
        <w:t xml:space="preserve">A quoted sentence from someone wise.</w:t>
      </w:r>
    </w:p>
    <w:p>
      <w:r>
        <w:t xml:space="preserve">Equation: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 xml:space="preserve"> + 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 xml:space="preserve"> + </m:t>
        </m:r>
        <m:rad>
          <m:radPr>
            <m:degHide m:val="1"/>
          </m:radPr>
          <m:deg/>
          <m:e>
            <m:r>
              <m:t>y</m:t>
            </m:r>
          </m:e>
        </m:rad>
      </m:oMath>
    </w:p>
    <w:p>
      <m:oMath>
        <m:f>
          <m:num>
            <m:r>
              <m:t>a+1</m:t>
            </m:r>
          </m:num>
          <m:den>
            <m:r>
              <m:t>2b</m:t>
            </m:r>
          </m:den>
        </m:f>
      </m:oMath>
    </w:p>
    <w:p>
      <m:oMath>
        <m:rad>
          <m:radPr>
            <m:degHide m:val="1"/>
          </m:radPr>
          <m:deg/>
          <m:e>
            <m:r>
              <m:t>x+y</m:t>
            </m:r>
          </m:e>
        </m:rad>
        <m:r>
          <m:t>=</m:t>
        </m:r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m:oMath>
        <m:sSup>
          <m:sSupPr/>
          <m:e>
            <m:r>
              <m:t>e</m:t>
            </m:r>
          </m:e>
          <m:sup>
            <m:r>
              <m:t>2x</m:t>
            </m:r>
          </m:sup>
        </m:sSup>
      </m:oMath>
    </w:p>
    <w:p>
      <w:r>
        <w:drawing>
          <wp:inline distT="0" distB="0" distL="0" distR="0">
            <wp:extent cx="609600" cy="457200"/>
            <wp:effectExtent t="0" r="0" b="0" l="0"/>
            <wp:docPr id="1" name="Blue stripe" descr="A blue PNG" title="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" cy="381000"/>
            <wp:effectExtent t="0" r="0" b="0" l="0"/>
            <wp:docPr id="2" name="Red circle" descr="An SVG with PNG fallback" title="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 xml:space="preserve">After page break.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Quote">
    <w:name w:val="Quote"/>
    <w:basedOn w:val="Normal"/>
    <w:pPr>
      <w:ind w:left="720"/>
    </w:pPr>
    <w:rPr>
      <w:i/>
      <w:iCs/>
      <w:color w:val="555555"/>
    </w:rPr>
  </w:style>
  <w:style w:type="paragraph" w:styleId="Code">
    <w:name w:val="Code"/>
    <w:basedOn w:val="Normal"/>
    <w:rPr>
      <w:rFonts w:ascii="Courier New" w:cs="Courier New" w:eastAsia="Courier New" w:hAnsi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5iwk_umr9udzk2ndykr1" Type="http://schemas.openxmlformats.org/officeDocument/2006/relationships/hyperlink" Target="https://example.com/docs" TargetMode="External"/><Relationship Id="rIdjxrlp1j-mgjmur92gnpg2" Type="http://schemas.openxmlformats.org/officeDocument/2006/relationships/hyperlink" Target="javascript:alert(1)" TargetMode="External"/><Relationship Id="rId9" Type="http://schemas.openxmlformats.org/officeDocument/2006/relationships/image" Target="media/7bfd3531c409da88c6c8c259027dfffc98bdd693.png"/><Relationship Id="rId10" Type="http://schemas.openxmlformats.org/officeDocument/2006/relationships/image" Target="media/2a48b80b7b7067dd3785a0785ba174bc5dfaa1b2.sv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 document import fixture</dc:title>
  <dc:creator>Cogni fixtures</dc:creator>
  <cp:lastModifiedBy>Cogni fixtures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