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Comprehensive Exploratory Data Analysis &amp; Feature Engineering Report</w:t>
      </w:r>
    </w:p>
    <w:p>
      <w:pPr>
        <w:spacing w:after="80"/>
      </w:pPr>
      <w:r/>
      <w:r>
        <w:rPr>
          <w:b/>
        </w:rPr>
        <w:t>Project Title:</w:t>
      </w:r>
      <w:r>
        <w:t xml:space="preserve"> Non-Invasive Metabolic Risk Prediction and Insulin Resistance Screening Using Multi-Modal Wearable Sensors</w:t>
      </w:r>
    </w:p>
    <w:p>
      <w:pPr>
        <w:spacing w:after="80"/>
      </w:pPr>
      <w:r/>
      <w:r>
        <w:rPr>
          <w:b/>
        </w:rPr>
        <w:t>Dataset:</w:t>
      </w:r>
      <w:r>
        <w:t xml:space="preserve"> NHANES 2011–2014 Unified Cohort (Cycles G &amp; H)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Date:</w:t>
      </w:r>
      <w:r>
        <w:t xml:space="preserve"> September 2026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Executive Summary</w:t>
      </w:r>
    </w:p>
    <w:p>
      <w:pPr>
        <w:spacing w:after="80"/>
      </w:pPr>
      <w:r>
        <w:t>This report delivers a thorough, empirical Exploratory Data Analysis (EDA) of the unified NHANES 2011–2014 dataset. All statistics, distributions, and biological correlations reported here were computed directly from our consolidated analytical dataset:</w:t>
      </w:r>
    </w:p>
    <w:p>
      <w:pPr>
        <w:pStyle w:val="ListBullet"/>
        <w:spacing w:after="40"/>
      </w:pPr>
      <w:r>
        <w:t>[`data/nhanes/nhanes_unified_master_with_circadian.csv`](file:///d:/BTP/data/nhanes/nhanes_unified_master_with_circadian.csv) (3.13 MB)</w:t>
      </w:r>
    </w:p>
    <w:p>
      <w:pPr>
        <w:pStyle w:val="ListBullet"/>
        <w:spacing w:after="40"/>
      </w:pPr>
      <w:r>
        <w:t>[`data/nhanes/nhanes_unified_master_with_circadian.parquet`](file:///d:/BTP/data/nhanes/nhanes_unified_master_with_circadian.parquet) (1.12 MB)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Cohort Overview</w:t>
      </w:r>
    </w:p>
    <w:p>
      <w:pPr>
        <w:pStyle w:val="ListBullet"/>
        <w:spacing w:after="40"/>
      </w:pPr>
      <w:r/>
      <w:r>
        <w:rPr>
          <w:b/>
        </w:rPr>
        <w:t>Total Adult Participants (Ages 18–65, Non-Diabetic, with Complete Lab Chemistry):</w:t>
      </w:r>
      <w:r>
        <w:t xml:space="preserve"> </w:t>
      </w:r>
      <w:r>
        <w:rPr>
          <w:b/>
        </w:rPr>
        <w:t>$N = 3,745$</w:t>
      </w:r>
      <w:r/>
    </w:p>
    <w:p>
      <w:pPr>
        <w:pStyle w:val="ListBullet"/>
        <w:spacing w:after="40"/>
      </w:pPr>
      <w:r/>
      <w:r>
        <w:rPr>
          <w:b/>
        </w:rPr>
        <w:t>Participants with 7-Day Continuous Wearable Monitoring &amp; Circadian Extraction:</w:t>
      </w:r>
      <w:r>
        <w:t xml:space="preserve"> </w:t>
      </w:r>
      <w:r>
        <w:rPr>
          <w:b/>
        </w:rPr>
        <w:t>$N = 3,296$</w:t>
      </w:r>
      <w:r/>
    </w:p>
    <w:p>
      <w:pPr>
        <w:pStyle w:val="ListBullet"/>
        <w:spacing w:after="40"/>
      </w:pPr>
      <w:r/>
      <w:r>
        <w:rPr>
          <w:b/>
        </w:rPr>
        <w:t>Primary Prediction Target:</w:t>
      </w:r>
      <w:r>
        <w:t xml:space="preserve"> Homeostatic Model Assessment of Insulin Resistance (</w:t>
      </w:r>
      <w:r>
        <w:rPr>
          <w:b/>
        </w:rPr>
        <w:t>HOMA-IR</w:t>
      </w:r>
      <w:r>
        <w:t>)</w:t>
      </w:r>
    </w:p>
    <w:p>
      <w:pPr>
        <w:pStyle w:val="ListBullet"/>
        <w:spacing w:after="40"/>
      </w:pPr>
      <w:r/>
      <w:r>
        <w:rPr>
          <w:b/>
        </w:rPr>
        <w:t>Secondary Targets:</w:t>
      </w:r>
      <w:r>
        <w:t xml:space="preserve"> Glycated Hemoglobin (</w:t>
      </w:r>
      <w:r>
        <w:rPr>
          <w:b/>
        </w:rPr>
        <w:t>HbA1c %</w:t>
      </w:r>
      <w:r>
        <w:t>), Fasting Plasma Glucose (</w:t>
      </w:r>
      <w:r>
        <w:rPr>
          <w:b/>
        </w:rPr>
        <w:t>mg/dL</w:t>
      </w:r>
      <w:r>
        <w:t>), Triglyceride-Glucose Index (</w:t>
      </w:r>
      <w:r>
        <w:rPr>
          <w:b/>
        </w:rPr>
        <w:t>TyG</w:t>
      </w:r>
      <w:r>
        <w:t>)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   COHORT FLOW DIAGRAM</w:t>
        <w:br/>
        <w:t xml:space="preserve">  Total Enrolled Participants (NHANES 2011-2014) ────────────► N = 19,931</w:t>
        <w:br/>
        <w:t xml:space="preserve">                          │</w:t>
        <w:br/>
        <w:t xml:space="preserve">                          ▼ (Fasting Morning Lab Sample Examined)</w:t>
        <w:br/>
        <w:t xml:space="preserve">  Participants with Complete Blood Chemistry ────────────────► N = 6,568</w:t>
        <w:br/>
        <w:t xml:space="preserve">                          │</w:t>
        <w:br/>
        <w:t xml:space="preserve">                          ▼ (Apply Inclusion: Ages 18-65, Exclude Diagnosed T1D/T2D)</w:t>
        <w:br/>
        <w:t xml:space="preserve">  Target Adult Analytical Cohort ────────────────────────────► N = 3,745</w:t>
        <w:br/>
        <w:t xml:space="preserve">                          │</w:t>
        <w:br/>
        <w:t xml:space="preserve">                          ▼ (Merge 7-Day Continuous Wrist Actigraphy &amp; Circadian)</w:t>
        <w:br/>
        <w:t xml:space="preserve">  Enriched Multi-Modal Analysis Cohort ──────────────────────► N = 3,296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Demographic Profile &amp; Representation</w:t>
      </w:r>
    </w:p>
    <w:p>
      <w:pPr>
        <w:spacing w:after="80"/>
      </w:pPr>
      <w:r>
        <w:t>Unlike single-hospital cohorts, the NHANES dataset is nationally representative and ethnically diverse, preventing demographic overfitting and ensuring high generalizability.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Summary Statistics: Demographics ($N = 3,745$)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Demographic Variable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Category / Metric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Value / Distribution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Clinical Relevance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**Age (Years)**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Mean $\pm$ Std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$40.04 \pm 13.98$ years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Working-age adult population most vulnerable to silent prediabetes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Median [IQR]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$40.0$ [$28.0\text{--}52.0$]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Balanced distribution across young, middle-aged, and older adults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Min – Max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$18.0\text{--}65.0$ years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Full adult working span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**Gender**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Female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**51.2%** ($n = 1,917$)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Perfectly balanced sex distribution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Male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**48.8%** ($n = 1,828$)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Eliminates sex-based data skew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**Race / Ethnicity**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Non-Hispanic White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**38.7%** ($n = 1,449$)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Large reference population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Non-Hispanic Black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**21.3%** ($n = 798$)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Higher epidemiological risk for cardiovascular disease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Non-Hispanic Asian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**14.6%** ($n = 547$)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Develop insulin resistance at lower BMI thresholds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Mexican American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**12.7%** ($n = 476$)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High epidemiological prevalence of metabolic syndrome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Other Hispanic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**10.0%** ($n = 375$)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Distinct metabolic risk profile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Other / Multi-Racial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**2.8%** ($n = 100$)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Diverse representation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Anthropometrics &amp; Clinical Vitals</w:t>
      </w:r>
    </w:p>
    <w:p>
      <w:pPr>
        <w:spacing w:after="80"/>
      </w:pPr>
      <w:r>
        <w:t>Physical examinations conducted in specialized examination centers provide objective physiological baselines.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Summary Statistics: Physical Exam &amp; Vitals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Clinical Metric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Sample Size ($N$)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Mean $\pm$ Std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Median (50%)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25th – 75th Percentile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Clinical Context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**Body Mass Index ($\text{kg/m}^2$)**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$3,708$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$28.34 \pm 7.00$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$27.20$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$23.40\text{--}31.72$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Overweight baseline reflecting real-world Western population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**Waist Circumference ($\text{cm}$)**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$3,633$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$96.09 \pm 16.55$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$94.40$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$83.70\text{--}105.50$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Clinical marker of visceral and intra-abdominal adiposity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**Resting Heart Rate ($\text{bpm}$)**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$3,603$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$72.31 \pm 11.54$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$72.00$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$64.00\text{--}80.00$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Primary non-invasive autonomic proxy for sympathetic activity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**Systolic BP ($\text{mmHg}$)**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$3,445$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$118.49 \pm 15.46$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$116.00$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$108.00\text{--}126.00$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Normotensive to pre-hypertensive spectrum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**Diastolic BP ($\text{mmHg}$)**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$3,445$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$70.07 \pm 11.79$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$70.00$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$64.00\text{--}78.00$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Healthy baseline vascular resistance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Laboratory Biomarkers &amp; Ground-Truth Labels</w:t>
      </w:r>
    </w:p>
    <w:p>
      <w:pPr>
        <w:spacing w:after="80"/>
      </w:pPr>
      <w:r>
        <w:t>All laboratory specimens were drawn in the morning following an overnight fast of 8 to 24 hours.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The Gold-Standard Calculations</w:t>
      </w:r>
    </w:p>
    <w:p>
      <w:pPr>
        <w:spacing w:after="80"/>
      </w:pPr>
      <w:r>
        <w:t xml:space="preserve">1. </w:t>
      </w:r>
      <w:r>
        <w:rPr>
          <w:b/>
        </w:rPr>
        <w:t>Fasting Glucose Conversion:</w:t>
      </w:r>
      <w:r/>
    </w:p>
    <w:p>
      <w:pPr>
        <w:spacing w:after="80"/>
      </w:pPr>
      <w:r>
        <w:t xml:space="preserve">   $$\text{Glucose } (\text{mmol/L}) = \frac{\text{LBXGLU } (\text{mg/dL})}{18.0}$$</w:t>
      </w:r>
    </w:p>
    <w:p>
      <w:pPr>
        <w:spacing w:after="80"/>
      </w:pPr>
      <w:r>
        <w:t xml:space="preserve">2. </w:t>
      </w:r>
      <w:r>
        <w:rPr>
          <w:b/>
        </w:rPr>
        <w:t>Homeostatic Model Assessment of Insulin Resistance (HOMA-IR):</w:t>
      </w:r>
      <w:r/>
    </w:p>
    <w:p>
      <w:pPr>
        <w:spacing w:after="80"/>
      </w:pPr>
      <w:r>
        <w:t xml:space="preserve">   $$\text{HOMA-IR} = \frac{\text{Fasting Serum Insulin } (\mu\text{U/mL}) \times \text{Glucose } (\text{mmol/L})}{22.5}$$</w:t>
      </w:r>
    </w:p>
    <w:p>
      <w:pPr>
        <w:spacing w:after="80"/>
      </w:pPr>
      <w:r>
        <w:t xml:space="preserve">3. </w:t>
      </w:r>
      <w:r>
        <w:rPr>
          <w:b/>
        </w:rPr>
        <w:t>Triglyceride-Glucose Index (TyG):</w:t>
      </w:r>
      <w:r/>
    </w:p>
    <w:p>
      <w:pPr>
        <w:spacing w:after="80"/>
      </w:pPr>
      <w:r>
        <w:t xml:space="preserve">   $$\text{TyG} = \ln\left(\frac{\text{Triglycerides } (\text{mg/dL}) \times \text{Glucose } (\text{mg/dL})}{2}\right)$$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Summary Statistics: Laboratory Blood Chemistry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Biomarker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Sample Size ($N$)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Mean $\pm$ Std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Median (50%)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IQR (25% – 75%)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Min – Max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**Fasting Plasma Glucose (mg/dL)**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$3,745$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$99.22 \pm 19.53$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$97.00$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$91.00\text{--}104.00$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$57.0\text{--}384.0$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**Fasting Serum Insulin ($\mu\text{U/mL}$)**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$12.67 \pm 11.35$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$9.26$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$6.05\text{--}15.39$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$0.14\text{--}140.57$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**HOMA-IR (Continuous IR Score)**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$3,745$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**$3.24 \pm 3.40$**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**$2.22$**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**$1.38\text{--}3.86$**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**$0.03\text{--}55.21$**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**HbA1c Glycated Hemoglobin (%)**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$3,741$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**$5.45 \pm 0.64\%$**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**$5.40\%$**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**$5.10\%\text{--}5.70\%$**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**$3.60\%\text{--}13.10\%$**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**Serum Triglycerides (mg/dL)**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$117.26 \pm 93.37$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$93.00$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$65.00\text{--}139.00$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$14.0\text{--}1,637.0$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**HDL Cholesterol (mg/dL)**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$53.47 \pm 15.29$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$51.00$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$43.00\text{--}62.00$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$10.0\text{--}173.0$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**Triglyceride-Glucose (TyG) Index**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$3,743$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$8.47 \pm 0.64$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$8.41$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$8.03\text{--}8.85$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$6.38\text{--}12.01$ 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Clinical Target Stratification (Phase 2 Ground Truth)</w:t>
      </w:r>
    </w:p>
    <w:p>
      <w:pPr>
        <w:spacing w:after="80"/>
      </w:pPr>
      <w:r>
        <w:t>Using American Diabetes Association (ADA) clinical criteria and endocrinology consensus on insulin resistance: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3-CLASS RISK STRATIFICATION</w:t>
        <w:br/>
        <w:t xml:space="preserve">  Low Risk Normal          [████████████████████] 1,412 (37.7%)</w:t>
        <w:br/>
        <w:t xml:space="preserve">  Moderate Risk (Prediab)  [█████████████       ]   976 (26.1%)</w:t>
        <w:br/>
        <w:t xml:space="preserve">  High Risk (IR)           [██████████████████  ] 1,353 (36.1%)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Class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Clinical Label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 / Threshold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Count ($N$)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Percentage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**0**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**Low Risk (Normal)**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$\text{HOMA-IR} &lt; 2.0$ AND $\text{HbA1c} &lt; 5.7\%$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**1,412**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**37.7%**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**1**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**Moderate Risk (Prediabetes)**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$\text{HOMA-IR } [2.0, 2.9]$ OR $\text{HbA1c } [5.7\%, 6.4\%]$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**976**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**26.1%**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**2**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**High Risk (Insulin Resistant)**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$\text{HOMA-IR} \ge 3.0$ OR $\text{HbA1c} \ge 6.5\%$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**1,353**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**36.1%** 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/>
      <w:r>
        <w:rPr>
          <w:b/>
        </w:rPr>
        <w:t>Binary Insulin Resistance ($HOMA-IR \ge 2.6$):</w:t>
      </w:r>
      <w:r/>
    </w:p>
    <w:p>
      <w:pPr>
        <w:spacing w:after="80"/>
      </w:pPr>
      <w:r>
        <w:t xml:space="preserve">  * Insulin Resistant: </w:t>
      </w:r>
      <w:r>
        <w:rPr>
          <w:b/>
        </w:rPr>
        <w:t>42.5%</w:t>
      </w:r>
      <w:r>
        <w:t xml:space="preserve"> ($n = 1,592$)</w:t>
      </w:r>
    </w:p>
    <w:p>
      <w:pPr>
        <w:spacing w:after="80"/>
      </w:pPr>
      <w:r>
        <w:t xml:space="preserve">  * Normal / Sensitive: </w:t>
      </w:r>
      <w:r>
        <w:rPr>
          <w:b/>
        </w:rPr>
        <w:t>57.5%</w:t>
      </w:r>
      <w:r>
        <w:t xml:space="preserve"> ($n = 2,153$)</w:t>
      </w:r>
    </w:p>
    <w:p>
      <w:pPr>
        <w:spacing w:after="80"/>
      </w:pPr>
      <w:r>
        <w:t xml:space="preserve">&gt; </w:t>
      </w:r>
      <w:r>
        <w:rPr>
          <w:b/>
        </w:rPr>
        <w:t>Key Observation:</w:t>
      </w:r>
      <w:r>
        <w:t xml:space="preserve"> The classes are naturally balanced (37.7% vs. 26.1% vs. 36.1%). Unlike severely skewed clinical datasets that require synthetic oversampling (SMOTE) or artificial reweighting, our models will be trained on authentic biological distributions.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Wearable Accelerometry &amp; Circadian Rhythm Analysis</w:t>
      </w:r>
    </w:p>
    <w:p>
      <w:pPr>
        <w:spacing w:after="80"/>
      </w:pPr>
      <w:r>
        <w:t xml:space="preserve">From the 7-day continuous hourly ActiGraph recordings ([`PAXHR_G.XPT`](file:///d:/BTP/data/nhanes/PAXHR_G.XPT) and [`PAXHR_H.XPT`](file:///d:/BTP/data/nhanes/PAXHR_H.XPT)), our pipeline processed </w:t>
      </w:r>
      <w:r>
        <w:rPr>
          <w:b/>
        </w:rPr>
        <w:t>2,785,039 time-series epochs</w:t>
      </w:r>
      <w:r>
        <w:t xml:space="preserve"> to engineer 12 parametric and non-parametric digital biomarkers for $N = 3,296$ adults.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Wearable Sensor Statistics ($N = 3,296$)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Feature Category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Variable Name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Mean $\pm$ Std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Median (50%)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IQR (25% – 75%)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Min – Max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**Cosinor Baseline**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`circadian_mesor`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$521.48 \pm 174.79$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$530.28$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$419.40\text{--}634.28$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$0.03\text{--}1,376.42$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**Cosinor Swing**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`circadian_amplitude`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$394.77 \pm 151.35$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$392.63$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$296.83\text{--}492.84$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$0.02\text{--}1,086.05$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**Cosinor Peak Hour**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`circadian_acrophase` (hrs)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$14.78 \pm 2.13$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**14.69 (2:41 PM)**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$13.64\text{--}15.92$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$0.01\text{--}23.95$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**Cosinor Fit**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`circadian_r2`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$0.350 \pm 0.145$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$0.362$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$0.250\text{--}0.458$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$0.00\text{--}0.746$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**NPCRA Stability**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`interdaily_stability_IS`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$0.465 \pm 0.153$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$0.489$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$0.370\text{--}0.577$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$0.03\text{--}0.977$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**NPCRA Fragmentation**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`intradaily_variability_IV`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$0.626 \pm 0.208$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$0.604$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$0.478\text{--}0.743$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$0.08\text{--}2.023$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**NPCRA Contrast**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`relative_amplitude_RA`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$0.836 \pm 0.127$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**$0.871$**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$0.794\text{--}0.917$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$0.00\text{--}1.000$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**Daytime Vitality**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`m10_value`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$808.77 \pm 270.41$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$814.51$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$643.41\text{--}979.69$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$0.05\text{--}2,222.91$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**Sleep Nadir**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`l5_value`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$74.45 \pm 68.27$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$56.09$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$34.76\text{--}91.70$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$0.00\text{--}814.67$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**Sleep Duration**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`mean_nightly_sleep_hours`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$6.66 \pm 2.26$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**$6.96$ hrs**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$5.83\text{--}7.95$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$0.00\text{--}20.66$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**Protocol Compliance**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`valid_wear_days`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$8.87 \pm 0.78$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$9.00\text{--}9.00$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$2.00\text{--}10.00$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Statistical Correlation Analysis: The Biological Bridge</w:t>
      </w:r>
    </w:p>
    <w:p>
      <w:pPr>
        <w:spacing w:after="80"/>
      </w:pPr>
      <w:r>
        <w:t>To confirm that wrist-worn movement and vitals carry authentic metabolic signal, we evaluated Pearson correlation coefficients ($r$) between our engineered features and clinical targets across all $N = 3,296$ participants: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Complete Correlation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Feature Name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Feature Type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Corr with HOMA-IR ($r$)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Corr with Insulin ($r$)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Corr with HbA1c ($r$)</w:t>
            </w:r>
          </w:p>
        </w:tc>
        <w:tc>
          <w:tcPr>
            <w:tcW w:type="dxa" w:w="1656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Corr with TyG ($r$)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**Waist Circumference (`BMXWAIST`)**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Anthropometric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**$+0.476$**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**$+0.495$**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**$+0.253$**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**$+0.346$**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**Body Mass Index (`BMXBMI`)**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Anthropometric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**$+0.453$**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**$+0.477$**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**$+0.220$**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**$+0.243$**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**Resting Heart Rate (`BPXPLS`)**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Autonomic Tone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**$+0.172$**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**$+0.188$**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$-0.014$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**$+0.080$**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**Circadian Amplitude**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Cosinor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**$-0.124$**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**$-0.135$**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$-0.035$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**$-0.100$**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**Circadian Mesor**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Cosinor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**$-0.103$**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**$-0.120$**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$+0.015$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**$-0.095$**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**Daytime Vitality (`M10`)**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NPCRA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**$-0.119$**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**$-0.134$**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$-0.007$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**$-0.103$**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**Relative Amplitude (`RA`)**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NPCRA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**$-0.083$**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**$-0.076$**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**$-0.084$**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**$-0.072$**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**Interdaily Stability (`IS`)**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NPCRA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$-0.032$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$-0.050$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$+0.044$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$+0.019$ </w:t>
            </w:r>
          </w:p>
        </w:tc>
      </w:tr>
      <w:tr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**Nightly Sleep Duration**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Wearable Sleep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$-0.031$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$-0.042$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$+0.014$</w:t>
            </w:r>
          </w:p>
        </w:tc>
        <w:tc>
          <w:tcPr>
            <w:tcW w:type="dxa" w:w="1656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$+0.057$ 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**Age**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Demographic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$+0.030$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$-0.022$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**$+0.288$**</w:t>
            </w:r>
          </w:p>
        </w:tc>
        <w:tc>
          <w:tcPr>
            <w:tcW w:type="dxa" w:w="1656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**$+0.218$** 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Key Physiological Insights</w:t>
      </w:r>
    </w:p>
    <w:p>
      <w:pPr>
        <w:spacing w:after="80"/>
      </w:pPr>
      <w:r>
        <w:t xml:space="preserve">1. </w:t>
      </w:r>
      <w:r>
        <w:rPr>
          <w:b/>
        </w:rPr>
        <w:t>Resting Heart Rate as an Autonomic Fingerprint ($r = +0.172$ with HOMA-IR, $r = +0.188$ with Insulin):</w:t>
      </w:r>
      <w:r/>
    </w:p>
    <w:p>
      <w:pPr>
        <w:spacing w:after="80"/>
      </w:pPr>
      <w:r>
        <w:t xml:space="preserve">   * Corroborates the Google IR study and SweetDeep findings: insulin resistance triggers chronic sympathetic overactivity and blunts parasympathetic vagal tone, elevating resting pulse.</w:t>
      </w:r>
    </w:p>
    <w:p>
      <w:pPr>
        <w:spacing w:after="80"/>
      </w:pPr>
      <w:r>
        <w:t xml:space="preserve">2. </w:t>
      </w:r>
      <w:r>
        <w:rPr>
          <w:b/>
        </w:rPr>
        <w:t>Blunted Circadian Rhythmicity ($r = -0.124$ Amplitude, $r = -0.083$ Relative Amplitude):</w:t>
      </w:r>
      <w:r/>
    </w:p>
    <w:p>
      <w:pPr>
        <w:spacing w:after="80"/>
      </w:pPr>
      <w:r>
        <w:t xml:space="preserve">   * Individuals with insulin resistance exhibit lower daytime vitality (lower M10) and disrupted nighttime rest, leading to a flatter, blunted 24-hour diurnal rhythm.</w:t>
      </w:r>
    </w:p>
    <w:p>
      <w:pPr>
        <w:spacing w:after="80"/>
      </w:pPr>
      <w:r>
        <w:t xml:space="preserve">3. </w:t>
      </w:r>
      <w:r>
        <w:rPr>
          <w:b/>
        </w:rPr>
        <w:t>Visceral Adiposity Dominance ($r = +0.476$ Waist Circumference):</w:t>
      </w:r>
      <w:r/>
    </w:p>
    <w:p>
      <w:pPr>
        <w:spacing w:after="80"/>
      </w:pPr>
      <w:r>
        <w:t xml:space="preserve">   * Waist circumference correlates more strongly with HOMA-IR than BMI alone, confirming the primary role of central adiposity in insulin resistance pathogenesis.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7. Conclusions &amp; Readiness for Modeling</w:t>
      </w:r>
    </w:p>
    <w:p>
      <w:pPr>
        <w:spacing w:after="80"/>
      </w:pPr>
      <w:r>
        <w:t xml:space="preserve">1. </w:t>
      </w:r>
      <w:r>
        <w:rPr>
          <w:b/>
        </w:rPr>
        <w:t>Empirical Quality:</w:t>
      </w:r>
      <w:r>
        <w:t xml:space="preserve"> The dataset is clean, complete, and contains zero artificial synthetic points. Missing values in vitals are under $5\%$.</w:t>
      </w:r>
    </w:p>
    <w:p>
      <w:pPr>
        <w:spacing w:after="80"/>
      </w:pPr>
      <w:r>
        <w:t xml:space="preserve">2. </w:t>
      </w:r>
      <w:r>
        <w:rPr>
          <w:b/>
        </w:rPr>
        <w:t>Phase 1 Feasibility:</w:t>
      </w:r>
      <w:r>
        <w:t xml:space="preserve"> Continuous HOMA-IR and HbA1c have smooth, continuous distributions suitable for Ridge, Lasso, Random Forest, LightGBM, and 1D-CNN regression.</w:t>
      </w:r>
    </w:p>
    <w:p>
      <w:pPr>
        <w:spacing w:after="80"/>
      </w:pPr>
      <w:r>
        <w:t xml:space="preserve">3. </w:t>
      </w:r>
      <w:r>
        <w:rPr>
          <w:b/>
        </w:rPr>
        <w:t>Phase 2 Feasibility:</w:t>
      </w:r>
      <w:r>
        <w:t xml:space="preserve"> The 3-class risk distribution (37.7% Normal, 26.1% Prediabetic, 36.1% High Risk) provides a balanced benchmark for non-invasive risk screening.</w:t>
      </w:r>
    </w:p>
    <w:p>
      <w:pPr>
        <w:spacing w:after="80"/>
      </w:pPr>
      <w:r>
        <w:t xml:space="preserve">4. </w:t>
      </w:r>
      <w:r>
        <w:rPr>
          <w:b/>
        </w:rPr>
        <w:t>Immediate Next Step:</w:t>
      </w:r>
      <w:r>
        <w:t xml:space="preserve"> Execute the Phase 1 Regression Benchmark across the baseline and deep learning model suites.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