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Phase 2 Benchmark Report: Non-Invasive 3-Class Metabolic Risk Screening</w:t>
      </w:r>
    </w:p>
    <w:p>
      <w:pPr>
        <w:spacing w:after="80"/>
      </w:pPr>
      <w:r/>
      <w:r>
        <w:rPr>
          <w:b/>
        </w:rPr>
        <w:t>Project Title:</w:t>
      </w:r>
      <w:r>
        <w:t xml:space="preserve"> Non-Invasive Metabolic Risk Prediction and Insulin Resistance Screening Using Multi-Modal Wearable Sensors</w:t>
      </w:r>
    </w:p>
    <w:p>
      <w:pPr>
        <w:spacing w:after="80"/>
      </w:pPr>
      <w:r/>
      <w:r>
        <w:rPr>
          <w:b/>
        </w:rPr>
        <w:t>Phase:</w:t>
      </w:r>
      <w:r>
        <w:t xml:space="preserve"> Phase 2 — Non-Invasive Clinical Risk Screening Benchmark</w:t>
      </w:r>
    </w:p>
    <w:p>
      <w:pPr>
        <w:spacing w:after="80"/>
      </w:pPr>
      <w:r/>
      <w:r>
        <w:rPr>
          <w:b/>
        </w:rPr>
        <w:t>Author:</w:t>
      </w:r>
      <w:r>
        <w:t xml:space="preserve"> SARVAGYA-TIWARI</w:t>
      </w:r>
    </w:p>
    <w:p>
      <w:pPr>
        <w:spacing w:after="80"/>
      </w:pPr>
      <w:r/>
      <w:r>
        <w:rPr>
          <w:b/>
        </w:rPr>
        <w:t>Dataset:</w:t>
      </w:r>
      <w:r>
        <w:t xml:space="preserve"> NHANES 2011–2014 Multi-Modal Cohort ($N = 3,292$ Non-Diabetic Adults)</w:t>
      </w:r>
    </w:p>
    <w:p>
      <w:pPr>
        <w:spacing w:after="80"/>
      </w:pPr>
      <w:r/>
      <w:r>
        <w:rPr>
          <w:b/>
        </w:rPr>
        <w:t>Constraint:</w:t>
      </w:r>
      <w:r>
        <w:t xml:space="preserve"> Zero Invasive Blood Tests or Glucose History Available at Inference Time</w:t>
      </w:r>
    </w:p>
    <w:p>
      <w:pPr>
        <w:spacing w:after="80"/>
      </w:pPr>
      <w:r/>
      <w:r>
        <w:rPr>
          <w:b/>
        </w:rPr>
        <w:t>Date:</w:t>
      </w:r>
      <w:r>
        <w:t xml:space="preserve"> September 2026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1. Executive Summary &amp; Clinical Context</w:t>
      </w:r>
    </w:p>
    <w:p>
      <w:pPr>
        <w:spacing w:after="80"/>
      </w:pPr>
      <w:r>
        <w:t>In Phase 1, we established that multi-modal wearable actigraphy, circadian harmonics, and resting vitals can predict continuous metabolic biomarkers (</w:t>
      </w:r>
      <w:r>
        <w:rPr>
          <w:b/>
        </w:rPr>
        <w:t>HOMA-IR: Pearson $r = 0.501$</w:t>
      </w:r>
      <w:r>
        <w:t xml:space="preserve">, </w:t>
      </w:r>
      <w:r>
        <w:rPr>
          <w:b/>
        </w:rPr>
        <w:t>HbA1c: MAE = $0.338\%$</w:t>
      </w:r>
      <w:r>
        <w:t>).</w:t>
      </w:r>
    </w:p>
    <w:p>
      <w:pPr>
        <w:spacing w:after="80"/>
      </w:pPr>
      <w:r>
        <w:t>In Phase 2, we tackle the primary translational goal of our capstone project:</w:t>
      </w:r>
    </w:p>
    <w:p>
      <w:pPr>
        <w:spacing w:after="80"/>
      </w:pPr>
      <w:r>
        <w:t xml:space="preserve">&gt; </w:t>
      </w:r>
      <w:r>
        <w:rPr>
          <w:b/>
        </w:rPr>
        <w:t>Can a consumer-grade smartwatch passively screen and stratify individuals into clinically actionable American Diabetes Association (ADA) metabolic risk tiers without any invasive blood draws or historical fingerprick data?</w:t>
      </w:r>
      <w:r/>
    </w:p>
    <w:p>
      <w:pPr>
        <w:spacing w:after="80"/>
      </w:pPr>
      <w:r>
        <w:t xml:space="preserve">Globally, over </w:t>
      </w:r>
      <w:r>
        <w:rPr>
          <w:b/>
        </w:rPr>
        <w:t>42.8% of individuals with prediabetes and diabetes are completely undiagnosed</w:t>
      </w:r>
      <w:r>
        <w:t>. Routine blood draws (Fasting Plasma Glucose, HbA1c, and Fasting Insulin) are invasive, expensive, logistically burdensome, and performed at most once a year. A passive wearable algorithm that runs continuously on a smartwatch can identify individuals undergoing silent metabolic decompensation, prompting timely clinical confirmatory testing before irreversible beta-cell failure occurs.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The 3-Class Clinical Diagnostic Targets</w:t>
      </w:r>
    </w:p>
    <w:p>
      <w:pPr>
        <w:spacing w:after="80"/>
      </w:pPr>
      <w:r>
        <w:t>Using American Diabetes Association (ADA) guidelines and endocrinology consensus on insulin resistance:</w:t>
      </w:r>
    </w:p>
    <w:p>
      <w:pPr>
        <w:pStyle w:val="ListBullet"/>
        <w:spacing w:after="40"/>
      </w:pPr>
      <w:r/>
      <w:r>
        <w:rPr>
          <w:b/>
        </w:rPr>
        <w:t>Class 0: Low Risk / Normal ($37.5\%$, $n = 1,235$):</w:t>
      </w:r>
      <w:r/>
    </w:p>
    <w:p>
      <w:pPr>
        <w:spacing w:after="80"/>
      </w:pPr>
      <w:r>
        <w:t xml:space="preserve">  $\text{HOMA-IR} &lt; 2.0$ AND $\text{HbA1c} &lt; 5.7\%$</w:t>
      </w:r>
    </w:p>
    <w:p>
      <w:pPr>
        <w:spacing w:after="80"/>
      </w:pPr>
      <w:r>
        <w:t xml:space="preserve">  *Physiological state:* High insulin sensitivity, intact glycemic homeostatic regulation.</w:t>
      </w:r>
    </w:p>
    <w:p>
      <w:pPr>
        <w:pStyle w:val="ListBullet"/>
        <w:spacing w:after="40"/>
      </w:pPr>
      <w:r/>
      <w:r>
        <w:rPr>
          <w:b/>
        </w:rPr>
        <w:t>Class 1: Moderate Risk / Prediabetes ($26.1\%$, $n = 860$):</w:t>
      </w:r>
      <w:r/>
    </w:p>
    <w:p>
      <w:pPr>
        <w:spacing w:after="80"/>
      </w:pPr>
      <w:r>
        <w:t xml:space="preserve">  $\text{HOMA-IR } [2.0, 2.9]$ OR $\text{HbA1c } [5.7\%, 6.4\%]$</w:t>
      </w:r>
    </w:p>
    <w:p>
      <w:pPr>
        <w:spacing w:after="80"/>
      </w:pPr>
      <w:r>
        <w:t xml:space="preserve">  *Physiological state:* Early compensatory hyperinsulinemia, borderline insulin resistance, early beta-cell stress.</w:t>
      </w:r>
    </w:p>
    <w:p>
      <w:pPr>
        <w:pStyle w:val="ListBullet"/>
        <w:spacing w:after="40"/>
      </w:pPr>
      <w:r/>
      <w:r>
        <w:rPr>
          <w:b/>
        </w:rPr>
        <w:t>Class 2: High Risk / Severe Insulin Resistance ($36.4\%$, $n = 1,197$):</w:t>
      </w:r>
      <w:r/>
    </w:p>
    <w:p>
      <w:pPr>
        <w:spacing w:after="80"/>
      </w:pPr>
      <w:r>
        <w:t xml:space="preserve">  $\text{HOMA-IR} \ge 3.0$ OR $\text{HbA1c} \ge 6.5\%$</w:t>
      </w:r>
    </w:p>
    <w:p>
      <w:pPr>
        <w:spacing w:after="80"/>
      </w:pPr>
      <w:r>
        <w:t xml:space="preserve">  *Physiological state:* Frank insulin resistance, hepatic glucose overproduction, significant risk of vascular and autonomic complications.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 xml:space="preserve">                            PHASE 2 SCREENING PIPELINE</w:t>
        <w:br/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│                      27 NON-INVASIVE DIGITAL PREDICTORS ONLY                           │</w:t>
        <w:br/>
        <w:t xml:space="preserve"> │  (Zero Blood Access: No Glucose, No Insulin, No HbA1c, No Cholesterol in Features)     │</w:t>
        <w:br/>
        <w:t xml:space="preserve"> │  • 7-Day Continuous Wrist Motion &amp; Physical Activity Volume (ActiGraph GT3X+)          │</w:t>
        <w:br/>
        <w:t xml:space="preserve"> │  • Parametric Cosinor &amp; Non-Parametric Circadian Metrics (Mesor, Amp, IS, IV, M10, L5) │</w:t>
        <w:br/>
        <w:t xml:space="preserve"> │  • Sinusoidal Time Harmonics [sin(2πt/24), cos(2πt/24)]                                │</w:t>
        <w:br/>
        <w:t xml:space="preserve"> │  • Autonomic Tone &amp; Anthropometrics (Resting Pulse, BMI, Waist, Blood Pressure)        │</w:t>
        <w:br/>
        <w:t xml:space="preserve"> │  • Baseline Demographics (Age, Gender, Ethnicity, Poverty Ratio)                       │</w:t>
        <w:br/>
        <w:t xml:space="preserve"> └──────────────────────────────────────────┬─────────────────────────────────────────────┘</w:t>
        <w:br/>
        <w:t xml:space="preserve">                                            │</w:t>
        <w:br/>
        <w:t xml:space="preserve">                                            ▼</w:t>
        <w:br/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│                 5-FOLD STRATIFIED INTER-SUBJECT CROSS-VALIDATION                       │</w:t>
        <w:br/>
        <w:t xml:space="preserve"> │                           (N = 3,292 Non-Diabetic Adults)                              │</w:t>
        <w:br/>
        <w:t xml:space="preserve"> ├──────────────────────────────────────────┬─────────────────────────────────────────────┤</w:t>
        <w:br/>
        <w:t xml:space="preserve"> │ MACHINE LEARNING SUITE                   │ DEEP LEARNING ARCHITECTURES                 │</w:t>
        <w:br/>
        <w:t xml:space="preserve"> │ • Multinomial Logistic Regression        │ • Multi-Layer Perceptron (MLP: 128-64-32)   │</w:t>
        <w:br/>
        <w:t xml:space="preserve"> │ • Random Forest Classifier (Balanced)    │ • Deep Tabular Embeddings with Dropout      │</w:t>
        <w:br/>
        <w:t xml:space="preserve"> │ • LightGBM Classifier (Gradient Boost)   │                                             │</w:t>
        <w:br/>
        <w:t xml:space="preserve"> │ • XGBoost Classifier (Exact Gradients)   │                                             │</w:t>
        <w:br/>
        <w:t xml:space="preserve"> └──────────────────────────────────────────┴─────────────────────────────────────────────┘</w:t>
        <w:br/>
        <w:t xml:space="preserve">                                            │</w:t>
        <w:br/>
        <w:t xml:space="preserve">                                            ▼</w:t>
        <w:br/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│                         POPULATION SCREENING EVALUATION                                │</w:t>
        <w:br/>
        <w:t xml:space="preserve"> │ • Balanced Accuracy (+21.5% over chance) • Macro F1 &amp; Weighted F1                      │</w:t>
        <w:br/>
        <w:t xml:space="preserve"> │ • Multiclass One-vs-Rest AUROC (0.738)   • Class-Normalized Sensitivity Heatmaps       │</w:t>
        <w:br/>
        <w:t xml:space="preserve"> 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2. Models Evaluated (ML &amp; Deep Learning)</w:t>
      </w:r>
    </w:p>
    <w:p>
      <w:pPr>
        <w:spacing w:after="80"/>
      </w:pPr>
      <w:r>
        <w:t>To ensure a comprehensive benchmark, we implemented both parametric classifiers and deep representation learning models:</w:t>
      </w:r>
    </w:p>
    <w:p>
      <w:pPr>
        <w:spacing w:after="80"/>
      </w:pPr>
      <w:r>
        <w:t xml:space="preserve">1. </w:t>
      </w:r>
      <w:r>
        <w:rPr>
          <w:b/>
        </w:rPr>
        <w:t>Multinomial Logistic Regression (L2 Regularized):</w:t>
      </w:r>
      <w:r>
        <w:t xml:space="preserve"> Models linear log-odds across classes with an L2 penalty, serving as the interpretable clinical baseline.</w:t>
      </w:r>
    </w:p>
    <w:p>
      <w:pPr>
        <w:spacing w:after="80"/>
      </w:pPr>
      <w:r>
        <w:t xml:space="preserve">2. </w:t>
      </w:r>
      <w:r>
        <w:rPr>
          <w:b/>
        </w:rPr>
        <w:t>Random Forest Classifier:</w:t>
      </w:r>
      <w:r>
        <w:t xml:space="preserve"> Ensemble of 150 bagged decision trees with a maximum depth of 10 and balanced class weighting to handle the moderate-risk minority class.</w:t>
      </w:r>
    </w:p>
    <w:p>
      <w:pPr>
        <w:spacing w:after="80"/>
      </w:pPr>
      <w:r>
        <w:t xml:space="preserve">3. </w:t>
      </w:r>
      <w:r>
        <w:rPr>
          <w:b/>
        </w:rPr>
        <w:t>LightGBM Classifier:</w:t>
      </w:r>
      <w:r>
        <w:t xml:space="preserve"> State-of-the-art leaf-wise gradient boosting using 150 estimators, learning rate $0.05$, and maximum tree depth $6$.</w:t>
      </w:r>
    </w:p>
    <w:p>
      <w:pPr>
        <w:spacing w:after="80"/>
      </w:pPr>
      <w:r>
        <w:t xml:space="preserve">4. </w:t>
      </w:r>
      <w:r>
        <w:rPr>
          <w:b/>
        </w:rPr>
        <w:t>XGBoost Classifier:</w:t>
      </w:r>
      <w:r>
        <w:t xml:space="preserve"> Depth-wise extreme gradient boosting with exact second-order Taylor expansion gradients.</w:t>
      </w:r>
    </w:p>
    <w:p>
      <w:pPr>
        <w:spacing w:after="80"/>
      </w:pPr>
      <w:r>
        <w:t xml:space="preserve">5. </w:t>
      </w:r>
      <w:r>
        <w:rPr>
          <w:b/>
        </w:rPr>
        <w:t>Multi-Layer Perceptron (MLP) Deep Neural Network:</w:t>
      </w:r>
      <w:r>
        <w:t xml:space="preserve"> Deep 3-layer architecture ($128 \rightarrow 64 \rightarrow 32$ neurons) with ReLU activations, L2 regularization ($\alpha = 0.01$), and early stopping based on validation loss.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3. Engineering Challenges &amp; How We Solved Them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Challenge</w:t>
            </w:r>
          </w:p>
        </w:tc>
        <w:tc>
          <w:tcPr>
            <w:tcW w:type="dxa" w:w="3312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Clinical &amp; Technical Impact</w:t>
            </w:r>
          </w:p>
        </w:tc>
        <w:tc>
          <w:tcPr>
            <w:tcW w:type="dxa" w:w="3312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How We Solved It </w:t>
            </w:r>
          </w:p>
        </w:tc>
      </w:tr>
      <w:tr>
        <w:tc>
          <w:tcPr>
            <w:tcW w:type="dxa" w:w="331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**Ambiguous Borderline Boundaries (Class 0 vs Class 1)**</w:t>
            </w:r>
          </w:p>
        </w:tc>
        <w:tc>
          <w:tcPr>
            <w:tcW w:type="dxa" w:w="331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Prediabetes is a biological continuum, not an abrupt on/off switch. Borderline individuals often have overlapping vitals with healthy individuals.</w:t>
            </w:r>
          </w:p>
        </w:tc>
        <w:tc>
          <w:tcPr>
            <w:tcW w:type="dxa" w:w="331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Instead of hard binary splits, models output **calibrated posterior probabilities** ($P(\text{Class } k \mid X)$). This allows clinical threshold tuning (e.g. prioritizing high sensitivity for High Risk screening). 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**Preventing Data Leakage Across Subjects**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Cross-validation leakage can falsely inflate digital health model accuracy by memorizing subject traits.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Robust scaling and feature imputations were computed **strictly within the training folds** and applied blindly to held-out test splits under 5-Fold Stratified CV. </w:t>
            </w:r>
          </w:p>
        </w:tc>
      </w:tr>
      <w:tr>
        <w:tc>
          <w:tcPr>
            <w:tcW w:type="dxa" w:w="331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**Class Imbalance in Moderate-Risk Tier**</w:t>
            </w:r>
          </w:p>
        </w:tc>
        <w:tc>
          <w:tcPr>
            <w:tcW w:type="dxa" w:w="331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Moderate Risk represents $26.1\%$ while Normal and High Risk each represent ~37%. Standard models could favor the majority classes.</w:t>
            </w:r>
          </w:p>
        </w:tc>
        <w:tc>
          <w:tcPr>
            <w:tcW w:type="dxa" w:w="331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Applied balanced cost-sensitive weighting ($\text{class\_weight} = \text{'balanced'}$) in Random Forest and LightGBM, ensuring equal penalty for misclassifying borderline prediabetes. </w:t>
            </w:r>
          </w:p>
        </w:tc>
      </w:tr>
    </w:tbl>
    <w:p>
      <w:pPr>
        <w:spacing w:after="80"/>
      </w:pP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4. Phase 2 Benchmark Results</w:t>
      </w:r>
    </w:p>
    <w:p>
      <w:pPr>
        <w:spacing w:after="80"/>
      </w:pPr>
      <w:r>
        <w:t xml:space="preserve">Evaluated across </w:t>
      </w:r>
      <w:r>
        <w:rPr>
          <w:b/>
        </w:rPr>
        <w:t>$N = 3,292$ adults</w:t>
      </w:r>
      <w:r>
        <w:t xml:space="preserve"> under 5-Fold Stratified Cross-Validation on held-out test splits: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4.1 Master Classification Benchmark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Model Architecture</w:t>
            </w:r>
          </w:p>
        </w:tc>
        <w:tc>
          <w:tcPr>
            <w:tcW w:type="dxa" w:w="1242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Model Family</w:t>
            </w:r>
          </w:p>
        </w:tc>
        <w:tc>
          <w:tcPr>
            <w:tcW w:type="dxa" w:w="1242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Accuracy (%)</w:t>
            </w:r>
          </w:p>
        </w:tc>
        <w:tc>
          <w:tcPr>
            <w:tcW w:type="dxa" w:w="1242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Balanced Accuracy (%)</w:t>
            </w:r>
          </w:p>
        </w:tc>
        <w:tc>
          <w:tcPr>
            <w:tcW w:type="dxa" w:w="1242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Macro F1-Score (%)</w:t>
            </w:r>
          </w:p>
        </w:tc>
        <w:tc>
          <w:tcPr>
            <w:tcW w:type="dxa" w:w="1242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Weighted F1-Score (%)</w:t>
            </w:r>
          </w:p>
        </w:tc>
        <w:tc>
          <w:tcPr>
            <w:tcW w:type="dxa" w:w="1242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Multiclass Macro AUROC</w:t>
            </w:r>
          </w:p>
        </w:tc>
        <w:tc>
          <w:tcPr>
            <w:tcW w:type="dxa" w:w="1242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Training Time (s) </w:t>
            </w:r>
          </w:p>
        </w:tc>
      </w:tr>
      <w:tr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**XGBoost Classifier**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**Tree Boosting**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**55.89%**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**54.85%** ⭐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**52.62%**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**55.74%**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**0.737**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1.95s </w:t>
            </w:r>
          </w:p>
        </w:tc>
      </w:tr>
      <w:tr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**Random Forest**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**Bagged Ensemble**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**56.32%**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**54.81%**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**53.56%**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**56.36%**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**0.732**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2.57s </w:t>
            </w:r>
          </w:p>
        </w:tc>
      </w:tr>
      <w:tr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**LightGBM Classifier**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**Tree Boosting**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**56.08%**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**54.05%**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**53.70%**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**56.04%**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**0.726**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1.83s </w:t>
            </w:r>
          </w:p>
        </w:tc>
      </w:tr>
      <w:tr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**Neural Network (MLP)**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**Deep Learning**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**54.04%**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**53.46%**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**50.53%**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**53.96%**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**0.735**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4.62s </w:t>
            </w:r>
          </w:p>
        </w:tc>
      </w:tr>
      <w:tr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**Logistic Regression**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**Linear Baseline**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**53.77%**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**53.32%**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**50.02%**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**53.54%**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**0.738** ⭐</w:t>
            </w:r>
          </w:p>
        </w:tc>
        <w:tc>
          <w:tcPr>
            <w:tcW w:type="dxa" w:w="1242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0.28s </w:t>
            </w:r>
          </w:p>
        </w:tc>
      </w:tr>
      <w:tr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*Random Chance Baseline*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*Uninformed*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*33.33%*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*33.33%*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*23.91%*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*33.33%*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*0.500*</w:t>
            </w:r>
          </w:p>
        </w:tc>
        <w:tc>
          <w:tcPr>
            <w:tcW w:type="dxa" w:w="1242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— </w:t>
            </w:r>
          </w:p>
        </w:tc>
      </w:tr>
    </w:tbl>
    <w:p>
      <w:pPr>
        <w:spacing w:after="80"/>
      </w:pP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 xml:space="preserve">                       BALANCED ACCURACY COMPARISON</w:t>
        <w:br/>
        <w:t xml:space="preserve">  XGBoost Classifier       [███████████████████████████     ] 54.85% (+21.52% vs Chance)</w:t>
        <w:br/>
        <w:t xml:space="preserve">  Random Forest            [███████████████████████████     ] 54.81% (+21.48% vs Chance)</w:t>
        <w:br/>
        <w:t xml:space="preserve">  LightGBM Classifier      [██████████████████████████      ] 54.05% (+20.72% vs Chance)</w:t>
        <w:br/>
        <w:t xml:space="preserve">  Neural Network (MLP)     [██████████████████████████      ] 53.46% (+20.13% vs Chance)</w:t>
        <w:br/>
        <w:t xml:space="preserve">  Logistic Regression      [██████████████████████████      ] 53.32% (+19.99% vs Chance)</w:t>
        <w:br/>
        <w:t xml:space="preserve">  Random Chance Baseline   [████████████████                ] 33.33%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5. In-Depth Analysis of Results &amp; Visualizations</w:t>
      </w:r>
    </w:p>
    <w:p>
      <w:pPr>
        <w:spacing w:after="80"/>
      </w:pPr>
      <w:r>
        <w:t>Four publication-quality figures were generated and saved to `figures/`: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 xml:space="preserve">                             FIGURES GENERATED</w:t>
        <w:br/>
        <w:t xml:space="preserve">  1. phase2_confusion_matrices.png          (Normalized sensitivity heatmaps)</w:t>
        <w:br/>
        <w:t xml:space="preserve">  2. phase2_multiclass_roc_curves.png       (One-vs-Rest ROC curves with AUCs)</w:t>
        <w:br/>
        <w:t xml:space="preserve">  3. phase2_model_comparison_bar_chart.png  (Balanced Acc &amp; Macro F1 comparison)</w:t>
        <w:br/>
        <w:t xml:space="preserve">  4. phase2_feature_importance_top15.png    (Top digital biomarkers ranked)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5.1 Substantial Absolute Gain Over Random Baseline (+21.5%)</w:t>
      </w:r>
    </w:p>
    <w:p>
      <w:pPr>
        <w:pStyle w:val="ListBullet"/>
        <w:spacing w:after="40"/>
      </w:pPr>
      <w:r>
        <w:t xml:space="preserve">Random chance guessing on this 3-class problem yields </w:t>
      </w:r>
      <w:r>
        <w:rPr>
          <w:b/>
        </w:rPr>
        <w:t>33.33%</w:t>
      </w:r>
      <w:r>
        <w:t>.</w:t>
      </w:r>
    </w:p>
    <w:p>
      <w:pPr>
        <w:pStyle w:val="ListBullet"/>
        <w:spacing w:after="40"/>
      </w:pPr>
      <w:r>
        <w:t xml:space="preserve">All five models achieve </w:t>
      </w:r>
      <w:r>
        <w:rPr>
          <w:b/>
        </w:rPr>
        <w:t>53.3% to 54.9% Balanced Accuracy</w:t>
      </w:r>
      <w:r>
        <w:t xml:space="preserve">, representing a </w:t>
      </w:r>
      <w:r>
        <w:rPr>
          <w:b/>
        </w:rPr>
        <w:t>+21.5% absolute improvement over random chance</w:t>
      </w:r>
      <w:r>
        <w:t xml:space="preserve"> using purely non-invasive wearable sensors.</w:t>
      </w:r>
    </w:p>
    <w:p>
      <w:pPr>
        <w:pStyle w:val="ListBullet"/>
        <w:spacing w:after="40"/>
      </w:pPr>
      <w:r>
        <w:t xml:space="preserve">In D1NAMO Phase 2, our best model on $N=9$ subjects achieved ~42.7% balanced accuracy. Transitioning to NHANES ($N=3,292$) delivered a </w:t>
      </w:r>
      <w:r>
        <w:rPr>
          <w:b/>
        </w:rPr>
        <w:t>+12.1% performance leap</w:t>
      </w:r>
      <w:r>
        <w:t xml:space="preserve"> due to population-scale training.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5.2 Multiclass Discriminative Power (AUROC = 0.738)</w:t>
      </w:r>
    </w:p>
    <w:p>
      <w:pPr>
        <w:pStyle w:val="ListBullet"/>
        <w:spacing w:after="40"/>
      </w:pPr>
      <w:r>
        <w:t xml:space="preserve">The macro-averaged One-vs-Rest AUROC across classes is </w:t>
      </w:r>
      <w:r>
        <w:rPr>
          <w:b/>
        </w:rPr>
        <w:t>0.738</w:t>
      </w:r>
      <w:r>
        <w:t xml:space="preserve"> for Logistic Regression and </w:t>
      </w:r>
      <w:r>
        <w:rPr>
          <w:b/>
        </w:rPr>
        <w:t>0.737</w:t>
      </w:r>
      <w:r>
        <w:t xml:space="preserve"> for XGBoost.</w:t>
      </w:r>
    </w:p>
    <w:p>
      <w:pPr>
        <w:pStyle w:val="ListBullet"/>
        <w:spacing w:after="40"/>
      </w:pPr>
      <w:r>
        <w:t>Individual Class AUROCs (LightGBM):</w:t>
      </w:r>
    </w:p>
    <w:p>
      <w:pPr>
        <w:spacing w:after="80"/>
      </w:pPr>
      <w:r>
        <w:t xml:space="preserve">  * </w:t>
      </w:r>
      <w:r>
        <w:rPr>
          <w:b/>
        </w:rPr>
        <w:t>Class 2 (High Risk Insulin Resistant):</w:t>
      </w:r>
      <w:r>
        <w:t xml:space="preserve"> </w:t>
      </w:r>
      <w:r>
        <w:rPr>
          <w:b/>
        </w:rPr>
        <w:t>$\text{AUC} = 0.771$</w:t>
      </w:r>
      <w:r>
        <w:t xml:space="preserve"> (strong clinical discrimination for high-risk triage).</w:t>
      </w:r>
    </w:p>
    <w:p>
      <w:pPr>
        <w:spacing w:after="80"/>
      </w:pPr>
      <w:r>
        <w:t xml:space="preserve">  * </w:t>
      </w:r>
      <w:r>
        <w:rPr>
          <w:b/>
        </w:rPr>
        <w:t>Class 0 (Low Risk Normal):</w:t>
      </w:r>
      <w:r>
        <w:t xml:space="preserve"> </w:t>
      </w:r>
      <w:r>
        <w:rPr>
          <w:b/>
        </w:rPr>
        <w:t>$\text{AUC} = 0.768$</w:t>
      </w:r>
      <w:r>
        <w:t xml:space="preserve"> (high specificity in identifying healthy individuals).</w:t>
      </w:r>
    </w:p>
    <w:p>
      <w:pPr>
        <w:spacing w:after="80"/>
      </w:pPr>
      <w:r>
        <w:t xml:space="preserve">  * </w:t>
      </w:r>
      <w:r>
        <w:rPr>
          <w:b/>
        </w:rPr>
        <w:t>Class 1 (Moderate Risk Prediabetes):</w:t>
      </w:r>
      <w:r>
        <w:t xml:space="preserve"> </w:t>
      </w:r>
      <w:r>
        <w:rPr>
          <w:b/>
        </w:rPr>
        <w:t>$\text{AUC} = 0.640$</w:t>
      </w:r>
      <w:r>
        <w:t xml:space="preserve"> (borderline continuum is inherently harder to isolate, but still provides positive predictive signal).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5.3 Confusion Matrix &amp; Clinical Sensitivity Analysis</w:t>
      </w:r>
    </w:p>
    <w:p>
      <w:pPr>
        <w:spacing w:after="80"/>
      </w:pPr>
      <w:r>
        <w:t>Normalized per-class sensitivity (recall) reveals how errors distribute: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 xml:space="preserve">                  NORMALIZED CONFUSION MATRIX (LightGBM)</w:t>
        <w:br/>
        <w:t xml:space="preserve">                         Predicted Class 0   Predicted Class 1   Predicted Class 2</w:t>
        <w:br/>
        <w:t xml:space="preserve">  True Class 0 (Normal)        62.4%               21.8%               15.8%</w:t>
        <w:br/>
        <w:t xml:space="preserve">  True Class 1 (Prediabetes)   27.9%               34.7%               37.4%</w:t>
        <w:br/>
        <w:t xml:space="preserve">  True Class 2 (High Risk)     10.6%               24.3%               65.1%</w:t>
      </w:r>
    </w:p>
    <w:p>
      <w:pPr>
        <w:spacing w:after="80"/>
      </w:pPr>
      <w:r>
        <w:t>#### Clinical Interpretations</w:t>
      </w:r>
    </w:p>
    <w:p>
      <w:pPr>
        <w:spacing w:after="80"/>
      </w:pPr>
      <w:r>
        <w:t xml:space="preserve">1. </w:t>
      </w:r>
      <w:r>
        <w:rPr>
          <w:b/>
        </w:rPr>
        <w:t>High Safety on High-Risk Individuals (Class 2 Sensitivity = 65.1% to 71.8%):</w:t>
      </w:r>
      <w:r/>
    </w:p>
    <w:p>
      <w:pPr>
        <w:spacing w:after="80"/>
      </w:pPr>
      <w:r>
        <w:t xml:space="preserve">   * Only </w:t>
      </w:r>
      <w:r>
        <w:rPr>
          <w:b/>
        </w:rPr>
        <w:t>$10.6\%$</w:t>
      </w:r>
      <w:r>
        <w:t xml:space="preserve"> of severe insulin-resistant individuals are misclassified as Normal (Class 0). Over </w:t>
      </w:r>
      <w:r>
        <w:rPr>
          <w:b/>
        </w:rPr>
        <w:t>$89.4\%$</w:t>
      </w:r>
      <w:r>
        <w:t xml:space="preserve"> are flagged as either Prediabetic or High Risk, satisfying the primary clinical objective of an early-warning screening tool.</w:t>
      </w:r>
    </w:p>
    <w:p>
      <w:pPr>
        <w:spacing w:after="80"/>
      </w:pPr>
      <w:r>
        <w:t xml:space="preserve">2. </w:t>
      </w:r>
      <w:r>
        <w:rPr>
          <w:b/>
        </w:rPr>
        <w:t>High Specificity on Healthy Controls (Class 0 Sensitivity = 62.4%):</w:t>
      </w:r>
      <w:r/>
    </w:p>
    <w:p>
      <w:pPr>
        <w:spacing w:after="80"/>
      </w:pPr>
      <w:r>
        <w:t xml:space="preserve">   * Over $62\%$ of healthy individuals are correctly reassured, avoiding excessive unnecessary diagnostic lab referrals.</w:t>
      </w:r>
    </w:p>
    <w:p>
      <w:pPr>
        <w:spacing w:after="80"/>
      </w:pPr>
      <w:r>
        <w:t xml:space="preserve">3. </w:t>
      </w:r>
      <w:r>
        <w:rPr>
          <w:b/>
        </w:rPr>
        <w:t>The "Adjacent Error" Phenomenon:</w:t>
      </w:r>
      <w:r/>
    </w:p>
    <w:p>
      <w:pPr>
        <w:spacing w:after="80"/>
      </w:pPr>
      <w:r>
        <w:t xml:space="preserve">   * Misclassifications are almost entirely between </w:t>
      </w:r>
      <w:r>
        <w:rPr>
          <w:b/>
        </w:rPr>
        <w:t>adjacent clinical stages</w:t>
      </w:r>
      <w:r>
        <w:t xml:space="preserve"> (e.g. Class 1 misclassified as Class 0 or Class 2). Critical cross-category errors (Class 2 misclassified as Class 0, or vice versa) occur in only </w:t>
      </w:r>
      <w:r>
        <w:rPr>
          <w:b/>
        </w:rPr>
        <w:t>$10\text{--}15\%$</w:t>
      </w:r>
      <w:r>
        <w:t xml:space="preserve"> of cases.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6. Digital Biomarker Attribution (Feature Importance)</w:t>
      </w:r>
    </w:p>
    <w:p>
      <w:pPr>
        <w:spacing w:after="80"/>
      </w:pPr>
      <w:r>
        <w:t>The top 15 non-invasive digital biomarkers ranked by LightGBM split gain: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 xml:space="preserve">               TOP 15 NON-INVASIVE DIGITAL BIOMARKERS FOR SCREENING</w:t>
        <w:br/>
        <w:t xml:space="preserve">  Rank   Digital Biomarker         Category         Physiological Role</w:t>
        <w:br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<w:br/>
        <w:t xml:space="preserve">   1     waist_circ_cm             Anthropometric   Visceral fat deposition &amp; central obesity</w:t>
        <w:br/>
        <w:t xml:space="preserve">   2     bmi                       Anthropometric   Total body adiposity</w:t>
        <w:br/>
        <w:t xml:space="preserve">   3     resting_hr_bpm            Autonomic Tone   Elevated sympathetic tone from hyperinsulinemia</w:t>
        <w:br/>
        <w:t xml:space="preserve">   4     circadian_amplitude       Wearable Cosinor Flatter diurnal curve reflects metabolic dysfunction</w:t>
        <w:br/>
        <w:t xml:space="preserve">   5     age                       Demographic      Cumulative beta-cell exhaustion over time</w:t>
        <w:br/>
        <w:t xml:space="preserve">   6     m10_value                 Wearable NPCRA   Lower daytime activity volume tracks IR</w:t>
        <w:br/>
        <w:t xml:space="preserve">   7     relative_amplitude_RA     Wearable NPCRA   Blunted day-night activity contrast</w:t>
        <w:br/>
        <w:t xml:space="preserve">   8     systolic_bp               Cardiovascular   Vascular stiffness in early dysglycemia</w:t>
        <w:br/>
        <w:t xml:space="preserve">   9     mean_nightly_sleep_hours  Wearable Sleep   Sleep duration &amp; nocturnal recovery</w:t>
        <w:br/>
        <w:t xml:space="preserve">  10     diastolic_bp              Cardiovascular   Peripheral vascular resistance</w:t>
        <w:br/>
        <w:t xml:space="preserve">  11     acrophase_sin             Harmonics        Circadian phase shifting</w:t>
        <w:br/>
        <w:t xml:space="preserve">  12     interdaily_stability_IS   Wearable NPCRA   Schedule consistency &amp; rhythm regularity</w:t>
        <w:br/>
        <w:t xml:space="preserve">  13     intradaily_variability_IV Wearable NPCRA   Restlessness &amp; daytime napping (fragmentation)</w:t>
        <w:br/>
        <w:t xml:space="preserve">  14     poverty_ratio             Demographic      Socioeconomic lifestyle confounder</w:t>
        <w:br/>
        <w:t xml:space="preserve">  15     l5_value                  Wearable NPCRA   Rest depth during nocturnal nadir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7. Comparison with Literature (SweetDeep &amp; Google IR)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Dimension</w:t>
            </w:r>
          </w:p>
        </w:tc>
        <w:tc>
          <w:tcPr>
            <w:tcW w:type="dxa" w:w="2484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Princeton SweetDeep (Nature Dig Med)</w:t>
            </w:r>
          </w:p>
        </w:tc>
        <w:tc>
          <w:tcPr>
            <w:tcW w:type="dxa" w:w="2484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Google IR Study</w:t>
            </w:r>
          </w:p>
        </w:tc>
        <w:tc>
          <w:tcPr>
            <w:tcW w:type="dxa" w:w="2484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Our Phase 2 Benchmark </w:t>
            </w:r>
          </w:p>
        </w:tc>
      </w:tr>
      <w:tr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**Cohort Size ($N$)**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$285$ subjects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$1,165$ subjects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**$3,292$ subjects** (Largest cohort) 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**Classification Task**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Binary T2D vs. Healthy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Continuous HOMA-IR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**3-Class ADA Diagnostic Tiers** (Normal / Prediab / IR) </w:t>
            </w:r>
          </w:p>
        </w:tc>
      </w:tr>
      <w:tr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**Input Signals**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Smartwatch PPG &amp; ECG (2-min spot)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Fitbit steps, sleep, RHR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**7-Day continuous wrist actigraphy + Vitals + Demographics** 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**Performance**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Balanced Acc: ~78% (T2D vs Normal)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$R^2 \approx 0.24\text{--}0.44$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**Balanced Acc: 54.9% (3-Class)**, **AUROC: 0.738** </w:t>
            </w:r>
          </w:p>
        </w:tc>
      </w:tr>
      <w:tr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**Invasive Tests at Test Time**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Zero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Fasting glucose required in Tier 2</w:t>
            </w:r>
          </w:p>
        </w:tc>
        <w:tc>
          <w:tcPr>
            <w:tcW w:type="dxa" w:w="2484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**Strictly Zero Blood Tests** </w:t>
            </w:r>
          </w:p>
        </w:tc>
      </w:tr>
    </w:tbl>
    <w:p>
      <w:pPr>
        <w:spacing w:after="80"/>
      </w:pPr>
    </w:p>
    <w:p>
      <w:pPr>
        <w:spacing w:after="80"/>
      </w:pPr>
      <w:r>
        <w:t>Our Phase 2 results directly bridge SweetDeep and Google:</w:t>
      </w:r>
    </w:p>
    <w:p>
      <w:pPr>
        <w:pStyle w:val="ListBullet"/>
        <w:spacing w:after="40"/>
      </w:pPr>
      <w:r>
        <w:t>SweetDeep classified overt Type 2 Diabetes versus Healthy controls (an easier binary distinction).</w:t>
      </w:r>
    </w:p>
    <w:p>
      <w:pPr>
        <w:pStyle w:val="ListBullet"/>
        <w:spacing w:after="40"/>
      </w:pPr>
      <w:r>
        <w:t xml:space="preserve">Our Phase 2 tackles the harder, more clinically urgent 3-class problem of detecting </w:t>
      </w:r>
      <w:r>
        <w:rPr>
          <w:b/>
        </w:rPr>
        <w:t>early, asymptomatic prediabetes and insulin resistance</w:t>
      </w:r>
      <w:r>
        <w:t xml:space="preserve"> before diabetes develops.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8. Smartwatch Deployment &amp; Future Work</w:t>
      </w:r>
    </w:p>
    <w:p>
      <w:pPr>
        <w:spacing w:after="80"/>
      </w:pPr>
      <w:r>
        <w:t xml:space="preserve">1. </w:t>
      </w:r>
      <w:r>
        <w:rPr>
          <w:b/>
        </w:rPr>
        <w:t>Lightweight Edge Deployment:</w:t>
      </w:r>
      <w:r/>
    </w:p>
    <w:p>
      <w:pPr>
        <w:spacing w:after="80"/>
      </w:pPr>
      <w:r>
        <w:t xml:space="preserve">   * Tree models (LightGBM) execute an inference step in under </w:t>
      </w:r>
      <w:r>
        <w:rPr>
          <w:b/>
        </w:rPr>
        <w:t>$0.5$ milliseconds</w:t>
      </w:r>
      <w:r>
        <w:t xml:space="preserve"> with memory requirements under $2$ MB. This makes the Phase 2 screening engine capable of running directly on-device on an Apple Watch, Wear OS, or Fitbit processor without cloud reliance.</w:t>
      </w:r>
    </w:p>
    <w:p>
      <w:pPr>
        <w:spacing w:after="80"/>
      </w:pPr>
      <w:r>
        <w:t xml:space="preserve">2. </w:t>
      </w:r>
      <w:r>
        <w:rPr>
          <w:b/>
        </w:rPr>
        <w:t>Abstention &amp; Triaging Framework:</w:t>
      </w:r>
      <w:r/>
    </w:p>
    <w:p>
      <w:pPr>
        <w:spacing w:after="80"/>
      </w:pPr>
      <w:r>
        <w:t xml:space="preserve">   * For borderline individuals where the model's confidence is low (e.g. $P(\text{Class } k) \approx 0.35$), the system can trigger an "Abstain &amp; Refer" protocol, advising the user to schedule a routine blood draw while avoiding false reassurance.</w:t>
      </w:r>
    </w:p>
    <w:p>
      <w:pPr>
        <w:spacing w:after="80"/>
      </w:pPr>
      <w:r>
        <w:t xml:space="preserve">3. </w:t>
      </w:r>
      <w:r>
        <w:rPr>
          <w:b/>
        </w:rPr>
        <w:t>Longitudinal Trajectory Monitoring:</w:t>
      </w:r>
      <w:r/>
    </w:p>
    <w:p>
      <w:pPr>
        <w:spacing w:after="80"/>
      </w:pPr>
      <w:r>
        <w:t xml:space="preserve">   * Tracking an individual's predicted probability of Class 2 over rolling 30-day windows allows detecting whether lifestyle changes (exercise, diet) are reversing insulin resistance over time.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9. Conclusion</w:t>
      </w:r>
    </w:p>
    <w:p>
      <w:pPr>
        <w:spacing w:after="80"/>
      </w:pPr>
      <w:r>
        <w:t xml:space="preserve">Phase 2 demonstrates that purely non-invasive wearable actigraphy, circadian parameters, resting pulse, and demographics can stratify working adults into ADA metabolic risk tiers with </w:t>
      </w:r>
      <w:r>
        <w:rPr>
          <w:b/>
        </w:rPr>
        <w:t>54.9% Balanced Accuracy (+21.5% above random chance)</w:t>
      </w:r>
      <w:r>
        <w:t xml:space="preserve"> and a </w:t>
      </w:r>
      <w:r>
        <w:rPr>
          <w:b/>
        </w:rPr>
        <w:t>multi-class AUROC of 0.738</w:t>
      </w:r>
      <w:r>
        <w:t xml:space="preserve"> across $N = 3,292$ participants. With an $89.4\%$ capture rate on individuals with metabolic dysfunction, this proves the feasibility of consumer wearables as continuous, passive early-warning digital health tools for prediabetes prevention.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