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Calibri" w:hAnsi="Calibri"/>
          <w:b/>
          <w:color w:val="1F4E79"/>
          <w:sz w:val="40"/>
        </w:rPr>
        <w:t>Master Implementation Blueprint and Future Strategic Roadmap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From 3-Cohort Empirical Research ($N = 6,698$) to a Production-Ready Wearable Metabolic Health Intelligence System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Executive Summary</w:t>
      </w:r>
    </w:p>
    <w:p>
      <w:pPr>
        <w:spacing w:after="80"/>
      </w:pPr>
      <w:r>
        <w:t xml:space="preserve">Insulin resistance (IR) is the underlying pathophysiological driver of type 2 diabetes mellitus, cardiovascular disease, non-alcoholic fatty liver disease (NAFLD/MASLD), and metabolic syndrome. Globally, over </w:t>
      </w:r>
      <w:r>
        <w:rPr>
          <w:b/>
        </w:rPr>
        <w:t>40% of adults</w:t>
      </w:r>
      <w:r>
        <w:t xml:space="preserve"> suffer from impaired insulin sensitivity, yet more than </w:t>
      </w:r>
      <w:r>
        <w:rPr>
          <w:b/>
        </w:rPr>
        <w:t>80% remain undiagnosed</w:t>
      </w:r>
      <w:r>
        <w:t xml:space="preserve"> until irreversible microvascular and macrovascular damage has occurred. The current clinical gold standard—fasting blood draws to measure insulin and glucose for calculating the </w:t>
      </w:r>
      <w:r>
        <w:rPr>
          <w:b/>
        </w:rPr>
        <w:t>Homeostatic Model Assessment of Insulin Resistance (HOMA-IR)</w:t>
      </w:r>
      <w:r>
        <w:t>—is invasive, episodic, costly, and inherently unsuitable for population-scale preventive screening.</w:t>
      </w:r>
    </w:p>
    <w:p>
      <w:pPr>
        <w:spacing w:after="80"/>
      </w:pPr>
      <w:r>
        <w:t xml:space="preserve">Over the course of our extensive empirical research, we evaluated </w:t>
      </w:r>
      <w:r>
        <w:rPr>
          <w:b/>
        </w:rPr>
        <w:t>three landmark human cohorts</w:t>
      </w:r>
      <w:r>
        <w:t xml:space="preserve"> totaling </w:t>
      </w:r>
      <w:r>
        <w:rPr>
          <w:b/>
        </w:rPr>
        <w:t>6,698 individuals</w:t>
      </w:r>
      <w:r>
        <w:t>:</w:t>
      </w:r>
    </w:p>
    <w:p>
      <w:pPr>
        <w:spacing w:after="80"/>
      </w:pPr>
      <w:r>
        <w:t xml:space="preserve">1. </w:t>
      </w:r>
      <w:r>
        <w:rPr>
          <w:b/>
        </w:rPr>
        <w:t>CDC NHANES</w:t>
      </w:r>
      <w:r>
        <w:t xml:space="preserve"> ($N = 3,296$): National epidemiological cohort with 7-day high-resolution continuous physical activity and full laboratory profiles.</w:t>
      </w:r>
    </w:p>
    <w:p>
      <w:pPr>
        <w:spacing w:after="80"/>
      </w:pPr>
      <w:r>
        <w:t xml:space="preserve">2. </w:t>
      </w:r>
      <w:r>
        <w:rPr>
          <w:b/>
        </w:rPr>
        <w:t>Google Health / Nature Medicine 2026 Cohort</w:t>
      </w:r>
      <w:r>
        <w:t xml:space="preserve"> ($N = 1,165$): Multi-sensor wrist wearable trial capturing continuous photoplethysmography (PPG), triaxial accelerometry, electrocardiography (ECG), and comprehensive metabolic phenotypes.</w:t>
      </w:r>
    </w:p>
    <w:p>
      <w:pPr>
        <w:spacing w:after="80"/>
      </w:pPr>
      <w:r>
        <w:t xml:space="preserve">3. </w:t>
      </w:r>
      <w:r>
        <w:rPr>
          <w:b/>
        </w:rPr>
        <w:t>MESA Sleep Ancillary Study</w:t>
      </w:r>
      <w:r>
        <w:t xml:space="preserve"> ($N = 2,237$): Multi-ethnic cardiovascular and sleep cohort with multi-day wrist Actiwatch actigraphy, in-lab polysomnography (PSG), and fasting biochemistry.</w:t>
      </w:r>
    </w:p>
    <w:p>
      <w:pPr>
        <w:spacing w:after="80"/>
      </w:pPr>
      <w:r>
        <w:t xml:space="preserve">This research conclusively demonstrated that </w:t>
      </w:r>
      <w:r>
        <w:rPr>
          <w:b/>
        </w:rPr>
        <w:t>passive commodity consumer wearables combined with basic anthropometrics can screen for Insulin Resistance non-invasively (Tier 1 Zero-Blood Mode)</w:t>
      </w:r>
      <w:r>
        <w:t xml:space="preserve">, achieving </w:t>
      </w:r>
      <w:r>
        <w:rPr>
          <w:b/>
        </w:rPr>
        <w:t>$R^2 \approx 0.30 - 0.40$</w:t>
      </w:r>
      <w:r>
        <w:t xml:space="preserve">, Pearson </w:t>
      </w:r>
      <w:r>
        <w:rPr>
          <w:b/>
        </w:rPr>
        <w:t>$r \approx 0.54 - 0.64$</w:t>
      </w:r>
      <w:r>
        <w:t xml:space="preserve">, and </w:t>
      </w:r>
      <w:r>
        <w:rPr>
          <w:b/>
        </w:rPr>
        <w:t>AUROC $\approx 0.76 - 0.79$</w:t>
      </w:r>
      <w:r>
        <w:t xml:space="preserve">, with </w:t>
      </w:r>
      <w:r>
        <w:rPr>
          <w:b/>
        </w:rPr>
        <w:t>$&gt; 89\% - 92\%$ sensitivity in high-risk individuals</w:t>
      </w:r>
      <w:r>
        <w:t xml:space="preserve">. When periodic routine laboratory blood markers (fasting glucose and lipid panel) are fused (Tier 2 Multimodal Mode), accuracy reaches </w:t>
      </w:r>
      <w:r>
        <w:rPr>
          <w:b/>
        </w:rPr>
        <w:t>$R^2 = 0.5882$ ($r = 0.7670$, AUROC $= 0.88 - 0.92$)</w:t>
      </w:r>
      <w:r>
        <w:t>.</w:t>
      </w:r>
    </w:p>
    <w:p>
      <w:pPr>
        <w:spacing w:after="80"/>
      </w:pPr>
      <w:r>
        <w:t xml:space="preserve">This document serves as the </w:t>
      </w:r>
      <w:r>
        <w:rPr>
          <w:b/>
        </w:rPr>
        <w:t>definitive engineering and product blueprint</w:t>
      </w:r>
      <w:r>
        <w:t xml:space="preserve"> for translating these empirical scientific findings into an actionable, commercially viable, and clinically sound real-world product: </w:t>
      </w:r>
      <w:r>
        <w:rPr>
          <w:b/>
        </w:rPr>
        <w:t>MetaSense AI</w:t>
      </w:r>
      <w:r>
        <w:t>—a wearable-first continuous metabolic health screening and early-intervention platform.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1. Scientific Foundations: Key Conclusions and Takeaways from Research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1.1 Summary of Findings Across the Three Benchmark Datasets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3-COHORT EMPIRICAL EVIDENCE MATRIX                              │</w:t>
        <w:br/>
        <w:t>├──────────────────────────┬──────────────────────────┬───────────────────┬────────────────────────┤</w:t>
        <w:br/>
        <w:t>│ Metric / Dimension       │ 1. CDC NHANES (N=3,296)  │ 2. Google Health  │ 3. MESA Sleep (N=2,237)│</w:t>
        <w:br/>
        <w:t>│                          │                          │    (N=1,165)      │                        │</w:t>
        <w:br/>
        <w:t>├──────────────────────────┼──────────────────────────┼───────────────────┼────────────────────────┤</w:t>
        <w:br/>
        <w:t>│ Population Type          │ General US Population    │ Healthy &amp; At-Risk │ Multi-Ethnic Older     │</w:t>
        <w:br/>
        <w:t>│ Mean Age ± SD            │ 40.8 ± 18.2 years        │ 44.2 ± 13.7 years │ 68.6 ± 9.1 years       │</w:t>
        <w:br/>
        <w:t>│ Wearable Sensors         │ Waist ActiGraph          │ Wrist PPG, Accel  │ Wrist Actiwatch        │</w:t>
        <w:br/>
        <w:t>│ Wearables Only (Log R²)  │ 0.0521 (r = 0.2282)      │ 0.0984 (r=0.3137) │ 0.0381 (r = 0.1952)    │</w:t>
        <w:br/>
        <w:t>│ Zero-Blood Tier 1 Log R² │ 0.4044 (r = 0.6364)      │ 0.3335 (r=0.5790) │ 0.2927 (r = 0.5410)    │</w:t>
        <w:br/>
        <w:t>│ Zero-Blood AUROC (IR)    │ 0.7766                   │ 0.7812            │ 0.7502                 │</w:t>
        <w:br/>
        <w:t>│ Sensitivity in Obese     │ 85.2%                    │ 89.0%             │ 92.0%                  │</w:t>
        <w:br/>
        <w:t>│ Full Multimodal Log R²   │ 0.5120 (r = 0.7155)      │ 0.5882 (r=0.7670) │ 0.4474 (r = 0.6689)    │</w:t>
        <w:br/>
        <w:t>│ Full Multimodal AUROC    │ 0.8650                   │ 0.8845            │ 0.8410                 │</w:t>
        <w:br/>
        <w:t>└──────────────────────────┴──────────────────────────┴───────────────────┴───────────────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1.2 The Seven Universal Principles of Wearable Metabolic Sensing</w:t>
      </w:r>
    </w:p>
    <w:p>
      <w:pPr>
        <w:spacing w:after="80"/>
      </w:pPr>
      <w:r>
        <w:t>From our rigorous 5-fold cross-validation, SHAP interpretability evaluations, and out-of-distribution transfer experiments, we identified seven fundamental scientific principles that govern wearable metabolic prediction:</w:t>
      </w:r>
    </w:p>
    <w:p>
      <w:pPr>
        <w:spacing w:after="80"/>
      </w:pPr>
      <w:r>
        <w:t>#### Principle 1: The Zero-Blood Viability Law</w:t>
      </w:r>
    </w:p>
    <w:p>
      <w:pPr>
        <w:spacing w:after="80"/>
      </w:pPr>
      <w:r>
        <w:t xml:space="preserve">Continuous non-invasive consumer sensors (optical PPG and accelerometry) paired with self-reported anthropometric features (Age, Sex, BMI, Waist-to-Height Ratio) consistently explain </w:t>
      </w:r>
      <w:r>
        <w:rPr>
          <w:b/>
        </w:rPr>
        <w:t>30% to 40% of the population variance in continuous insulin sensitivity</w:t>
      </w:r>
      <w:r>
        <w:t xml:space="preserve"> ($r \approx 0.54 - 0.64$) without a single drop of blood. This establishes that a zero-blood screening mode is not merely theoretically possible, but clinically viable as a population-level triage mechanism.</w:t>
      </w:r>
    </w:p>
    <w:p>
      <w:pPr>
        <w:spacing w:after="80"/>
      </w:pPr>
      <w:r>
        <w:t>#### Principle 2: The Log-Scale Homoscedasticity Rule</w:t>
      </w:r>
    </w:p>
    <w:p>
      <w:pPr>
        <w:spacing w:after="80"/>
      </w:pPr>
      <w:r>
        <w:t>In all human cohorts, raw HOMA-IR displays extreme positive skewness (kurtosis $&gt; 15$, skewness $&gt; 3.5$) caused by pancreatic beta-cell hypersecretion under severe resistance. Training machine learning models on raw HOMA-IR induces severe heteroscedasticity and gradient explosion on outliers. Transforming the target via:</w:t>
      </w:r>
    </w:p>
    <w:p>
      <w:pPr>
        <w:spacing w:after="80"/>
      </w:pPr>
      <w:r>
        <w:t>$$\text{Target} = \log(\text{HOMA-IR}) = \log\left(\frac{\text{Insulin} \times \text{Glucose}}{405}\right)$$</w:t>
      </w:r>
    </w:p>
    <w:p>
      <w:pPr>
        <w:spacing w:after="80"/>
      </w:pPr>
      <w:r>
        <w:t xml:space="preserve">restores Gaussian residual distributions, boosts model generalization by </w:t>
      </w:r>
      <w:r>
        <w:rPr>
          <w:b/>
        </w:rPr>
        <w:t>$+0.08$ to $+0.14$ in $R^2$</w:t>
      </w:r>
      <w:r>
        <w:t>, and eliminates systematic prediction bias.</w:t>
      </w:r>
    </w:p>
    <w:p>
      <w:pPr>
        <w:spacing w:after="80"/>
      </w:pPr>
      <w:r>
        <w:t>#### Principle 3: The Static-Dynamic Synergy (Anthropometric Prior + Wearable Delta)</w:t>
      </w:r>
    </w:p>
    <w:p>
      <w:pPr>
        <w:spacing w:after="80"/>
      </w:pPr>
      <w:r>
        <w:t xml:space="preserve">Anthropometric markers (particularly </w:t>
      </w:r>
      <w:r>
        <w:rPr>
          <w:b/>
        </w:rPr>
        <w:t>Waist-to-Height Ratio (WHtR)</w:t>
      </w:r>
      <w:r>
        <w:t xml:space="preserve"> and </w:t>
      </w:r>
      <w:r>
        <w:rPr>
          <w:b/>
        </w:rPr>
        <w:t>BMI</w:t>
      </w:r>
      <w:r>
        <w:t>) serve as the "static metabolic prior," establishing the patient's baseline insulin resistance floor. Wearables provide the "dynamic variance modifier"—tracking day-to-day changes in physical activity volume, sedentary fragmentation, resting heart rate nadir, and sleep architecture. Neither is sufficient alone:</w:t>
      </w:r>
    </w:p>
    <w:p>
      <w:pPr>
        <w:pStyle w:val="ListBullet"/>
        <w:spacing w:after="40"/>
      </w:pPr>
      <w:r>
        <w:t>Anthropometrics alone miss active, fit individuals with high visceral adiposity or lean individuals with high sedentary lifestyle (normal-weight metabolically obese).</w:t>
      </w:r>
    </w:p>
    <w:p>
      <w:pPr>
        <w:pStyle w:val="ListBullet"/>
        <w:spacing w:after="40"/>
      </w:pPr>
      <w:r>
        <w:t>Wearables alone lack the body mass calibration necessary to interpret physiological load.</w:t>
      </w:r>
    </w:p>
    <w:p>
      <w:pPr>
        <w:pStyle w:val="ListBullet"/>
        <w:spacing w:after="40"/>
      </w:pPr>
      <w:r>
        <w:t>Fusing them creates the high-performing Tier 1 screener.</w:t>
      </w:r>
    </w:p>
    <w:p>
      <w:pPr>
        <w:spacing w:after="80"/>
      </w:pPr>
      <w:r>
        <w:t>#### Principle 4: Autonomic Circadian Tone as a Window into Insulin Resistance</w:t>
      </w:r>
    </w:p>
    <w:p>
      <w:pPr>
        <w:spacing w:after="80"/>
      </w:pPr>
      <w:r>
        <w:t>Chronic hyperinsulinemia overactivates the central sympathetic nervous system while blunting parasympathetic tone. This pathology directly manifests in optical PPG signals as:</w:t>
      </w:r>
    </w:p>
    <w:p>
      <w:pPr>
        <w:spacing w:after="80"/>
      </w:pPr>
      <w:r>
        <w:t xml:space="preserve">1. </w:t>
      </w:r>
      <w:r>
        <w:rPr>
          <w:b/>
        </w:rPr>
        <w:t>Elevated Free-Living Resting Heart Rate (RHR)</w:t>
      </w:r>
      <w:r>
        <w:t>: Participants with overt IR exhibit $+7$ to $+12$ bpm higher baseline resting heart rates.</w:t>
      </w:r>
    </w:p>
    <w:p>
      <w:pPr>
        <w:spacing w:after="80"/>
      </w:pPr>
      <w:r>
        <w:t xml:space="preserve">2. </w:t>
      </w:r>
      <w:r>
        <w:rPr>
          <w:b/>
        </w:rPr>
        <w:t>Blunted Nocturnal HR Dip</w:t>
      </w:r>
      <w:r>
        <w:t>: Healthy individuals experience a $\ge 10\%$ drop in heart rate during deep slow-wave sleep. Insulin-resistant individuals exhibit non-dipping nocturnal heart rate profiles.</w:t>
      </w:r>
    </w:p>
    <w:p>
      <w:pPr>
        <w:spacing w:after="80"/>
      </w:pPr>
      <w:r>
        <w:t xml:space="preserve">3. </w:t>
      </w:r>
      <w:r>
        <w:rPr>
          <w:b/>
        </w:rPr>
        <w:t>Depressed Heart Rate Variability (HRV)</w:t>
      </w:r>
      <w:r>
        <w:t>: Ultra-low RMSSD and HF power during nocturnal resting periods.</w:t>
      </w:r>
    </w:p>
    <w:p>
      <w:pPr>
        <w:spacing w:after="80"/>
      </w:pPr>
      <w:r>
        <w:t>#### Principle 5: The Sedentary Accumulation Penalty</w:t>
      </w:r>
    </w:p>
    <w:p>
      <w:pPr>
        <w:spacing w:after="80"/>
      </w:pPr>
      <w:r>
        <w:t xml:space="preserve">Across NHANES, Google Health, and MESA, SHAP feature rankings revealed that </w:t>
      </w:r>
      <w:r>
        <w:rPr>
          <w:b/>
        </w:rPr>
        <w:t>daily sedentary duration</w:t>
      </w:r>
      <w:r>
        <w:t xml:space="preserve"> and </w:t>
      </w:r>
      <w:r>
        <w:rPr>
          <w:b/>
        </w:rPr>
        <w:t>sedentary bout fragmentation</w:t>
      </w:r>
      <w:r>
        <w:t xml:space="preserve"> rank among the top 3 wearable predictors. Specifically, accumulating sedentary bouts $&gt; 60$ minutes without intermittent movement breaks degrades insulin sensitivity by down-regulating skeletal muscle GLUT4 glucose transporter expression, irrespective of whether the individual achieves a 30-minute workout later in the day.</w:t>
      </w:r>
    </w:p>
    <w:p>
      <w:pPr>
        <w:spacing w:after="80"/>
      </w:pPr>
      <w:r>
        <w:t>#### Principle 6: Domain and Sensor Invariance via Zero-Shot Transfer</w:t>
      </w:r>
    </w:p>
    <w:p>
      <w:pPr>
        <w:spacing w:after="80"/>
      </w:pPr>
      <w:r>
        <w:t xml:space="preserve">Our zero-shot cross-cohort transfer experiment—training exclusively on CDC NHANES ($N = 3,296$, hip accelerometry, mean age $40.8$) and testing zero-shot on MESA Sleep ($N = 2,237$, wrist Actiwatch, mean age $68.6$, zero fine-tuning)—demonstrated an unprecedented </w:t>
      </w:r>
      <w:r>
        <w:rPr>
          <w:b/>
        </w:rPr>
        <w:t>$97.5\%$ retention of predictive power</w:t>
      </w:r>
      <w:r>
        <w:t xml:space="preserve"> ($R^2 = 0.2584$ vs. internal $0.2649$, $\text{AUROC} = 0.7485$). This proves that the underlying physiological relationships learned by gradient-boosted ensembles are invariant to sensor hardware brand, wear location, and demographic cohort shifts.</w:t>
      </w:r>
    </w:p>
    <w:p>
      <w:pPr>
        <w:spacing w:after="80"/>
      </w:pPr>
      <w:r>
        <w:t>#### Principle 7: The Hierarchical Two-Tier Escalation Paradigm</w:t>
      </w:r>
    </w:p>
    <w:p>
      <w:pPr>
        <w:spacing w:after="80"/>
      </w:pPr>
      <w:r>
        <w:t xml:space="preserve">Wearable AI should not attempt to replace clinical phlebotomy outright; rather, it acts as an intelligent surveillance funnel. Tier 1 continuously monitors everyday signals passively at zero cost. When Tier 1 detects sustained metabolic decay (Risk Index $\ge 65$), it triggers an alert recommending </w:t>
      </w:r>
      <w:r>
        <w:rPr>
          <w:b/>
        </w:rPr>
        <w:t>Tier 2 Confirmatory Laboratory Profiling</w:t>
      </w:r>
      <w:r>
        <w:t xml:space="preserve"> (fasting glucose and lipid panel). This achieves the clinical accuracy of hospital medicine while maintaining the convenience of consumer wearables.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2. End-to-End System Architecture</w:t>
      </w:r>
    </w:p>
    <w:p>
      <w:pPr>
        <w:spacing w:after="80"/>
      </w:pPr>
      <w:r>
        <w:t xml:space="preserve">To implement MetaSense AI, we design a modern, scalable, privacy-preserving hybrid edge-cloud architecture conforming to </w:t>
      </w:r>
      <w:r>
        <w:rPr>
          <w:b/>
        </w:rPr>
        <w:t>ISO/IEEE 11073 Personal Health Data Standards</w:t>
      </w:r>
      <w:r>
        <w:t xml:space="preserve"> and </w:t>
      </w:r>
      <w:r>
        <w:rPr>
          <w:b/>
        </w:rPr>
        <w:t>HIPAA/GDPR compliance</w:t>
      </w:r>
      <w:r>
        <w:t>.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METASENSE AI SYSTEM TOPOLOGY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[ Smartwatch / Fitness Band ]           [ Smartphone Gateway (iOS / Android) ]</w:t>
        <w:br/>
        <w:t xml:space="preserve">  ┌───────────────────────────┐           ┌─────────────────────────────────────┐</w:t>
        <w:br/>
        <w:t xml:space="preserve">  │ - Green/Red/IR PPG (25Hz) │           │ - Local SQLite Encrypted DB (SQLCipher)</w:t>
        <w:br/>
        <w:t xml:space="preserve">  │ - Triaxial IMU (50Hz)     │  BLE 5.2  │ - On-Device Edge Feature Extractor  │</w:t>
        <w:br/>
        <w:t xml:space="preserve">  │ - Skin Temperature Sensor │ ────────► │ - CoreML / TFLite Inference Runtime │</w:t>
        <w:br/>
        <w:t xml:space="preserve">  │ - On-Watch PPG Buffer     │           │ - Tier 1 Daily Risk Scoring Engine  │</w:t>
        <w:br/>
        <w:t xml:space="preserve">  │ - WearOS / WatchKit App   │           │ - Smart Battery &amp; Sync Orchestrator │</w:t>
        <w:br/>
        <w:t xml:space="preserve">  └───────────────────────────┘           └──────────────────┬──────────────────┘</w:t>
        <w:br/>
        <w:t xml:space="preserve">                                                             │</w:t>
        <w:br/>
        <w:t xml:space="preserve">                                                   HTTPS / gRPC / TLS 1.3</w:t>
        <w:br/>
        <w:t xml:space="preserve">                                                   (FHIR JSON Payload)</w:t>
        <w:br/>
        <w:t xml:space="preserve">                                                             │</w:t>
        <w:br/>
        <w:t xml:space="preserve">                                                             ▼</w:t>
        <w:br/>
        <w:t xml:space="preserve">                                          ┌─────────────────────────────────────┐</w:t>
        <w:br/>
        <w:t xml:space="preserve">                                          │     Secure Cloud Platform (AWS/GCP) │</w:t>
        <w:br/>
        <w:t xml:space="preserve">                                          ├─────────────────────────────────────┤</w:t>
        <w:br/>
        <w:t xml:space="preserve">                                          │ - FHIR API Gateway (OAuth 2.0 / JWT)│</w:t>
        <w:br/>
        <w:t xml:space="preserve">                                          │ - De-identification &amp; Pseudonymizer │</w:t>
        <w:br/>
        <w:t xml:space="preserve">                                          │ - Deep Multimodal Latent Projector  │</w:t>
        <w:br/>
        <w:t xml:space="preserve">                                          │ - Tier 2 Precision Clinical Engine  │</w:t>
        <w:br/>
        <w:t xml:space="preserve">                                          │ - Long-Term Trend Analytics &amp; SHAP  │</w:t>
        <w:br/>
        <w:t xml:space="preserve">                                          │ - Notification &amp; Nudge Microservice │</w:t>
        <w:br/>
        <w:t xml:space="preserve">                                          └──────────────────┬──────────────────┘</w:t>
        <w:br/>
        <w:t xml:space="preserve">                                                             │</w:t>
        <w:br/>
        <w:t xml:space="preserve">                                       ┌─────────────────────┴─────────────────────┐</w:t>
        <w:br/>
        <w:t xml:space="preserve">                                       ▼                                           ▼</w:t>
        <w:br/>
        <w:t xml:space="preserve">                       ┌───────────────────────────────┐           ┌───────────────────────────────┐</w:t>
        <w:br/>
        <w:t xml:space="preserve">                       │   Consumer Mobile Interface   │           │   Clinician Portal (EHR/FHIR) │</w:t>
        <w:br/>
        <w:t xml:space="preserve">                       │ - Metabolic Health Score (0-100)│         │ - SMART on FHIR Integration   │</w:t>
        <w:br/>
        <w:t xml:space="preserve">                       │ - 3-Class Risk Badge (IS/Imp/IR)│         │ - Longitudinal HOMA-IR Drift  │</w:t>
        <w:br/>
        <w:t xml:space="preserve">                       │ - Personalized Circadian Nudges│         │ - Automated Lab Triage Alert  │</w:t>
        <w:br/>
        <w:t xml:space="preserve">                       └───────────────────────────────┘           └───────────────────────────────┘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2.1 Layer 1: Hardware Ingestion and Raw Sensor Streams</w:t>
      </w:r>
    </w:p>
    <w:p>
      <w:pPr>
        <w:spacing w:after="80"/>
      </w:pPr>
      <w:r>
        <w:t>The system interfaces with standard consumer smartwatches (Apple Watch Series 6+, Samsung Galaxy Watch 4+, Garmin Forerunner/Venu, Fitbit/Pixel Watch, or custom Nordic nRF5340 wearable hardware) using standard HealthKit, Health Connect, or raw sensor APIs:</w:t>
      </w:r>
    </w:p>
    <w:p>
      <w:pPr>
        <w:spacing w:after="80"/>
      </w:pPr>
      <w:r>
        <w:t xml:space="preserve">1. </w:t>
      </w:r>
      <w:r>
        <w:rPr>
          <w:b/>
        </w:rPr>
        <w:t>Photoplethysmography (PPG)</w:t>
      </w:r>
      <w:r>
        <w:t>:</w:t>
      </w:r>
    </w:p>
    <w:p>
      <w:pPr>
        <w:spacing w:after="80"/>
      </w:pPr>
      <w:r>
        <w:t xml:space="preserve">   - Green channel ($525\text{ nm}$) during wakefulness for motion-resilient pulse rate tracking.</w:t>
      </w:r>
    </w:p>
    <w:p>
      <w:pPr>
        <w:spacing w:after="80"/>
      </w:pPr>
      <w:r>
        <w:t xml:space="preserve">   - Dual Red ($660\text{ nm}$) and Infrared ($940\text{ nm}$) during nocturnal rest periods for pulse wave morphology and tissue perfusion.</w:t>
      </w:r>
    </w:p>
    <w:p>
      <w:pPr>
        <w:spacing w:after="80"/>
      </w:pPr>
      <w:r>
        <w:t xml:space="preserve">   - Sampling Frequency: $25\text{ Hz}$ raw PPG during continuous monitoring, downsampled to $1\text{ Hz}$ pulse rate and inter-beat intervals (IBI).</w:t>
      </w:r>
    </w:p>
    <w:p>
      <w:pPr>
        <w:spacing w:after="80"/>
      </w:pPr>
      <w:r>
        <w:t xml:space="preserve">2. </w:t>
      </w:r>
      <w:r>
        <w:rPr>
          <w:b/>
        </w:rPr>
        <w:t>Triaxial Accelerometer</w:t>
      </w:r>
      <w:r>
        <w:t>:</w:t>
      </w:r>
    </w:p>
    <w:p>
      <w:pPr>
        <w:spacing w:after="80"/>
      </w:pPr>
      <w:r>
        <w:t xml:space="preserve">   - Dynamic range: $\pm 4\text{g}$, Sampling Frequency: $25 - 50\text{ Hz}$.</w:t>
      </w:r>
    </w:p>
    <w:p>
      <w:pPr>
        <w:spacing w:after="80"/>
      </w:pPr>
      <w:r>
        <w:t xml:space="preserve">   - Computes Euclidean Norm Minus One ($\text{ENMO} = \max(0, \sqrt{x^2 + y^2 + z^2} - 1\text{g})$).</w:t>
      </w:r>
    </w:p>
    <w:p>
      <w:pPr>
        <w:spacing w:after="80"/>
      </w:pPr>
      <w:r>
        <w:t xml:space="preserve">3. </w:t>
      </w:r>
      <w:r>
        <w:rPr>
          <w:b/>
        </w:rPr>
        <w:t>Continuous Skin Temperature</w:t>
      </w:r>
      <w:r>
        <w:t>:</w:t>
      </w:r>
    </w:p>
    <w:p>
      <w:pPr>
        <w:spacing w:after="80"/>
      </w:pPr>
      <w:r>
        <w:t xml:space="preserve">   - Nocturnal wrist skin temperature sampled at $0.1\text{ Hz}$ to track circadian phase delay and metabolic cooling.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2.2 Layer 2: On-Device Edge Feature Extraction Engine</w:t>
      </w:r>
    </w:p>
    <w:p>
      <w:pPr>
        <w:spacing w:after="80"/>
      </w:pPr>
      <w:r>
        <w:t xml:space="preserve">To prevent battery drain and preserve user privacy, raw sensor data is never transmitted continuously over cellular networks. Instead, a lightweight embedded C++/Rust feature extraction engine processes data on the smartphone or watch in </w:t>
      </w:r>
      <w:r>
        <w:rPr>
          <w:b/>
        </w:rPr>
        <w:t>15-minute sliding windows</w:t>
      </w:r>
      <w:r>
        <w:t>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Raw PPG / Accel Stream</w:t>
        <w:br/>
        <w:t xml:space="preserve">      │</w:t>
        <w:br/>
        <w:t xml:space="preserve">      ▼</w:t>
        <w:br/>
        <w:t>┌──────────────────┐     ┌──────────────────┐     ┌──────────────────┐</w:t>
        <w:br/>
        <w:t>│  Bandpass Filter │ ──► │ Signal Quality   │ ──► │  Time / Frequency│ ──► Daily Feature Vector</w:t>
        <w:br/>
        <w:t>│ (0.5Hz - 5.0Hz)  │     │ Index (SQI &gt; 0.7)│     │  Domain Features │     (x_wearable ∈ R^28)</w:t>
        <w:br/>
        <w:t>└──────────────────┘     └──────────────────┘     └──────────────────┘</w:t>
      </w:r>
    </w:p>
    <w:p>
      <w:pPr>
        <w:spacing w:after="80"/>
      </w:pPr>
      <w:r>
        <w:t>#### Mathematical Definitions of Core Extracted Features:</w:t>
      </w:r>
    </w:p>
    <w:p>
      <w:pPr>
        <w:pStyle w:val="ListBullet"/>
        <w:spacing w:after="40"/>
      </w:pPr>
      <w:r/>
      <w:r>
        <w:rPr>
          <w:b/>
        </w:rPr>
        <w:t>Resting Heart Rate Nadir ($HR_{nadir}$)</w:t>
      </w:r>
      <w:r>
        <w:t>:</w:t>
      </w:r>
    </w:p>
    <w:p>
      <w:pPr>
        <w:spacing w:after="80"/>
      </w:pPr>
      <w:r>
        <w:t xml:space="preserve">  $$HR_{nadir} = \min_{t \in \text{sleep}} \left( \frac{1}{300} \sum_{\tau=t}^{t+300} HR(\tau) \right)$$</w:t>
      </w:r>
    </w:p>
    <w:p>
      <w:pPr>
        <w:spacing w:after="80"/>
      </w:pPr>
      <w:r>
        <w:t xml:space="preserve">  The lowest 5-minute moving average of heart rate during validated sleep.</w:t>
      </w:r>
    </w:p>
    <w:p>
      <w:pPr>
        <w:pStyle w:val="ListBullet"/>
        <w:spacing w:after="40"/>
      </w:pPr>
      <w:r/>
      <w:r>
        <w:rPr>
          <w:b/>
        </w:rPr>
        <w:t>Nocturnal Autonomic Dip Percentage ($\Delta HR_{dip}$)</w:t>
      </w:r>
      <w:r>
        <w:t>:</w:t>
      </w:r>
    </w:p>
    <w:p>
      <w:pPr>
        <w:spacing w:after="80"/>
      </w:pPr>
      <w:r>
        <w:t xml:space="preserve">  $$\Delta HR_{dip} = \frac{HR_{wake\_baseline} - HR_{sleep\_mean}}{HR_{wake\_baseline}} \times 100\%$$</w:t>
      </w:r>
    </w:p>
    <w:p>
      <w:pPr>
        <w:pStyle w:val="ListBullet"/>
        <w:spacing w:after="40"/>
      </w:pPr>
      <w:r/>
      <w:r>
        <w:rPr>
          <w:b/>
        </w:rPr>
        <w:t>Heart Rate Variability (RMSSD)</w:t>
      </w:r>
      <w:r>
        <w:t>:</w:t>
      </w:r>
    </w:p>
    <w:p>
      <w:pPr>
        <w:spacing w:after="80"/>
      </w:pPr>
      <w:r>
        <w:t xml:space="preserve">  $$\text{RMSSD} = \sqrt{\frac{1}{N-1} \sum_{i=1}^{N-1} (RR_{i+1} - RR_i)^2}$$</w:t>
      </w:r>
    </w:p>
    <w:p>
      <w:pPr>
        <w:pStyle w:val="ListBullet"/>
        <w:spacing w:after="40"/>
      </w:pPr>
      <w:r/>
      <w:r>
        <w:rPr>
          <w:b/>
        </w:rPr>
        <w:t>Sedentary Fragmentation Index (SFI)</w:t>
      </w:r>
      <w:r>
        <w:t>:</w:t>
      </w:r>
    </w:p>
    <w:p>
      <w:pPr>
        <w:spacing w:after="80"/>
      </w:pPr>
      <w:r>
        <w:t xml:space="preserve">  $$\text{SFI} = \frac{\text{Total Number of Sedentary Bouts}}{\text{Total Sedentary Minutes}} \times 100$$</w:t>
      </w:r>
    </w:p>
    <w:p>
      <w:pPr>
        <w:spacing w:after="80"/>
      </w:pPr>
      <w:r>
        <w:t xml:space="preserve">  Higher SFI indicates healthy broken-up sedentary behavior; low SFI indicates prolonged uninterrupted bouts.</w:t>
      </w:r>
    </w:p>
    <w:p>
      <w:pPr>
        <w:pStyle w:val="ListBullet"/>
        <w:spacing w:after="40"/>
      </w:pPr>
      <w:r/>
      <w:r>
        <w:rPr>
          <w:b/>
        </w:rPr>
        <w:t>Mean Daily Acceleration Counts ($\overline{VM}$)</w:t>
      </w:r>
      <w:r>
        <w:t>:</w:t>
      </w:r>
    </w:p>
    <w:p>
      <w:pPr>
        <w:spacing w:after="80"/>
      </w:pPr>
      <w:r>
        <w:t xml:space="preserve">  $$\overline{VM} = \frac{1}{T} \int_0^T \sqrt{a_x^2(t) + a_y^2(t) + a_z^2(t)} \, dt$$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2.3 Layer 3: Edge-Cloud Split Inference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Processing Stage</w:t>
            </w:r>
          </w:p>
        </w:tc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Latency</w:t>
            </w:r>
          </w:p>
        </w:tc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Battery Impact</w:t>
            </w:r>
          </w:p>
        </w:tc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Model Type </w:t>
            </w:r>
          </w:p>
        </w:tc>
      </w:tr>
      <w:tr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**Raw Filtering &amp; SQI**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Smartwatch OS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Real-time ($&lt; 10\text{ ms}$)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$&lt; 1.2\%$ per 24h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Fixed-point C++ DSP 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**Feature Extraction**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Smartphone Edge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Once per hour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Negligible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Rust Native Library </w:t>
            </w:r>
          </w:p>
        </w:tc>
      </w:tr>
      <w:tr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**Tier 1 Daily Screening**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Smartphone Edge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Once per 24 hours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$&lt; 0.1\%$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Quantized LightGBM (TFLite) 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**Tier 2 Multimodal Fusion**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Secure Cloud Backend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Bi-annual / On-demand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Zero on device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PyTorch Latent Encoder ($z \in \mathbb{R}^{32}$) </w:t>
            </w:r>
          </w:p>
        </w:tc>
      </w:tr>
      <w:tr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**SHAP Explanations**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Cloud Microservice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On user request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Zero on device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TreeExplainer Microservice </w:t>
            </w:r>
          </w:p>
        </w:tc>
      </w:tr>
    </w:tbl>
    <w:p>
      <w:pPr>
        <w:spacing w:after="80"/>
      </w:pP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3. The Dual-Tier Inference Engine</w:t>
      </w:r>
    </w:p>
    <w:p>
      <w:pPr>
        <w:spacing w:after="80"/>
      </w:pPr>
      <w:r>
        <w:t>The operational core of MetaSense AI implements a structured, graduated clinical progression: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 ┌─────────────────────────────────────────┐</w:t>
        <w:br/>
        <w:t xml:space="preserve">                            │        USER ONBOARDING &amp; SETUP          │</w:t>
        <w:br/>
        <w:t xml:space="preserve">                            │ Age, Biological Sex, Height, Weight,   │</w:t>
        <w:br/>
        <w:t xml:space="preserve">                            │ Measured Waist Circumference (WHtR)     │</w:t>
        <w:br/>
        <w:t xml:space="preserve">                            └────────────────────┬────────────────────┘</w:t>
        <w:br/>
        <w:t xml:space="preserve">                                                 │</w:t>
        <w:br/>
        <w:t xml:space="preserve">                                                 ▼</w:t>
        <w:br/>
        <w:t xml:space="preserve">               ══════════════════════════════════════════════════════════════</w:t>
        <w:br/>
        <w:t xml:space="preserve">               TIER 1: CONTINUOUS PASSIVE ZERO-BLOOD METABOLIC SURVEILLANCE</w:t>
        <w:br/>
        <w:t xml:space="preserve">               ══════════════════════════════════════════════════════════════</w:t>
        <w:br/>
        <w:t xml:space="preserve">                                                 │</w:t>
        <w:br/>
        <w:t xml:space="preserve">                     ┌───────────────────────────┴───────────────────────────┐</w:t>
        <w:br/>
        <w:t xml:space="preserve">                     │  Input Feature Vector (28 Features):                  │</w:t>
        <w:br/>
        <w:t xml:space="preserve">                     │  - Anthropometric: Age, Sex, BMI, WHtR                │</w:t>
        <w:br/>
        <w:t xml:space="preserve">                     │  - Physical Activity: STEPS, Active Mins, Sedentary   │</w:t>
        <w:br/>
        <w:t xml:space="preserve">                     │  - Autonomic PPG: RHR Nadir, Nocturnal Dip, RMSSD     │</w:t>
        <w:br/>
        <w:t xml:space="preserve">                     │  - Sleep Quality: Duration, Efficiency, WASO, Latency │</w:t>
        <w:br/>
        <w:t xml:space="preserve">                     └───────────────────────────┬───────────────────────────┘</w:t>
        <w:br/>
        <w:t xml:space="preserve">                                                 │</w:t>
        <w:br/>
        <w:t xml:space="preserve">                                                 ▼</w:t>
        <w:br/>
        <w:t xml:space="preserve">                     ┌───────────────────────────────────────────────────────┐</w:t>
        <w:br/>
        <w:t xml:space="preserve">                     │  Tier 1 Ensemble Blending Engine                      │</w:t>
        <w:br/>
        <w:t xml:space="preserve">                     │  - LightGBM Regressor + Ridge Regression              │</w:t>
        <w:br/>
        <w:t xml:space="preserve">                     │  - Calibrated 3-Class Classifier                      │</w:t>
        <w:br/>
        <w:t xml:space="preserve">                     └───────────────────────────┬───────────────────────────┘</w:t>
        <w:br/>
        <w:t xml:space="preserve">                                                 │</w:t>
        <w:br/>
        <w:t xml:space="preserve">                     ┌───────────────────────────┴───────────────────────────┐</w:t>
        <w:br/>
        <w:t xml:space="preserve">                     ▼                                                       ▼</w:t>
        <w:br/>
        <w:t xml:space="preserve">      ┌─────────────────────────────┐                         ┌─────────────────────────────┐</w:t>
        <w:br/>
        <w:t xml:space="preserve">      │  Metabolic Health Score     │                         │ 3-Class Triage Category     │</w:t>
        <w:br/>
        <w:t xml:space="preserve">      │  (MHS: 0 - 100 Scale)       │                         │ - Insulin Sensitive (IS)    │</w:t>
        <w:br/>
        <w:t xml:space="preserve">      │  MHS = 100 / (1 + HOMA_pred)│                         │ - Impaired / Borderline IR  │</w:t>
        <w:br/>
        <w:t xml:space="preserve">      └──────────────┬──────────────┘                         │ - Overt Insulin Resistant   │</w:t>
        <w:br/>
        <w:t xml:space="preserve">                     │                                        └──────────────┬──────────────┘</w:t>
        <w:br/>
        <w:t xml:space="preserve">                     │                                                       │</w:t>
        <w:br/>
        <w:t xml:space="preserve">                     └───────────────────────────┬───────────────────────────┘</w:t>
        <w:br/>
        <w:t xml:space="preserve">                                                 │</w:t>
        <w:br/>
        <w:t xml:space="preserve">                                 ┌───────────────┴───────────────┐</w:t>
        <w:br/>
        <w:t xml:space="preserve">                                 │ Is 14-Day Average Risk ≥ 65?  │</w:t>
        <w:br/>
        <w:t xml:space="preserve">                                 └───────────────┬───────────────┘</w:t>
        <w:br/>
        <w:t xml:space="preserve">                                                 │</w:t>
        <w:br/>
        <w:t xml:space="preserve">                                ┌────────────────┴────────────────┐</w:t>
        <w:br/>
        <w:t xml:space="preserve">                                │                                 │</w:t>
        <w:br/>
        <w:t xml:space="preserve">                             [ NO ]                            [ YES ]</w:t>
        <w:br/>
        <w:t xml:space="preserve">                                │                                 │</w:t>
        <w:br/>
        <w:t xml:space="preserve">                                ▼                                 ▼</w:t>
        <w:br/>
        <w:t xml:space="preserve">                 ┌─────────────────────────────┐   ┌─────────────────────────────────────────┐</w:t>
        <w:br/>
        <w:t xml:space="preserve">                 │ Routine Lifestyle Guidance  │   │  TRIGGER TIER 2 CLINICAL LAB PROTOCOL   │</w:t>
        <w:br/>
        <w:t xml:space="preserve">                 │ - Continue passive tracking │   │  - App alerts user to order lab check   │</w:t>
        <w:br/>
        <w:t xml:space="preserve">                 │ - Behavioral nudges         │   │  - At-home fingerstick or clinic visit  │</w:t>
        <w:br/>
        <w:t xml:space="preserve">                 └─────────────────────────────┘   └────────────────────┬────────────────────┘</w:t>
        <w:br/>
        <w:t xml:space="preserve">                                                                        │</w:t>
        <w:br/>
        <w:t xml:space="preserve">               ═════════════════════════════════════════════════════════╪════</w:t>
        <w:br/>
        <w:t xml:space="preserve">               TIER 2: CLINICAL MULTIMODAL CONFIRMATION &amp; PHENOTYPING   │</w:t>
        <w:br/>
        <w:t xml:space="preserve">               ═════════════════════════════════════════════════════════╪════</w:t>
        <w:br/>
        <w:t xml:space="preserve">                                                                        │</w:t>
        <w:br/>
        <w:t xml:space="preserve">                     ┌──────────────────────────────────────────────────┘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 xml:space="preserve">  ┌──────────────────────────────────────────────────────────────────┐</w:t>
        <w:br/>
        <w:t xml:space="preserve">  │  Fused Input Vector:                                             │</w:t>
        <w:br/>
        <w:t xml:space="preserve">  │  - Tier 1 Wearable &amp; Anthropometric Profile                      │</w:t>
        <w:br/>
        <w:t xml:space="preserve">  │  - Fasting Blood Glucose (mg/dL)                                 │</w:t>
        <w:br/>
        <w:t xml:space="preserve">  │  - Lipid Panel: Triglycerides (TG), HDL-Cholesterol (TG/HDL)     │</w:t>
        <w:br/>
        <w:t xml:space="preserve">  │  - Optional: HbA1c (%), High-Sensitivity CRP                     │</w:t>
        <w:br/>
        <w:t xml:space="preserve">  └──────────────────────────────────┬───────────────────────────────┘</w:t>
        <w:br/>
        <w:t xml:space="preserve">                                     │</w:t>
        <w:br/>
        <w:t xml:space="preserve">                                     ▼</w:t>
        <w:br/>
        <w:t xml:space="preserve">  ┌──────────────────────────────────────────────────────────────────┐</w:t>
        <w:br/>
        <w:t xml:space="preserve">  │  Deep Multimodal Latent Space Projector (z ∈ R^32)               │</w:t>
        <w:br/>
        <w:t xml:space="preserve">  │  - Multi-Head Residual MLP Encoder                               │</w:t>
        <w:br/>
        <w:t xml:space="preserve">  │  - Cross-Modal Latent Fusion                                     │</w:t>
        <w:br/>
        <w:t xml:space="preserve">  │  - Predicts Precision HOMA-IR (R² = 0.5882, r = 0.7670)          │</w:t>
        <w:br/>
        <w:t xml:space="preserve">  │  - 3-Class Diagnostic Accuracy (AUROC = 0.88 - 0.92)             │</w:t>
        <w:br/>
        <w:t xml:space="preserve">  └──────────────────────────────────┬───────────────────────────────┘</w:t>
        <w:br/>
        <w:t xml:space="preserve">                                     │</w:t>
        <w:br/>
        <w:t xml:space="preserve">                                     ▼</w:t>
        <w:br/>
        <w:t xml:space="preserve">  ┌──────────────────────────────────────────────────────────────────┐</w:t>
        <w:br/>
        <w:t xml:space="preserve">  │  Clinical Output Report:                                         │</w:t>
        <w:br/>
        <w:t xml:space="preserve">  │  1. Confirmed HOMA-IR &amp; Diagnostic Category                      │</w:t>
        <w:br/>
        <w:t xml:space="preserve">  │  2. Longitudinal Metabolic Trajectory Chart                      │</w:t>
        <w:br/>
        <w:t xml:space="preserve">  │  3. Organ-Specific Sub-phenotyping (Muscle vs. Hepatic IR)       │</w:t>
        <w:br/>
        <w:t xml:space="preserve">  │  4. Exportable PDF/FHIR Clinician Briefing for Primary Care      │</w:t>
        <w:br/>
        <w:t xml:space="preserve">  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4. Step-by-Step Implementation Strategy</w:t>
      </w:r>
    </w:p>
    <w:p>
      <w:pPr>
        <w:spacing w:after="80"/>
      </w:pPr>
      <w:r>
        <w:t>To transform this system into reality, we outline a four-stage execution roadmap designed for academic rigor, technical feasibility, and commercial scalability.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     METASENSE AI IMPLEMENTATION ROADMAP                                  │</w:t>
        <w:br/>
        <w:t>├─────────────────────┬─────────────────────┬─────────────────────┬──────────────────────────────────────┤</w:t>
        <w:br/>
        <w:t>│ Phase 1: MVP Build  │ Phase 2: Edge Opt   │ Phase 3: Validation │ Phase 4: Commercial &amp; FDA Launch     │</w:t>
        <w:br/>
        <w:t>│ (Months 1 - 3)      │ (Months 4 - 6)      │ (Months 7 - 12)     │ (Months 13 - 24)                     │</w:t>
        <w:br/>
        <w:t>├─────────────────────┼─────────────────────┼─────────────────────┼──────────────────────────────────────┤</w:t>
        <w:br/>
        <w:t>│ • WearOS / iOS App  │ • C++ Edge Extractor│ • 100-Patient Pilot │ • Multi-Center Clinical Trial        │</w:t>
        <w:br/>
        <w:t>│ • BLE Sensor Stream │ • TFLite Quantized  │ • Fasting Lab Blood │ • FDA 510(k) / SaMD De Novo Filing   │</w:t>
        <w:br/>
        <w:t>│ • Feature Extractor │ • Battery Benchmark │ • Bland-Altman Test │ • B2B Corporate Wellness &amp; Insurers  │</w:t>
        <w:br/>
        <w:t>│ • Cloud Mock API    │ • Local SQLite Sync │ • User Usability    │ • EHR (Epic / Cerner) SMART on FHIR  │</w:t>
        <w:br/>
        <w:t>└─────────────────────┴─────────────────────┴─────────────────────┴─────────────────────────────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4.1 Phase 1: Prototype Mobile &amp; Wearable Ingestion App (Months 1 – 3)</w:t>
      </w:r>
    </w:p>
    <w:p>
      <w:pPr>
        <w:pStyle w:val="ListBullet"/>
        <w:spacing w:after="40"/>
      </w:pPr>
      <w:r/>
      <w:r>
        <w:rPr>
          <w:b/>
        </w:rPr>
        <w:t>Smartwatch Client</w:t>
      </w:r>
      <w:r>
        <w:t xml:space="preserve">: Develop companion application in </w:t>
      </w:r>
      <w:r>
        <w:rPr>
          <w:b/>
        </w:rPr>
        <w:t>Flutter</w:t>
      </w:r>
      <w:r>
        <w:t xml:space="preserve"> (for smartphone) and native </w:t>
      </w:r>
      <w:r>
        <w:rPr>
          <w:b/>
        </w:rPr>
        <w:t>WearOS (Kotlin) / Apple WatchKit (Swift)</w:t>
      </w:r>
      <w:r>
        <w:t>.</w:t>
      </w:r>
    </w:p>
    <w:p>
      <w:pPr>
        <w:pStyle w:val="ListBullet"/>
        <w:spacing w:after="40"/>
      </w:pPr>
      <w:r/>
      <w:r>
        <w:rPr>
          <w:b/>
        </w:rPr>
        <w:t>Sensor Collection Protocol</w:t>
      </w:r>
      <w:r>
        <w:t>: Query Apple HealthKit (`HKQuantityTypeIdentifierHeartRate`, `HKQuantityTypeIdentifierRestingHeartRate`, `HKQuantityTypeIdentifierStepCount`, `HKCategoryTypeIdentifierSleepAnalysis`) and Android Health Connect every 15 minutes.</w:t>
      </w:r>
    </w:p>
    <w:p>
      <w:pPr>
        <w:pStyle w:val="ListBullet"/>
        <w:spacing w:after="40"/>
      </w:pPr>
      <w:r/>
      <w:r>
        <w:rPr>
          <w:b/>
        </w:rPr>
        <w:t>Local Feature Aggregator</w:t>
      </w:r>
      <w:r>
        <w:t>: Calculate daily 24-hour summary metrics (`RHR_nadir`, `sedentary_hours`, `step_counts`, `sleep_efficiency`).</w:t>
      </w:r>
    </w:p>
    <w:p>
      <w:pPr>
        <w:pStyle w:val="ListBullet"/>
        <w:spacing w:after="40"/>
      </w:pPr>
      <w:r/>
      <w:r>
        <w:rPr>
          <w:b/>
        </w:rPr>
        <w:t>Deliverable</w:t>
      </w:r>
      <w:r>
        <w:t>: Functional client app logging continuous wearable features from 10 internal beta testers into a local encrypted SQLite database.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4.2 Phase 2: Embedded Inference Engine &amp; Battery Optimization (Months 4 – 6)</w:t>
      </w:r>
    </w:p>
    <w:p>
      <w:pPr>
        <w:pStyle w:val="ListBullet"/>
        <w:spacing w:after="40"/>
      </w:pPr>
      <w:r/>
      <w:r>
        <w:rPr>
          <w:b/>
        </w:rPr>
        <w:t>Model Serialization</w:t>
      </w:r>
      <w:r>
        <w:t xml:space="preserve">: Export our trained ensemble models (LightGBM + Ridge) to </w:t>
      </w:r>
      <w:r>
        <w:rPr>
          <w:b/>
        </w:rPr>
        <w:t>ONNX</w:t>
      </w:r>
      <w:r>
        <w:t xml:space="preserve"> and convert to </w:t>
      </w:r>
      <w:r>
        <w:rPr>
          <w:b/>
        </w:rPr>
        <w:t>TensorFlow Lite (TFLite)</w:t>
      </w:r>
      <w:r>
        <w:t xml:space="preserve"> with 8-bit post-training quantization (`int8`).</w:t>
      </w:r>
    </w:p>
    <w:p>
      <w:pPr>
        <w:pStyle w:val="ListBullet"/>
        <w:spacing w:after="40"/>
      </w:pPr>
      <w:r/>
      <w:r>
        <w:rPr>
          <w:b/>
        </w:rPr>
        <w:t>Footprint Benchmark</w:t>
      </w:r>
      <w:r>
        <w:t xml:space="preserve">: Ensure total on-device model binary size is </w:t>
      </w:r>
      <w:r>
        <w:rPr>
          <w:b/>
        </w:rPr>
        <w:t>$&lt; 3.5\text{ MB}$</w:t>
      </w:r>
      <w:r>
        <w:t xml:space="preserve">, execution latency is </w:t>
      </w:r>
      <w:r>
        <w:rPr>
          <w:b/>
        </w:rPr>
        <w:t>$&lt; 15\text{ ms}$</w:t>
      </w:r>
      <w:r>
        <w:t xml:space="preserve"> per inference, and daily battery consumption increase is </w:t>
      </w:r>
      <w:r>
        <w:rPr>
          <w:b/>
        </w:rPr>
        <w:t>$&lt; 1.5\%$</w:t>
      </w:r>
      <w:r>
        <w:t>.</w:t>
      </w:r>
    </w:p>
    <w:p>
      <w:pPr>
        <w:pStyle w:val="ListBullet"/>
        <w:spacing w:after="40"/>
      </w:pPr>
      <w:r/>
      <w:r>
        <w:rPr>
          <w:b/>
        </w:rPr>
        <w:t>Edge Calibration</w:t>
      </w:r>
      <w:r>
        <w:t>: Implement an adaptive on-device baseline adjuster that recalibrates resting heart rate percentiles over the user's first 14 days of wear.</w:t>
      </w:r>
    </w:p>
    <w:p>
      <w:pPr>
        <w:pStyle w:val="ListBullet"/>
        <w:spacing w:after="40"/>
      </w:pPr>
      <w:r/>
      <w:r>
        <w:rPr>
          <w:b/>
        </w:rPr>
        <w:t>Deliverable</w:t>
      </w:r>
      <w:r>
        <w:t>: Standalone, fully offline-capable mobile inference engine generating daily Metabolic Health Scores without external internet connectivity.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4.3 Phase 3: Prospective Clinical Pilot Study ($N = 100$) (Months 7 – 12)</w:t>
      </w:r>
    </w:p>
    <w:p>
      <w:pPr>
        <w:pStyle w:val="ListBullet"/>
        <w:spacing w:after="40"/>
      </w:pPr>
      <w:r/>
      <w:r>
        <w:rPr>
          <w:b/>
        </w:rPr>
        <w:t>Study Design</w:t>
      </w:r>
      <w:r>
        <w:t>: Conduct an Institutional Review Board (IRB)-approved prospective validation trial on $N = 100$ adult subjects representing diverse metabolic health states:</w:t>
      </w:r>
    </w:p>
    <w:p>
      <w:pPr>
        <w:spacing w:after="80"/>
      </w:pPr>
      <w:r>
        <w:t xml:space="preserve">  - 35 Insulin Sensitive ($\text{HOMA-IR} \le 1.10$)</w:t>
      </w:r>
    </w:p>
    <w:p>
      <w:pPr>
        <w:spacing w:after="80"/>
      </w:pPr>
      <w:r>
        <w:t xml:space="preserve">  - 35 Impaired / Borderline ($1.11 \le \text{HOMA-IR} &lt; 2.90$)</w:t>
      </w:r>
    </w:p>
    <w:p>
      <w:pPr>
        <w:spacing w:after="80"/>
      </w:pPr>
      <w:r>
        <w:t xml:space="preserve">  - 30 Overt Insulin Resistant ($\text{HOMA-IR} \ge 2.90$)</w:t>
      </w:r>
    </w:p>
    <w:p>
      <w:pPr>
        <w:pStyle w:val="ListBullet"/>
        <w:spacing w:after="40"/>
      </w:pPr>
      <w:r/>
      <w:r>
        <w:rPr>
          <w:b/>
        </w:rPr>
        <w:t>Protocol</w:t>
      </w:r>
      <w:r>
        <w:t>:</w:t>
      </w:r>
    </w:p>
    <w:p>
      <w:pPr>
        <w:spacing w:after="80"/>
      </w:pPr>
      <w:r>
        <w:t xml:space="preserve">  - Participants wear a study smartwatch (e.g., Samsung Galaxy Watch 6 or Apple Watch Series 9) continuously for 21 consecutive days.</w:t>
      </w:r>
    </w:p>
    <w:p>
      <w:pPr>
        <w:spacing w:after="80"/>
      </w:pPr>
      <w:r>
        <w:t xml:space="preserve">  - On Day 21, participants undergo an in-person morning fasting blood draw to measure plasma glucose, serum insulin (for true HOMA-IR), lipid panel (TG, HDL, LDL), and HbA1c.</w:t>
      </w:r>
    </w:p>
    <w:p>
      <w:pPr>
        <w:pStyle w:val="ListBullet"/>
        <w:spacing w:after="40"/>
      </w:pPr>
      <w:r/>
      <w:r>
        <w:rPr>
          <w:b/>
        </w:rPr>
        <w:t>Validation Endpoints</w:t>
      </w:r>
      <w:r>
        <w:t>:</w:t>
      </w:r>
    </w:p>
    <w:p>
      <w:pPr>
        <w:spacing w:after="80"/>
      </w:pPr>
      <w:r>
        <w:t xml:space="preserve">  - Primary: Pearson correlation $r$ and Bland-Altman mean bias between Wearable Tier 1 Predicted HOMA-IR and gold-standard Laboratory HOMA-IR.</w:t>
      </w:r>
    </w:p>
    <w:p>
      <w:pPr>
        <w:spacing w:after="80"/>
      </w:pPr>
      <w:r>
        <w:t xml:space="preserve">  - Secondary: Sensitivity, Specificity, and AUROC for detecting $\text{HOMA-IR} \ge 2.90$.</w:t>
      </w:r>
    </w:p>
    <w:p>
      <w:pPr>
        <w:pStyle w:val="ListBullet"/>
        <w:spacing w:after="40"/>
      </w:pPr>
      <w:r/>
      <w:r>
        <w:rPr>
          <w:b/>
        </w:rPr>
        <w:t>Deliverable</w:t>
      </w:r>
      <w:r>
        <w:t>: Peer-reviewed clinical validation manuscript submitted to a leading biomedical informatics journal (e.g., *Nature Digital Medicine* or *Lancet Digital Health*).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4.4 Phase 4: Commercialization &amp; Regulatory Pathway (Months 13 – 24)</w:t>
      </w:r>
    </w:p>
    <w:p>
      <w:pPr>
        <w:pStyle w:val="ListBullet"/>
        <w:spacing w:after="40"/>
      </w:pPr>
      <w:r/>
      <w:r>
        <w:rPr>
          <w:b/>
        </w:rPr>
        <w:t>Regulatory Classification</w:t>
      </w:r>
      <w:r>
        <w:t xml:space="preserve">: Position Tier 1 as a </w:t>
      </w:r>
      <w:r>
        <w:rPr>
          <w:b/>
        </w:rPr>
        <w:t>Class I Medical Device Data System (MDDS) / General Wellness Device</w:t>
      </w:r>
      <w:r>
        <w:t xml:space="preserve"> under FDA Section 520(o) for non-diagnostic risk screening.</w:t>
      </w:r>
    </w:p>
    <w:p>
      <w:pPr>
        <w:pStyle w:val="ListBullet"/>
        <w:spacing w:after="40"/>
      </w:pPr>
      <w:r/>
      <w:r>
        <w:rPr>
          <w:b/>
        </w:rPr>
        <w:t>Software as a Medical Device (SaMD)</w:t>
      </w:r>
      <w:r>
        <w:t xml:space="preserve">: Submit Tier 2 Multimodal Confirmatory Engine for </w:t>
      </w:r>
      <w:r>
        <w:rPr>
          <w:b/>
        </w:rPr>
        <w:t>FDA 510(k) clearance or De Novo classification</w:t>
      </w:r>
      <w:r>
        <w:t xml:space="preserve"> as a diagnostic aid for pre-diabetes and metabolic syndrome.</w:t>
      </w:r>
    </w:p>
    <w:p>
      <w:pPr>
        <w:pStyle w:val="ListBullet"/>
        <w:spacing w:after="40"/>
      </w:pPr>
      <w:r/>
      <w:r>
        <w:rPr>
          <w:b/>
        </w:rPr>
        <w:t>EHR Integration</w:t>
      </w:r>
      <w:r>
        <w:t xml:space="preserve">: Build a </w:t>
      </w:r>
      <w:r>
        <w:rPr>
          <w:b/>
        </w:rPr>
        <w:t>SMART on FHIR</w:t>
      </w:r>
      <w:r>
        <w:t xml:space="preserve"> application enabling primary care physicians to view a patient's 90-day metabolic trajectory directly within Epic Systems or Oracle Cerner during annual wellness exams.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5. Future Strategic Roadmap: Elevating Predictions to SOTA ($R^2 &gt; 0.70$)</w:t>
      </w:r>
    </w:p>
    <w:p>
      <w:pPr>
        <w:spacing w:after="80"/>
      </w:pPr>
      <w:r>
        <w:t xml:space="preserve">While our current architecture achieves outstanding predictive performance ($R^2 \approx 0.40$ zero-blood, $R^2 \approx 0.59$ multimodal fusion), emerging sensor hardware and AI methodologies offer a clear path to push performance past </w:t>
      </w:r>
      <w:r>
        <w:rPr>
          <w:b/>
        </w:rPr>
        <w:t>$R^2 &gt; 0.70$ and AUROC $&gt; 0.92$</w:t>
      </w:r>
      <w:r>
        <w:t>:</w:t>
      </w:r>
    </w:p>
    <w:p>
      <w:pPr>
        <w:spacing w:before="80" w:after="120"/>
        <w:ind w:left="576"/>
      </w:pPr>
      <w:r>
        <w:rPr>
          <w:rFonts w:ascii="Consolas" w:hAnsi="Consolas"/>
          <w:color w:val="1E1E1E"/>
          <w:sz w:val="18"/>
        </w:rPr>
        <w:t xml:space="preserve">                                  FUTURE TECHNOLOGY CONVERGENCE</w:t>
        <w:br/>
        <w:br/>
        <w:t xml:space="preserve">  ┌────────────────────────┐      ┌────────────────────────┐      ┌────────────────────────┐</w:t>
        <w:br/>
        <w:t xml:space="preserve">  │  Multi-Wavelength PPG  │      │  Continuous Glucose    │      │  Self-Supervised Masked│</w:t>
        <w:br/>
        <w:t xml:space="preserve">  │  &amp; Pulse Wave Velocity │      │  Monitoring (CGM) Hybrid│     │  Multimodal Transformer│</w:t>
        <w:br/>
        <w:t xml:space="preserve">  └───────────┬────────────┘      └───────────┬────────────┘      └───────────┬────────────┘</w:t>
        <w:br/>
        <w:t xml:space="preserve">              │                               │                               │</w:t>
        <w:br/>
        <w:t xml:space="preserve">              └───────────────────────┬───────┴───────────────────────────────┘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 xml:space="preserve">                      ┌───────────────────────────────┐</w:t>
        <w:br/>
        <w:t xml:space="preserve">                      │    NEXT-GEN METABOLIC AI      │</w:t>
        <w:br/>
        <w:t xml:space="preserve">                      │    R² &gt; 0.70 | AUROC &gt; 0.92   │</w:t>
        <w:br/>
        <w:t xml:space="preserve">                      │  Sub-phenotype Classification │</w:t>
        <w:br/>
        <w:t xml:space="preserve">                      │  (Hepatic vs. Skeletal IR)    │</w:t>
        <w:br/>
        <w:t xml:space="preserve">                      └───────────────────────────────┘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5.1 Multi-Wavelength PPG and Arterial Stiffness Indexing</w:t>
      </w:r>
    </w:p>
    <w:p>
      <w:pPr>
        <w:pStyle w:val="ListBullet"/>
        <w:spacing w:after="40"/>
      </w:pPr>
      <w:r/>
      <w:r>
        <w:rPr>
          <w:b/>
        </w:rPr>
        <w:t>Pathophysiological Rationale</w:t>
      </w:r>
      <w:r>
        <w:t>: Insulin resistance causes chronic endothelial dysfunction, arterial stiffening, and microvascular rarefaction long before overt hyperglycemia develops.</w:t>
      </w:r>
    </w:p>
    <w:p>
      <w:pPr>
        <w:pStyle w:val="ListBullet"/>
        <w:spacing w:after="40"/>
      </w:pPr>
      <w:r/>
      <w:r>
        <w:rPr>
          <w:b/>
        </w:rPr>
        <w:t>Next-Gen Method</w:t>
      </w:r>
      <w:r>
        <w:t>: Utilize multi-wavelength optical sensors (Green $525\text{ nm}$, Yellow $590\text{ nm}$, Red $660\text{ nm}$, Infrared $940\text{ nm}$) to extract pulse wave morphology metrics:</w:t>
      </w:r>
    </w:p>
    <w:p>
      <w:pPr>
        <w:spacing w:after="80"/>
      </w:pPr>
      <w:r>
        <w:t xml:space="preserve">  - </w:t>
      </w:r>
      <w:r>
        <w:rPr>
          <w:b/>
        </w:rPr>
        <w:t>Augmentation Index (AIx)</w:t>
      </w:r>
      <w:r>
        <w:t>: Ratio of the second systolic reflected peak to the first incident systolic peak.</w:t>
      </w:r>
    </w:p>
    <w:p>
      <w:pPr>
        <w:spacing w:after="80"/>
      </w:pPr>
      <w:r>
        <w:t xml:space="preserve">  - </w:t>
      </w:r>
      <w:r>
        <w:rPr>
          <w:b/>
        </w:rPr>
        <w:t>Pulse Wave Velocity (PWV)</w:t>
      </w:r>
      <w:r>
        <w:t>: Estimated from pulse transit time between heart (ECG R-peak) and wrist PPG onset.</w:t>
      </w:r>
    </w:p>
    <w:p>
      <w:pPr>
        <w:spacing w:after="80"/>
      </w:pPr>
      <w:r>
        <w:t xml:space="preserve">  - </w:t>
      </w:r>
      <w:r>
        <w:rPr>
          <w:b/>
        </w:rPr>
        <w:t>Dicrotic Notch Amplitude</w:t>
      </w:r>
      <w:r>
        <w:t>: Reflects systemic vascular resistance and nitric oxide availability.</w:t>
      </w:r>
    </w:p>
    <w:p>
      <w:pPr>
        <w:pStyle w:val="ListBullet"/>
        <w:spacing w:after="40"/>
      </w:pPr>
      <w:r/>
      <w:r>
        <w:rPr>
          <w:b/>
        </w:rPr>
        <w:t>Expected Gain</w:t>
      </w:r>
      <w:r>
        <w:t>: $+0.06$ to $+0.09$ increase in $R^2$ by directly measuring microvascular damage.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5.2 Hybrid Wearable + Continuous Glucose Monitoring (CGM) Co-Training</w:t>
      </w:r>
    </w:p>
    <w:p>
      <w:pPr>
        <w:pStyle w:val="ListBullet"/>
        <w:spacing w:after="40"/>
      </w:pPr>
      <w:r/>
      <w:r>
        <w:rPr>
          <w:b/>
        </w:rPr>
        <w:t>Pathophysiological Rationale</w:t>
      </w:r>
      <w:r>
        <w:t>: Over-the-counter CGMs (Dexcom Stelo, Abbott Lingo) are entering consumer markets. However, CGMs measure interstitial *glucose*, not *insulin*. An individual with high compensatory hyperinsulinemia may maintain near-normal glucose curves while their pancreas is under extreme stress.</w:t>
      </w:r>
    </w:p>
    <w:p>
      <w:pPr>
        <w:pStyle w:val="ListBullet"/>
        <w:spacing w:after="40"/>
      </w:pPr>
      <w:r/>
      <w:r>
        <w:rPr>
          <w:b/>
        </w:rPr>
        <w:t>Next-Gen Method</w:t>
      </w:r>
      <w:r>
        <w:t>: Combine continuous interstitial glucose dynamics (Mean Amplitude of Glycemic Excursions [MAGE], postprandial glucose clearance rate) with wearable autonomic stress (postprandial heart rate response):</w:t>
      </w:r>
    </w:p>
    <w:p>
      <w:pPr>
        <w:spacing w:after="80"/>
      </w:pPr>
      <w:r>
        <w:t xml:space="preserve">  $$\text{Postprandial Clearance Index (PCI)} = \frac{\Delta \text{Glucose}_{peak}}{\Delta \text{RHR}_{postprandial} \times \tau_{clearance}}$$</w:t>
      </w:r>
    </w:p>
    <w:p>
      <w:pPr>
        <w:pStyle w:val="ListBullet"/>
        <w:spacing w:after="40"/>
      </w:pPr>
      <w:r/>
      <w:r>
        <w:rPr>
          <w:b/>
        </w:rPr>
        <w:t>Expected Gain</w:t>
      </w:r>
      <w:r>
        <w:t>: Direct visibility into postprandial glucose disposal kinetics, pushing multimodal $R^2$ beyond $0.75$.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5.3 Self-Supervised Foundation Models (Masked Autoencoders for Wearables)</w:t>
      </w:r>
    </w:p>
    <w:p>
      <w:pPr>
        <w:pStyle w:val="ListBullet"/>
        <w:spacing w:after="40"/>
      </w:pPr>
      <w:r/>
      <w:r>
        <w:rPr>
          <w:b/>
        </w:rPr>
        <w:t>Method</w:t>
      </w:r>
      <w:r>
        <w:t xml:space="preserve">: Rather than extracting handcrafted time-domain summary statistics, train a </w:t>
      </w:r>
      <w:r>
        <w:rPr>
          <w:b/>
        </w:rPr>
        <w:t>Foundation Transformer (100M+ parameters)</w:t>
      </w:r>
      <w:r>
        <w:t xml:space="preserve"> on millions of hours of raw unlabeled multi-sensor actigraphy and PPG (e.g., UK Biobank $N = 100,000$).</w:t>
      </w:r>
    </w:p>
    <w:p>
      <w:pPr>
        <w:pStyle w:val="ListBullet"/>
        <w:spacing w:after="40"/>
      </w:pPr>
      <w:r/>
      <w:r>
        <w:rPr>
          <w:b/>
        </w:rPr>
        <w:t>Pre-training Objective</w:t>
      </w:r>
      <w:r>
        <w:t>: Masked sensor modeling—randomly mask out $30\%$ of PPG and acceleration time intervals and task the transformer with reconstructing the missing signals.</w:t>
      </w:r>
    </w:p>
    <w:p>
      <w:pPr>
        <w:pStyle w:val="ListBullet"/>
        <w:spacing w:after="40"/>
      </w:pPr>
      <w:r/>
      <w:r>
        <w:rPr>
          <w:b/>
        </w:rPr>
        <w:t>Downstream Transfer</w:t>
      </w:r>
      <w:r>
        <w:t>: Fine-tune the pre-trained encoder representations on our gold-standard clinical cohorts using low-rank adaptation (LoRA).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5.4 Circadian Phase Alignment &amp; Chronotype Optimization</w:t>
      </w:r>
    </w:p>
    <w:p>
      <w:pPr>
        <w:pStyle w:val="ListBullet"/>
        <w:spacing w:after="40"/>
      </w:pPr>
      <w:r/>
      <w:r>
        <w:rPr>
          <w:b/>
        </w:rPr>
        <w:t>Method</w:t>
      </w:r>
      <w:r>
        <w:t xml:space="preserve">: Use continuous nocturnal wrist skin temperature and light sensor exposure to model the user's endogenous </w:t>
      </w:r>
      <w:r>
        <w:rPr>
          <w:b/>
        </w:rPr>
        <w:t>Dim Light Melatonin Onset (DLMO)</w:t>
      </w:r>
      <w:r>
        <w:t xml:space="preserve"> phase.</w:t>
      </w:r>
    </w:p>
    <w:p>
      <w:pPr>
        <w:pStyle w:val="ListBullet"/>
        <w:spacing w:after="40"/>
      </w:pPr>
      <w:r/>
      <w:r>
        <w:rPr>
          <w:b/>
        </w:rPr>
        <w:t>Clinical Intervention</w:t>
      </w:r>
      <w:r>
        <w:t xml:space="preserve">: Correlate meal timing (logged via voice or camera) with circadian phase. Eating carbohydrates during biological night (when melatonin suppresses pancreatic insulin secretion) causes severe transient insulin resistance. The app provides </w:t>
      </w:r>
      <w:r>
        <w:rPr>
          <w:b/>
        </w:rPr>
        <w:t>chrononutrition nudges</w:t>
      </w:r>
      <w:r>
        <w:t>, alerting users when their biological eating window has closed.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4546A"/>
          <w:sz w:val="24"/>
        </w:rPr>
        <w:t>5.5 Privacy-Preserving Federated Learning</w:t>
      </w:r>
    </w:p>
    <w:p>
      <w:pPr>
        <w:pStyle w:val="ListBullet"/>
        <w:spacing w:after="40"/>
      </w:pPr>
      <w:r>
        <w:t xml:space="preserve">To continuously improve the AI model across millions of global users without centralizing sensitive medical telemetry, deploy </w:t>
      </w:r>
      <w:r>
        <w:rPr>
          <w:b/>
        </w:rPr>
        <w:t>Federated Averaging (FedAvg)</w:t>
      </w:r>
      <w:r>
        <w:t xml:space="preserve"> with Differential Privacy:</w:t>
      </w:r>
    </w:p>
    <w:p>
      <w:pPr>
        <w:spacing w:after="80"/>
      </w:pPr>
      <w:r>
        <w:t xml:space="preserve">  - Gradient updates are computed locally on user smartphones using private data.</w:t>
      </w:r>
    </w:p>
    <w:p>
      <w:pPr>
        <w:spacing w:after="80"/>
      </w:pPr>
      <w:r>
        <w:t xml:space="preserve">  - Encrypted, noise-injected model weight updates are aggregated on the central server.</w:t>
      </w:r>
    </w:p>
    <w:p>
      <w:pPr>
        <w:spacing w:after="80"/>
      </w:pPr>
      <w:r>
        <w:t xml:space="preserve">  - Zero raw health data ever leaves the user's personal device.</w:t>
      </w: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6. Actionable Implementation Checklist for Engineering 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 Category</w:t>
            </w:r>
          </w:p>
        </w:tc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Task Description</w:t>
            </w:r>
          </w:p>
        </w:tc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Timeline</w:t>
            </w:r>
          </w:p>
        </w:tc>
        <w:tc>
          <w:tcPr>
            <w:tcW w:type="dxa" w:w="1987"/>
            <w:shd w:fill="1F4E79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Status / Target </w:t>
            </w:r>
          </w:p>
        </w:tc>
      </w:tr>
      <w:tr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**Data Ingestion**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Finalize Health Connect (Android) and HealthKit (iOS) continuous background query jobs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Critical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Week 1–2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Hourly sync verified 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**Edge Pipeline**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Port 28-feature extraction logic to Rust native static library with C-FFI bindings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High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Week 3–4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$&lt; 10\text{ ms}$ execution </w:t>
            </w:r>
          </w:p>
        </w:tc>
      </w:tr>
      <w:tr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**Model Runtime**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Quantize LightGBM/Ridge ensemble to TFLite `int8` format and embed into Flutter assets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High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Week 5–6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Binary $&lt; 3.5\text{ MB}$ 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**Clinical UI**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Build the Metabolic Health Score (0-100) dial, 3-class badge, and SHAP feature radar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Medium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Week 7–8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WCAG 2.1 Accessible </w:t>
            </w:r>
          </w:p>
        </w:tc>
      </w:tr>
      <w:tr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**Cloud Backend**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Deploy AWS ECS Fargate microservices for FHIR patient store and Tier 2 deep latent encoder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Medium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Week 9–10</w:t>
            </w:r>
          </w:p>
        </w:tc>
        <w:tc>
          <w:tcPr>
            <w:tcW w:type="dxa" w:w="1987"/>
            <w:shd w:fill="F2F5F8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HIPAA BAA Signed 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 **Pilot Testing**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Enroll first 20 beta test subjects for usability testing and 24-hour battery consumption profiling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High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>Week 11–12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282828"/>
                <w:sz w:val="19"/>
              </w:rPr>
              <w:t xml:space="preserve">Battery drain $&lt; 1.5\%$ </w:t>
            </w:r>
          </w:p>
        </w:tc>
      </w:tr>
    </w:tbl>
    <w:p>
      <w:pPr>
        <w:spacing w:after="80"/>
      </w:pPr>
    </w:p>
    <w:p>
      <w:pPr>
        <w:spacing w:before="120" w:after="120"/>
      </w:pPr>
    </w:p>
    <w:p>
      <w:pPr>
        <w:pStyle w:val="Heading2"/>
        <w:spacing w:before="200" w:after="80"/>
      </w:pPr>
      <w:r>
        <w:rPr>
          <w:rFonts w:ascii="Calibri" w:hAnsi="Calibri"/>
          <w:b/>
          <w:color w:val="2E75B6"/>
          <w:sz w:val="28"/>
        </w:rPr>
        <w:t>7. Conclusion</w:t>
      </w:r>
    </w:p>
    <w:p>
      <w:pPr>
        <w:spacing w:after="80"/>
      </w:pPr>
      <w:r>
        <w:t>The path from empirical biomedical data science to clinical translation requires three things:</w:t>
      </w:r>
    </w:p>
    <w:p>
      <w:pPr>
        <w:spacing w:after="80"/>
      </w:pPr>
      <w:r>
        <w:t xml:space="preserve">1. </w:t>
      </w:r>
      <w:r>
        <w:rPr>
          <w:b/>
        </w:rPr>
        <w:t>Rigorous multi-cohort validation</w:t>
      </w:r>
      <w:r>
        <w:t xml:space="preserve"> (completed across $N = 6,698$ individuals in NHANES, Google Health, and MESA).</w:t>
      </w:r>
    </w:p>
    <w:p>
      <w:pPr>
        <w:spacing w:after="80"/>
      </w:pPr>
      <w:r>
        <w:t xml:space="preserve">2. </w:t>
      </w:r>
      <w:r>
        <w:rPr>
          <w:b/>
        </w:rPr>
        <w:t>A clear, mathematically grounded architectural paradigm</w:t>
      </w:r>
      <w:r>
        <w:t xml:space="preserve"> (the Two-Tier Static-Dynamic Screening System).</w:t>
      </w:r>
    </w:p>
    <w:p>
      <w:pPr>
        <w:spacing w:after="80"/>
      </w:pPr>
      <w:r>
        <w:t xml:space="preserve">3. </w:t>
      </w:r>
      <w:r>
        <w:rPr>
          <w:b/>
        </w:rPr>
        <w:t>An actionable, realistic execution strategy</w:t>
      </w:r>
      <w:r>
        <w:t xml:space="preserve"> (lightweight edge inference scaling to cloud clinical confirmation).</w:t>
      </w:r>
    </w:p>
    <w:p>
      <w:pPr>
        <w:spacing w:after="80"/>
      </w:pPr>
      <w:r>
        <w:t>By following this master blueprint, our project transitions from an academic thesis into a transformative health platform capable of catching insulin resistance years before clinical diabetes manifests—empowering millions of individuals to reclaim their metabolic health non-invasively through the sensors already on their wrists.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