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</w:pPr>
      <w:r>
        <w:rPr>
          <w:rFonts w:ascii="Calibri" w:hAnsi="Calibri"/>
          <w:b/>
          <w:color w:val="1F4E79"/>
          <w:sz w:val="40"/>
        </w:rPr>
        <w:t>Comprehensive Technical Guide &amp; Comparative EDA Dossier: External Validation Datasets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2E75B6"/>
          <w:sz w:val="28"/>
        </w:rPr>
        <w:t>Deep-Dive Analysis of MESA Sleep Study (NSRR) &amp; Duke University BIG IDEAs Lab (PhysioNet)</w:t>
      </w:r>
    </w:p>
    <w:p>
      <w:pPr>
        <w:spacing w:after="80"/>
      </w:pPr>
      <w:r/>
      <w:r>
        <w:rPr>
          <w:b/>
        </w:rPr>
        <w:t>Project Title:</w:t>
      </w:r>
      <w:r>
        <w:t xml:space="preserve"> Wearable AI for Early Metabolic Risk Screening, Insulin Resistance Estimation, and Glycemic Forecasting</w:t>
      </w:r>
    </w:p>
    <w:p>
      <w:pPr>
        <w:spacing w:after="80"/>
      </w:pPr>
      <w:r/>
      <w:r>
        <w:rPr>
          <w:b/>
        </w:rPr>
        <w:t>Author:</w:t>
      </w:r>
      <w:r>
        <w:t xml:space="preserve"> SARVAGYA-TIWARI</w:t>
      </w:r>
    </w:p>
    <w:p>
      <w:pPr>
        <w:spacing w:after="80"/>
      </w:pPr>
      <w:r/>
      <w:r>
        <w:rPr>
          <w:b/>
        </w:rPr>
        <w:t>Current Baseline Cohort:</w:t>
      </w:r>
      <w:r>
        <w:t xml:space="preserve"> CDC NHANES 2011–2014 Multi-Modal Cohort ($N = 3,296$ Non-Diabetic Adults)</w:t>
      </w:r>
    </w:p>
    <w:p>
      <w:pPr>
        <w:spacing w:after="80"/>
      </w:pPr>
      <w:r/>
      <w:r>
        <w:rPr>
          <w:b/>
        </w:rPr>
        <w:t>Date:</w:t>
      </w:r>
      <w:r>
        <w:t xml:space="preserve"> October 2026</w:t>
      </w:r>
    </w:p>
    <w:p>
      <w:pPr>
        <w:spacing w:before="120" w:after="120"/>
      </w:pPr>
    </w:p>
    <w:p>
      <w:pPr>
        <w:pStyle w:val="Heading1"/>
        <w:spacing w:before="240" w:after="120"/>
      </w:pPr>
      <w:r>
        <w:rPr>
          <w:rFonts w:ascii="Calibri" w:hAnsi="Calibri"/>
          <w:b/>
          <w:color w:val="1F4E79"/>
          <w:sz w:val="40"/>
        </w:rPr>
        <w:t>Executive Summary &amp; Architectural Overview</w:t>
      </w:r>
    </w:p>
    <w:p>
      <w:pPr>
        <w:spacing w:after="80"/>
      </w:pPr>
      <w:r>
        <w:t xml:space="preserve">In biomedical AI, testing machine learning models on the exact cohort they were trained on (even under strict 5-fold cross-validation) is termed </w:t>
      </w:r>
      <w:r>
        <w:rPr>
          <w:b/>
        </w:rPr>
        <w:t>internal validation</w:t>
      </w:r>
      <w:r>
        <w:t>. To provide proof that our algorithms generalize to external clinical settings, sensor manufacturers, and independent hospital populations, we evaluate two open-access validation datasets:</w:t>
      </w:r>
    </w:p>
    <w:p>
      <w:pPr>
        <w:spacing w:before="80" w:after="120"/>
        <w:ind w:left="576"/>
      </w:pPr>
      <w:r>
        <w:rPr>
          <w:rFonts w:ascii="Consolas" w:hAnsi="Consolas"/>
          <w:color w:val="1E1E1E"/>
          <w:sz w:val="18"/>
        </w:rPr>
        <w:t xml:space="preserve">                           THE TWO-PILLAR VALIDATION STRATEGY</w:t>
        <w:br/>
        <w:t xml:space="preserve"> ┌────────────────────────────────────────────────────────────────────────────────────────┐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<w:br/>
        <w:t xml:space="preserve"> │                      OUR BASELINE SYSTEM: CDC NHANES 2011–2014                         │</w:t>
        <w:br/>
        <w:t xml:space="preserve"> │           (N = 3,296 Non-Diabetic Adults | 24/7 Wrist ActiGraph GT3X+ | HOMA-IR)       │</w:t>
        <w:br/>
        <w:t xml:space="preserve"> └──────────────────────────────────────────┬─────────────────────────────────────────────┘</w:t>
        <w:br/>
        <w:t xml:space="preserve">                                            │</w:t>
        <w:br/>
        <w:t xml:space="preserve">         ┌──────────────────────────────────┴──────────────────────────────────┐</w:t>
        <w:br/>
        <w:t xml:space="preserve">         ▼                                                                     ▼</w:t>
        <w:br/>
        <w:t xml:space="preserve"> ┌──────────────────────────────────────┐            ┌──────────────────────────────────────┐</w:t>
        <w:br/>
        <w:t xml:space="preserve"> │ PILLAR 1: POPULATION HOMA-IR         │            │ PILLAR 2: DYNAMIC MINUTE-LEVEL CGM   │</w:t>
        <w:br/>
        <w:t xml:space="preserve"> │ • Dataset: MESA Sleep Study (NSRR)   │            │ • Dataset: Duke BIG IDEAs (PhysioNet)│</w:t>
        <w:br/>
        <w:t xml:space="preserve"> │ • N = 2,237 Multi-Ethnic Adults      │            │ • N = 16 Adults (26,000 5-min epochs)│</w:t>
        <w:br/>
        <w:t xml:space="preserve"> │ • 7-Day Wrist Actigraphy + HOMA-IR   │            │ • Empatica E4 (PPG/EDA/ACC/Temp)     │</w:t>
        <w:br/>
        <w:t xml:space="preserve"> │ • Tests 1:1 Cross-Cohort Transfer    │            │ • Dexcom G6 Continuous Glucose (CGM) │</w:t>
        <w:br/>
        <w:t xml:space="preserve"> │ • Validates Phase 1 &amp; Phase 2 Models │            │ • Validates 1D-CNN &amp; Bi-LSTM Models  │</w:t>
        <w:br/>
        <w:t xml:space="preserve"> └──────────────────────────────────────┘            └──────────────────────────────────────┘</w:t>
      </w:r>
    </w:p>
    <w:p>
      <w:pPr>
        <w:spacing w:before="120" w:after="120"/>
      </w:pPr>
    </w:p>
    <w:p>
      <w:pPr>
        <w:pStyle w:val="Heading1"/>
        <w:spacing w:before="240" w:after="120"/>
      </w:pPr>
      <w:r>
        <w:rPr>
          <w:rFonts w:ascii="Calibri" w:hAnsi="Calibri"/>
          <w:b/>
          <w:color w:val="1F4E79"/>
          <w:sz w:val="40"/>
        </w:rPr>
        <w:t>Side-by-Side Master Comparison Table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F4E79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 Technical Dimension</w:t>
            </w:r>
          </w:p>
        </w:tc>
        <w:tc>
          <w:tcPr>
            <w:tcW w:type="dxa" w:w="2484"/>
            <w:shd w:fill="1F4E79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Current Baseline: NHANES 2011–2014</w:t>
            </w:r>
          </w:p>
        </w:tc>
        <w:tc>
          <w:tcPr>
            <w:tcW w:type="dxa" w:w="2484"/>
            <w:shd w:fill="1F4E79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Candidate 1: MESA Sleep (NSRR)</w:t>
            </w:r>
          </w:p>
        </w:tc>
        <w:tc>
          <w:tcPr>
            <w:tcW w:type="dxa" w:w="2484"/>
            <w:shd w:fill="1F4E79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Candidate 2: Duke BIG IDEAs (PhysioNet) </w:t>
            </w:r>
          </w:p>
        </w:tc>
      </w:tr>
      <w:tr>
        <w:tc>
          <w:tcPr>
            <w:tcW w:type="dxa" w:w="2484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 **Primary Repository**</w:t>
            </w:r>
          </w:p>
        </w:tc>
        <w:tc>
          <w:tcPr>
            <w:tcW w:type="dxa" w:w="2484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CDC National Center for Health Statistics</w:t>
            </w:r>
          </w:p>
        </w:tc>
        <w:tc>
          <w:tcPr>
            <w:tcW w:type="dxa" w:w="2484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**National Sleep Research Resource (NSRR)**</w:t>
            </w:r>
          </w:p>
        </w:tc>
        <w:tc>
          <w:tcPr>
            <w:tcW w:type="dxa" w:w="2484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**PhysioNet (MIT / Harvard)** </w:t>
            </w:r>
          </w:p>
        </w:tc>
      </w:tr>
      <w:tr>
        <w:tc>
          <w:tcPr>
            <w:tcW w:type="dxa" w:w="2484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 **Institutional Lead**</w:t>
            </w:r>
          </w:p>
        </w:tc>
        <w:tc>
          <w:tcPr>
            <w:tcW w:type="dxa" w:w="2484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US Centers for Disease Control (CDC)</w:t>
            </w:r>
          </w:p>
        </w:tc>
        <w:tc>
          <w:tcPr>
            <w:tcW w:type="dxa" w:w="2484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NHLBI / Columbia / Johns Hopkins / UW</w:t>
            </w:r>
          </w:p>
        </w:tc>
        <w:tc>
          <w:tcPr>
            <w:tcW w:type="dxa" w:w="2484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Duke University Dept. of Biomedical Engineering </w:t>
            </w:r>
          </w:p>
        </w:tc>
      </w:tr>
      <w:tr>
        <w:tc>
          <w:tcPr>
            <w:tcW w:type="dxa" w:w="2484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 **Sample Size ($N$)**</w:t>
            </w:r>
          </w:p>
        </w:tc>
        <w:tc>
          <w:tcPr>
            <w:tcW w:type="dxa" w:w="2484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$N = 3,296$ Non-Diabetic Adults</w:t>
            </w:r>
          </w:p>
        </w:tc>
        <w:tc>
          <w:tcPr>
            <w:tcW w:type="dxa" w:w="2484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**$N = 2,237$ Multi-Ethnic Adults**</w:t>
            </w:r>
          </w:p>
        </w:tc>
        <w:tc>
          <w:tcPr>
            <w:tcW w:type="dxa" w:w="2484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**$N = 16$ Participants (~$26,000$ paired epochs)** </w:t>
            </w:r>
          </w:p>
        </w:tc>
      </w:tr>
      <w:tr>
        <w:tc>
          <w:tcPr>
            <w:tcW w:type="dxa" w:w="2484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 **Wearable Device**</w:t>
            </w:r>
          </w:p>
        </w:tc>
        <w:tc>
          <w:tcPr>
            <w:tcW w:type="dxa" w:w="2484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ActiGraph GT3X+ (Triaxial Wrist Accelerometer)</w:t>
            </w:r>
          </w:p>
        </w:tc>
        <w:tc>
          <w:tcPr>
            <w:tcW w:type="dxa" w:w="2484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**Actiwatch Spectrum** (Triaxial Wrist Accelerometer + Light)</w:t>
            </w:r>
          </w:p>
        </w:tc>
        <w:tc>
          <w:tcPr>
            <w:tcW w:type="dxa" w:w="2484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**Empatica E4 Research Smartband** (Medical Grade) </w:t>
            </w:r>
          </w:p>
        </w:tc>
      </w:tr>
      <w:tr>
        <w:tc>
          <w:tcPr>
            <w:tcW w:type="dxa" w:w="2484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 **Wearable Sensor Signals**</w:t>
            </w:r>
          </w:p>
        </w:tc>
        <w:tc>
          <w:tcPr>
            <w:tcW w:type="dxa" w:w="2484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Triaxial MIMS, Hourly Accelerometry, Lux</w:t>
            </w:r>
          </w:p>
        </w:tc>
        <w:tc>
          <w:tcPr>
            <w:tcW w:type="dxa" w:w="2484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Triaxial Activity Counts, Sleep/Wake, Lux</w:t>
            </w:r>
          </w:p>
        </w:tc>
        <w:tc>
          <w:tcPr>
            <w:tcW w:type="dxa" w:w="2484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**PPG/BVP (64 Hz), EDA (4 Hz), Temp (4 Hz), ACC (32 Hz)** </w:t>
            </w:r>
          </w:p>
        </w:tc>
      </w:tr>
      <w:tr>
        <w:tc>
          <w:tcPr>
            <w:tcW w:type="dxa" w:w="2484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 **Wear Duration Protocol**</w:t>
            </w:r>
          </w:p>
        </w:tc>
        <w:tc>
          <w:tcPr>
            <w:tcW w:type="dxa" w:w="2484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7–9 Consecutive Days (24/7 continuous wear)</w:t>
            </w:r>
          </w:p>
        </w:tc>
        <w:tc>
          <w:tcPr>
            <w:tcW w:type="dxa" w:w="2484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**7 Consecutive Days (24/7 continuous wear)**</w:t>
            </w:r>
          </w:p>
        </w:tc>
        <w:tc>
          <w:tcPr>
            <w:tcW w:type="dxa" w:w="2484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**8–10 Consecutive Days (Free-living naturalistic)** </w:t>
            </w:r>
          </w:p>
        </w:tc>
      </w:tr>
      <w:tr>
        <w:tc>
          <w:tcPr>
            <w:tcW w:type="dxa" w:w="2484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 **Ground Truth Metabolic Assay**</w:t>
            </w:r>
          </w:p>
        </w:tc>
        <w:tc>
          <w:tcPr>
            <w:tcW w:type="dxa" w:w="2484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Certified Fasting Insulin &amp; Glucose $\rightarrow$ **HOMA-IR**</w:t>
            </w:r>
          </w:p>
        </w:tc>
        <w:tc>
          <w:tcPr>
            <w:tcW w:type="dxa" w:w="2484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Certified Fasting Insulin &amp; Glucose $\rightarrow$ **HOMA-IR**</w:t>
            </w:r>
          </w:p>
        </w:tc>
        <w:tc>
          <w:tcPr>
            <w:tcW w:type="dxa" w:w="2484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**Dexcom G6 Continuous Glucose Monitor (CGM, 5-min)** </w:t>
            </w:r>
          </w:p>
        </w:tc>
      </w:tr>
      <w:tr>
        <w:tc>
          <w:tcPr>
            <w:tcW w:type="dxa" w:w="2484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 **Secondary Clinical Vitals**</w:t>
            </w:r>
          </w:p>
        </w:tc>
        <w:tc>
          <w:tcPr>
            <w:tcW w:type="dxa" w:w="2484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Waist Circumference, BMI, Pulse, SBP, DBP</w:t>
            </w:r>
          </w:p>
        </w:tc>
        <w:tc>
          <w:tcPr>
            <w:tcW w:type="dxa" w:w="2484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Waist Circumference, BMI, Pulse, SBP, DBP</w:t>
            </w:r>
          </w:p>
        </w:tc>
        <w:tc>
          <w:tcPr>
            <w:tcW w:type="dxa" w:w="2484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Baseline Demographics, HbA1c, Clinical Tiers </w:t>
            </w:r>
          </w:p>
        </w:tc>
      </w:tr>
      <w:tr>
        <w:tc>
          <w:tcPr>
            <w:tcW w:type="dxa" w:w="2484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 **Accessibility &amp; Licensing**</w:t>
            </w:r>
          </w:p>
        </w:tc>
        <w:tc>
          <w:tcPr>
            <w:tcW w:type="dxa" w:w="2484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100% Public Open Data</w:t>
            </w:r>
          </w:p>
        </w:tc>
        <w:tc>
          <w:tcPr>
            <w:tcW w:type="dxa" w:w="2484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**Free Instant Access** (`sleepdata.org` account)</w:t>
            </w:r>
          </w:p>
        </w:tc>
        <w:tc>
          <w:tcPr>
            <w:tcW w:type="dxa" w:w="2484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**100% Free Public Instant Download** (Open Access) </w:t>
            </w:r>
          </w:p>
        </w:tc>
      </w:tr>
      <w:tr>
        <w:tc>
          <w:tcPr>
            <w:tcW w:type="dxa" w:w="2484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 **Primary Project Objective**</w:t>
            </w:r>
          </w:p>
        </w:tc>
        <w:tc>
          <w:tcPr>
            <w:tcW w:type="dxa" w:w="2484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Original Model Training &amp; Benchmark</w:t>
            </w:r>
          </w:p>
        </w:tc>
        <w:tc>
          <w:tcPr>
            <w:tcW w:type="dxa" w:w="2484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**Cross-Cohort External Validation of HOMA-IR**</w:t>
            </w:r>
          </w:p>
        </w:tc>
        <w:tc>
          <w:tcPr>
            <w:tcW w:type="dxa" w:w="2484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**Dynamic Continuous Glucose Forecasting (Deep Learning)** </w:t>
            </w:r>
          </w:p>
        </w:tc>
      </w:tr>
    </w:tbl>
    <w:p>
      <w:pPr>
        <w:spacing w:after="80"/>
      </w:pPr>
    </w:p>
    <w:p>
      <w:pPr>
        <w:spacing w:before="120" w:after="120"/>
      </w:pPr>
    </w:p>
    <w:p>
      <w:pPr>
        <w:pStyle w:val="Heading1"/>
        <w:spacing w:before="240" w:after="120"/>
      </w:pPr>
      <w:r>
        <w:rPr>
          <w:rFonts w:ascii="Calibri" w:hAnsi="Calibri"/>
          <w:b/>
          <w:color w:val="1F4E79"/>
          <w:sz w:val="40"/>
        </w:rPr>
        <w:t>PART 1: Dataset 1 — MESA Sleep Ancillary Study (NSRR)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2E75B6"/>
          <w:sz w:val="28"/>
        </w:rPr>
        <w:t>1.1 What It Is &amp; Institutional Background</w:t>
      </w:r>
    </w:p>
    <w:p>
      <w:pPr>
        <w:spacing w:after="80"/>
      </w:pPr>
      <w:r>
        <w:t xml:space="preserve">The </w:t>
      </w:r>
      <w:r>
        <w:rPr>
          <w:b/>
        </w:rPr>
        <w:t>Multi-Ethnic Study of Atherosclerosis (MESA)</w:t>
      </w:r>
      <w:r>
        <w:t xml:space="preserve"> is a landmark longitudinal cohort study sponsored by the </w:t>
      </w:r>
      <w:r>
        <w:rPr>
          <w:b/>
        </w:rPr>
        <w:t>National Heart, Lung, and Blood Institute (NHLBI)</w:t>
      </w:r>
      <w:r>
        <w:t>. Between 2010 and 2013, MESA conducted a comprehensive Sleep Ancillary Study across six prominent US university field centers:</w:t>
      </w:r>
    </w:p>
    <w:p>
      <w:pPr>
        <w:spacing w:after="80"/>
      </w:pPr>
      <w:r>
        <w:t>1. Columbia University (New York, NY)</w:t>
      </w:r>
    </w:p>
    <w:p>
      <w:pPr>
        <w:spacing w:after="80"/>
      </w:pPr>
      <w:r>
        <w:t>2. Johns Hopkins University (Baltimore, MD)</w:t>
      </w:r>
    </w:p>
    <w:p>
      <w:pPr>
        <w:spacing w:after="80"/>
      </w:pPr>
      <w:r>
        <w:t>3. Northwestern University (Chicago, IL)</w:t>
      </w:r>
    </w:p>
    <w:p>
      <w:pPr>
        <w:spacing w:after="80"/>
      </w:pPr>
      <w:r>
        <w:t>4. University of California, Los Angeles (UCLA)</w:t>
      </w:r>
    </w:p>
    <w:p>
      <w:pPr>
        <w:spacing w:after="80"/>
      </w:pPr>
      <w:r>
        <w:t>5. University of Minnesota (Minneapolis, MN)</w:t>
      </w:r>
    </w:p>
    <w:p>
      <w:pPr>
        <w:spacing w:after="80"/>
      </w:pPr>
      <w:r>
        <w:t>6. Wake Forest University (Winston-Salem, NC)</w:t>
      </w:r>
    </w:p>
    <w:p>
      <w:pPr>
        <w:spacing w:after="80"/>
      </w:pPr>
      <w:r>
        <w:t xml:space="preserve">The dataset is curated and hosted on the </w:t>
      </w:r>
      <w:r>
        <w:rPr>
          <w:b/>
        </w:rPr>
        <w:t>National Sleep Research Resource (NSRR)</w:t>
      </w:r>
      <w:r>
        <w:t xml:space="preserve"> at `sleepdata.org/datasets/mesa`.</w:t>
      </w:r>
    </w:p>
    <w:p>
      <w:pPr>
        <w:spacing w:before="120" w:after="120"/>
      </w:pPr>
    </w:p>
    <w:p>
      <w:pPr>
        <w:pStyle w:val="Heading2"/>
        <w:spacing w:before="200" w:after="80"/>
      </w:pPr>
      <w:r>
        <w:rPr>
          <w:rFonts w:ascii="Calibri" w:hAnsi="Calibri"/>
          <w:b/>
          <w:color w:val="2E75B6"/>
          <w:sz w:val="28"/>
        </w:rPr>
        <w:t>1.2 Technical &amp; Sensor Specifications</w:t>
      </w:r>
    </w:p>
    <w:p>
      <w:pPr>
        <w:pStyle w:val="ListBullet"/>
        <w:spacing w:after="40"/>
      </w:pPr>
      <w:r/>
      <w:r>
        <w:rPr>
          <w:b/>
        </w:rPr>
        <w:t>Hardware:</w:t>
      </w:r>
      <w:r>
        <w:t xml:space="preserve"> </w:t>
      </w:r>
      <w:r>
        <w:rPr>
          <w:b/>
        </w:rPr>
        <w:t>Philips Respironics Actiwatch Spectrum</w:t>
      </w:r>
      <w:r>
        <w:t xml:space="preserve"> worn on the non-dominant wrist.</w:t>
      </w:r>
    </w:p>
    <w:p>
      <w:pPr>
        <w:pStyle w:val="ListBullet"/>
        <w:spacing w:after="40"/>
      </w:pPr>
      <w:r/>
      <w:r>
        <w:rPr>
          <w:b/>
        </w:rPr>
        <w:t>Epoch Length:</w:t>
      </w:r>
      <w:r>
        <w:t xml:space="preserve"> 30-second and 60-second activity count epochs recorded continuously.</w:t>
      </w:r>
    </w:p>
    <w:p>
      <w:pPr>
        <w:pStyle w:val="ListBullet"/>
        <w:spacing w:after="40"/>
      </w:pPr>
      <w:r/>
      <w:r>
        <w:rPr>
          <w:b/>
        </w:rPr>
        <w:t>Channels:</w:t>
      </w:r>
      <w:r/>
    </w:p>
    <w:p>
      <w:pPr>
        <w:spacing w:after="80"/>
      </w:pPr>
      <w:r>
        <w:t xml:space="preserve">  * </w:t>
      </w:r>
      <w:r>
        <w:rPr>
          <w:b/>
        </w:rPr>
        <w:t>Triaxial Accelerometer:</w:t>
      </w:r>
      <w:r>
        <w:t xml:space="preserve"> Measures wrist acceleration using a piezoelectric sensor.</w:t>
      </w:r>
    </w:p>
    <w:p>
      <w:pPr>
        <w:spacing w:after="80"/>
      </w:pPr>
      <w:r>
        <w:t xml:space="preserve">  * </w:t>
      </w:r>
      <w:r>
        <w:rPr>
          <w:b/>
        </w:rPr>
        <w:t>Off-Wrist Sensor:</w:t>
      </w:r>
      <w:r>
        <w:t xml:space="preserve"> Capacitive touch sensor detects whether the device was removed.</w:t>
      </w:r>
    </w:p>
    <w:p>
      <w:pPr>
        <w:spacing w:after="80"/>
      </w:pPr>
      <w:r>
        <w:t xml:space="preserve">  * </w:t>
      </w:r>
      <w:r>
        <w:rPr>
          <w:b/>
        </w:rPr>
        <w:t>Photopic Ambient Light Sensor:</w:t>
      </w:r>
      <w:r>
        <w:t xml:space="preserve"> Quantifies lux exposure across waking and nocturnal hours.</w:t>
      </w:r>
    </w:p>
    <w:p>
      <w:pPr>
        <w:pStyle w:val="ListBullet"/>
        <w:spacing w:after="40"/>
      </w:pPr>
      <w:r/>
      <w:r>
        <w:rPr>
          <w:b/>
        </w:rPr>
        <w:t>Wear Protocol:</w:t>
      </w:r>
      <w:r>
        <w:t xml:space="preserve"> 7 consecutive 24-hour days and nights worn during free-living daily activity, sleep, and water immersion.</w:t>
      </w:r>
    </w:p>
    <w:p>
      <w:pPr>
        <w:spacing w:before="120" w:after="120"/>
      </w:pPr>
    </w:p>
    <w:p>
      <w:pPr>
        <w:pStyle w:val="Heading2"/>
        <w:spacing w:before="200" w:after="80"/>
      </w:pPr>
      <w:r>
        <w:rPr>
          <w:rFonts w:ascii="Calibri" w:hAnsi="Calibri"/>
          <w:b/>
          <w:color w:val="2E75B6"/>
          <w:sz w:val="28"/>
        </w:rPr>
        <w:t>1.3 Paired Clinical Ground Truth Assays</w:t>
      </w:r>
    </w:p>
    <w:p>
      <w:pPr>
        <w:spacing w:after="80"/>
      </w:pPr>
      <w:r>
        <w:t>Concurrently with the 7-day actigraphy wear window, participants attended standardized clinical examinations:</w:t>
      </w:r>
    </w:p>
    <w:p>
      <w:pPr>
        <w:spacing w:after="80"/>
      </w:pPr>
      <w:r>
        <w:t xml:space="preserve">1. </w:t>
      </w:r>
      <w:r>
        <w:rPr>
          <w:b/>
        </w:rPr>
        <w:t>Fasting Serum Insulin ($\mu\text{U/mL}$):</w:t>
      </w:r>
      <w:r>
        <w:t xml:space="preserve"> Measured via certified radioimmunoassay.</w:t>
      </w:r>
    </w:p>
    <w:p>
      <w:pPr>
        <w:spacing w:after="80"/>
      </w:pPr>
      <w:r>
        <w:t xml:space="preserve">2. </w:t>
      </w:r>
      <w:r>
        <w:rPr>
          <w:b/>
        </w:rPr>
        <w:t>Fasting Plasma Glucose ($\text{mg/dL}$):</w:t>
      </w:r>
      <w:r>
        <w:t xml:space="preserve"> Measured via the hexokinase method.</w:t>
      </w:r>
    </w:p>
    <w:p>
      <w:pPr>
        <w:spacing w:after="80"/>
      </w:pPr>
      <w:r>
        <w:t xml:space="preserve">3. </w:t>
      </w:r>
      <w:r>
        <w:rPr>
          <w:b/>
        </w:rPr>
        <w:t>Gold-Standard HOMA-IR:</w:t>
      </w:r>
      <w:r>
        <w:t xml:space="preserve"> Directly calculated using the standard clinical equation:</w:t>
      </w:r>
    </w:p>
    <w:p>
      <w:pPr>
        <w:spacing w:after="80"/>
      </w:pPr>
      <w:r>
        <w:t xml:space="preserve">   $$\text{HOMA-IR} = \frac{\text{Fasting Glucose (mg/dL)} \times \text{Fasting Insulin (\mu U/mL)}}{405}$$</w:t>
      </w:r>
    </w:p>
    <w:p>
      <w:pPr>
        <w:spacing w:after="80"/>
      </w:pPr>
      <w:r>
        <w:t xml:space="preserve">4. </w:t>
      </w:r>
      <w:r>
        <w:rPr>
          <w:b/>
        </w:rPr>
        <w:t>Glycated Hemoglobin (HbA1c, $\%$):</w:t>
      </w:r>
      <w:r>
        <w:t xml:space="preserve"> High-performance liquid chromatography.</w:t>
      </w:r>
    </w:p>
    <w:p>
      <w:pPr>
        <w:spacing w:after="80"/>
      </w:pPr>
      <w:r>
        <w:t xml:space="preserve">5. </w:t>
      </w:r>
      <w:r>
        <w:rPr>
          <w:b/>
        </w:rPr>
        <w:t>Physical Anthropometrics:</w:t>
      </w:r>
      <w:r>
        <w:t xml:space="preserve"> Certified standing height, weight ($\text{BMI}$), and waist circumference ($\text{cm}$) measured at the umbilicus.</w:t>
      </w:r>
    </w:p>
    <w:p>
      <w:pPr>
        <w:spacing w:after="80"/>
      </w:pPr>
      <w:r>
        <w:t xml:space="preserve">6. </w:t>
      </w:r>
      <w:r>
        <w:rPr>
          <w:b/>
        </w:rPr>
        <w:t>Resting Hemodynamics:</w:t>
      </w:r>
      <w:r>
        <w:t xml:space="preserve"> Automated Dinamap oscillometric resting blood pressure (SBP, DBP, resting pulse rate).</w:t>
      </w:r>
    </w:p>
    <w:p>
      <w:pPr>
        <w:spacing w:before="120" w:after="120"/>
      </w:pPr>
    </w:p>
    <w:p>
      <w:pPr>
        <w:pStyle w:val="Heading2"/>
        <w:spacing w:before="200" w:after="80"/>
      </w:pPr>
      <w:r>
        <w:rPr>
          <w:rFonts w:ascii="Calibri" w:hAnsi="Calibri"/>
          <w:b/>
          <w:color w:val="2E75B6"/>
          <w:sz w:val="28"/>
        </w:rPr>
        <w:t>1.4 Brief Exploratory Data Analysis (EDA) Profile</w:t>
      </w:r>
    </w:p>
    <w:p>
      <w:pPr>
        <w:spacing w:before="80" w:after="120"/>
        <w:ind w:left="576"/>
      </w:pPr>
      <w:r>
        <w:rPr>
          <w:rFonts w:ascii="Consolas" w:hAnsi="Consolas"/>
          <w:color w:val="1E1E1E"/>
          <w:sz w:val="18"/>
        </w:rPr>
        <w:t xml:space="preserve">                           MESA SLEEP COHORT DEMOGRAPHICS (N = 2,237)</w:t>
        <w:br/>
        <w:t xml:space="preserve"> ┌────────────────────────────────────────────────────────────────────────────────────────┐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<w:br/>
        <w:t xml:space="preserve"> │  SEX DISTRIBUTION           ETHNIC BREAKDOWN                     METABOLIC STATUS      │</w:t>
        <w:br/>
        <w:t xml:space="preserve"> │  • Female: 54.2% (1,212)    • White / Caucasian: 38.1% (852)     • Normal: 68.6%       │</w:t>
        <w:br/>
        <w:t xml:space="preserve"> │  • Male:   45.8% (1,025)    • African-American:  27.9% (624)     • Impaired Fasting:   │</w:t>
        <w:br/>
        <w:t xml:space="preserve"> │                             • Hispanic:          22.1% (494)       18.4% (Pre-diabetic)│</w:t>
        <w:br/>
        <w:t xml:space="preserve"> │  AGE: 54 to 93 years        • Chinese-American:  11.9% (267)     • Prevalent Diabetes: │</w:t>
        <w:br/>
        <w:t xml:space="preserve"> │  (Mean: 68.5 ± 9.1 yrs)                                            13.0% (Diagnosed)   │</w:t>
        <w:br/>
        <w:t xml:space="preserve"> └────────────────────────────────────────────────────────────────────────────────────────┘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ListBullet"/>
        <w:spacing w:after="40"/>
      </w:pPr>
      <w:r/>
      <w:r>
        <w:rPr>
          <w:b/>
        </w:rPr>
        <w:t>Cohort Size:</w:t>
      </w:r>
      <w:r>
        <w:t xml:space="preserve"> $N = 2,237$ participants with complete 7-day actigraphy recordings.</w:t>
      </w:r>
    </w:p>
    <w:p>
      <w:pPr>
        <w:pStyle w:val="ListBullet"/>
        <w:spacing w:after="40"/>
      </w:pPr>
      <w:r/>
      <w:r>
        <w:rPr>
          <w:b/>
        </w:rPr>
        <w:t>Age Distribution:</w:t>
      </w:r>
      <w:r>
        <w:t xml:space="preserve"> Middle-aged to elderly adults ($54 - 93$ years old; median: $67.0$ years), providing an older, higher-risk cardiometabolic profile than NHANES (which spanned 18–65 years).</w:t>
      </w:r>
    </w:p>
    <w:p>
      <w:pPr>
        <w:pStyle w:val="ListBullet"/>
        <w:spacing w:after="40"/>
      </w:pPr>
      <w:r/>
      <w:r>
        <w:rPr>
          <w:b/>
        </w:rPr>
        <w:t>Racial/Ethnic Diversity:</w:t>
      </w:r>
      <w:r/>
    </w:p>
    <w:p>
      <w:pPr>
        <w:spacing w:after="80"/>
      </w:pPr>
      <w:r>
        <w:t xml:space="preserve">  * White: $38.1\%$ ($N = 852$)</w:t>
      </w:r>
    </w:p>
    <w:p>
      <w:pPr>
        <w:spacing w:after="80"/>
      </w:pPr>
      <w:r>
        <w:t xml:space="preserve">  * Black / African-American: $27.9\%$ ($N = 624$)</w:t>
      </w:r>
    </w:p>
    <w:p>
      <w:pPr>
        <w:spacing w:after="80"/>
      </w:pPr>
      <w:r>
        <w:t xml:space="preserve">  * Hispanic: $22.1\%$ ($N = 494$)</w:t>
      </w:r>
    </w:p>
    <w:p>
      <w:pPr>
        <w:spacing w:after="80"/>
      </w:pPr>
      <w:r>
        <w:t xml:space="preserve">  * Asian (Chinese-American): $11.9\%$ ($N = 267$)</w:t>
      </w:r>
    </w:p>
    <w:p>
      <w:pPr>
        <w:pStyle w:val="ListBullet"/>
        <w:spacing w:after="40"/>
      </w:pPr>
      <w:r/>
      <w:r>
        <w:rPr>
          <w:b/>
        </w:rPr>
        <w:t>Metabolic Stratification:</w:t>
      </w:r>
      <w:r/>
    </w:p>
    <w:p>
      <w:pPr>
        <w:spacing w:after="80"/>
      </w:pPr>
      <w:r>
        <w:t xml:space="preserve">  * Fasting Glucose Mean: $104.8 \pm 28.3\text{ mg/dL}$</w:t>
      </w:r>
    </w:p>
    <w:p>
      <w:pPr>
        <w:spacing w:after="80"/>
      </w:pPr>
      <w:r>
        <w:t xml:space="preserve">  * Fasting Insulin Median: $8.4\text{ }\mu\text{U/mL}$ (IQR: $5.2 - 13.6$)</w:t>
      </w:r>
    </w:p>
    <w:p>
      <w:pPr>
        <w:spacing w:after="80"/>
      </w:pPr>
      <w:r>
        <w:t xml:space="preserve">  * HOMA-IR Median: $2.14$ (IQR: $1.28 - 3.72$, with severe right skewness $&gt; 4.2$)</w:t>
      </w:r>
    </w:p>
    <w:p>
      <w:pPr>
        <w:pStyle w:val="ListBullet"/>
        <w:spacing w:after="40"/>
      </w:pPr>
      <w:r/>
      <w:r>
        <w:rPr>
          <w:b/>
        </w:rPr>
        <w:t>File Structure on NSRR:</w:t>
      </w:r>
      <w:r/>
    </w:p>
    <w:p>
      <w:pPr>
        <w:spacing w:after="80"/>
      </w:pPr>
      <w:r>
        <w:t xml:space="preserve">  * `mesa-actigraphy.csv`: Epoch-by-epoch 30-second activity counts and off-wrist flags.</w:t>
      </w:r>
    </w:p>
    <w:p>
      <w:pPr>
        <w:spacing w:after="80"/>
      </w:pPr>
      <w:r>
        <w:t xml:space="preserve">  * `mesa-sleep-harmonized.csv`: Harmonized participant-level sleep architecture, demographic, and clinical summary variables.</w:t>
      </w:r>
    </w:p>
    <w:p>
      <w:pPr>
        <w:spacing w:before="120" w:after="120"/>
      </w:pPr>
    </w:p>
    <w:p>
      <w:pPr>
        <w:pStyle w:val="Heading2"/>
        <w:spacing w:before="200" w:after="80"/>
      </w:pPr>
      <w:r>
        <w:rPr>
          <w:rFonts w:ascii="Calibri" w:hAnsi="Calibri"/>
          <w:b/>
          <w:color w:val="2E75B6"/>
          <w:sz w:val="28"/>
        </w:rPr>
        <w:t>1.5 Why MESA is Useful for Our Project</w:t>
      </w:r>
    </w:p>
    <w:p>
      <w:pPr>
        <w:spacing w:after="80"/>
      </w:pPr>
      <w:r>
        <w:t xml:space="preserve">1. </w:t>
      </w:r>
      <w:r>
        <w:rPr>
          <w:b/>
        </w:rPr>
        <w:t>Identical Target &amp; Features:</w:t>
      </w:r>
      <w:r>
        <w:t xml:space="preserve"> Because both NHANES and MESA record </w:t>
      </w:r>
      <w:r>
        <w:rPr>
          <w:b/>
        </w:rPr>
        <w:t>7-day continuous wrist actigraphy</w:t>
      </w:r>
      <w:r>
        <w:t xml:space="preserve"> paired with </w:t>
      </w:r>
      <w:r>
        <w:rPr>
          <w:b/>
        </w:rPr>
        <w:t>Fasting Insulin $\rightarrow$ HOMA-IR</w:t>
      </w:r>
      <w:r>
        <w:t xml:space="preserve">, the problem formulation is </w:t>
      </w:r>
      <w:r>
        <w:rPr>
          <w:b/>
        </w:rPr>
        <w:t>1:1 identical</w:t>
      </w:r>
      <w:r>
        <w:t>.</w:t>
      </w:r>
    </w:p>
    <w:p>
      <w:pPr>
        <w:spacing w:after="80"/>
      </w:pPr>
      <w:r>
        <w:t xml:space="preserve">2. </w:t>
      </w:r>
      <w:r>
        <w:rPr>
          <w:b/>
        </w:rPr>
        <w:t>Zero Code Refactoring:</w:t>
      </w:r>
      <w:r>
        <w:t xml:space="preserve"> We can extract the exact same 27 features:</w:t>
      </w:r>
    </w:p>
    <w:p>
      <w:pPr>
        <w:spacing w:after="80"/>
      </w:pPr>
      <w:r>
        <w:t xml:space="preserve">   * Non-parametric circadian markers: Interdaily Stability (IS), Intradaily Variability (IV), Relative Amplitude (RA), L5, M10.</w:t>
      </w:r>
    </w:p>
    <w:p>
      <w:pPr>
        <w:spacing w:after="80"/>
      </w:pPr>
      <w:r>
        <w:t xml:space="preserve">   * Parametric Cosinor waves: Mesor, Amplitude, Acrophase.</w:t>
      </w:r>
    </w:p>
    <w:p>
      <w:pPr>
        <w:spacing w:after="80"/>
      </w:pPr>
      <w:r>
        <w:t xml:space="preserve">   * Anthropometrics: Waist Circumference, BMI, Blood Pressure, Pulse.</w:t>
      </w:r>
    </w:p>
    <w:p>
      <w:pPr>
        <w:spacing w:after="80"/>
      </w:pPr>
      <w:r>
        <w:t xml:space="preserve">3. </w:t>
      </w:r>
      <w:r>
        <w:rPr>
          <w:b/>
        </w:rPr>
        <w:t>True Out-of-Distribution Generalization:</w:t>
      </w:r>
      <w:r>
        <w:t xml:space="preserve"> Testing whether our models trained on young-to-middle-aged NHANES participants ($18 - 65$ years) generalize to older adults ($54 - 93$ years) in an entirely different clinical study cohort.</w:t>
      </w:r>
    </w:p>
    <w:p>
      <w:pPr>
        <w:spacing w:before="120" w:after="120"/>
      </w:pPr>
    </w:p>
    <w:p>
      <w:pPr>
        <w:pStyle w:val="Heading2"/>
        <w:spacing w:before="200" w:after="80"/>
      </w:pPr>
      <w:r>
        <w:rPr>
          <w:rFonts w:ascii="Calibri" w:hAnsi="Calibri"/>
          <w:b/>
          <w:color w:val="2E75B6"/>
          <w:sz w:val="28"/>
        </w:rPr>
        <w:t>1.6 What We Can Do (Actionable Implementation Plan)</w:t>
      </w:r>
    </w:p>
    <w:p>
      <w:pPr>
        <w:pStyle w:val="ListBullet"/>
        <w:spacing w:after="40"/>
      </w:pPr>
      <w:r/>
      <w:r>
        <w:rPr>
          <w:b/>
        </w:rPr>
        <w:t>Experiment 1 (Zero-Shot Cross-Cohort Inference):</w:t>
      </w:r>
      <w:r>
        <w:t xml:space="preserve"> Take our frozen NHANES-trained LightGBM, XGBoost, and Stacked Meta-Regressor ($R^2 = 0.4044$) and feed MESA features directly into them with </w:t>
      </w:r>
      <w:r>
        <w:rPr>
          <w:b/>
        </w:rPr>
        <w:t>zero retraining</w:t>
      </w:r>
      <w:r>
        <w:t>. Measure out-of-cohort $R^2$, Pearson $r$, and MAE.</w:t>
      </w:r>
    </w:p>
    <w:p>
      <w:pPr>
        <w:pStyle w:val="ListBullet"/>
        <w:spacing w:after="40"/>
      </w:pPr>
      <w:r/>
      <w:r>
        <w:rPr>
          <w:b/>
        </w:rPr>
        <w:t>Experiment 2 (Phase 2 Screening Transfer):</w:t>
      </w:r>
      <w:r>
        <w:t xml:space="preserve"> Test our 3-Class ADA risk classifier (Normal vs Prediabetes vs Severe IR) on MESA to evaluate whether the $54.85\%$ balanced accuracy and $0.738$ AUROC hold on an external hospital population.</w:t>
      </w:r>
    </w:p>
    <w:p>
      <w:pPr>
        <w:pStyle w:val="ListBullet"/>
        <w:spacing w:after="40"/>
      </w:pPr>
      <w:r/>
      <w:r>
        <w:rPr>
          <w:b/>
        </w:rPr>
        <w:t>Experiment 3 (Transfer Learning / Domain Adaptation):</w:t>
      </w:r>
      <w:r>
        <w:t xml:space="preserve"> Fine-tune our NHANES model with $10\%$ of MESA data to demonstrate domain adaptation across sensor brands (ActiGraph GT3X+ $\rightarrow$ Actiwatch Spectrum).</w:t>
      </w:r>
    </w:p>
    <w:p>
      <w:pPr>
        <w:spacing w:before="120" w:after="120"/>
      </w:pPr>
    </w:p>
    <w:p>
      <w:pPr>
        <w:pStyle w:val="Heading1"/>
        <w:spacing w:before="240" w:after="120"/>
      </w:pPr>
      <w:r>
        <w:rPr>
          <w:rFonts w:ascii="Calibri" w:hAnsi="Calibri"/>
          <w:b/>
          <w:color w:val="1F4E79"/>
          <w:sz w:val="40"/>
        </w:rPr>
        <w:t>PART 2: Dataset 2 — Duke University BIG IDEAs Lab (PhysioNet)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2E75B6"/>
          <w:sz w:val="28"/>
        </w:rPr>
        <w:t>2.1 What It Is &amp; Institutional Background</w:t>
      </w:r>
    </w:p>
    <w:p>
      <w:pPr>
        <w:spacing w:after="80"/>
      </w:pPr>
      <w:r>
        <w:t xml:space="preserve">The </w:t>
      </w:r>
      <w:r>
        <w:rPr>
          <w:b/>
        </w:rPr>
        <w:t>BIG IDEAs Lab Glycemic Variability and Wearable Device Data</w:t>
      </w:r>
      <w:r>
        <w:t xml:space="preserve"> is a cutting-edge digital biomarker dataset created by the </w:t>
      </w:r>
      <w:r>
        <w:rPr>
          <w:b/>
        </w:rPr>
        <w:t>Laboratory for Biomedical Informatics and Data Science (BIG IDEAs Lab)</w:t>
      </w:r>
      <w:r>
        <w:t xml:space="preserve"> at </w:t>
      </w:r>
      <w:r>
        <w:rPr>
          <w:b/>
        </w:rPr>
        <w:t>Duke University Department of Biomedical Engineering</w:t>
      </w:r>
      <w:r>
        <w:t>, led by Dr. Jessilyn Dunn.</w:t>
      </w:r>
    </w:p>
    <w:p>
      <w:pPr>
        <w:spacing w:after="80"/>
      </w:pPr>
      <w:r>
        <w:t xml:space="preserve">Published on </w:t>
      </w:r>
      <w:r>
        <w:rPr>
          <w:b/>
        </w:rPr>
        <w:t>PhysioNet</w:t>
      </w:r>
      <w:r>
        <w:t xml:space="preserve"> (DOI: `10.13026/aw6y-fc44`, Version 1.1.3, updated April 2026), it is designed specifically to investigate whether consumer and research-grade wrist wearables can detect </w:t>
      </w:r>
      <w:r>
        <w:rPr>
          <w:b/>
        </w:rPr>
        <w:t>glycemic variability, post-prandial meal spikes, and dynamic glucose excursions</w:t>
      </w:r>
      <w:r>
        <w:t xml:space="preserve"> in real-world environments without fingersticks.</w:t>
      </w:r>
    </w:p>
    <w:p>
      <w:pPr>
        <w:spacing w:before="120" w:after="120"/>
      </w:pPr>
    </w:p>
    <w:p>
      <w:pPr>
        <w:pStyle w:val="Heading2"/>
        <w:spacing w:before="200" w:after="80"/>
      </w:pPr>
      <w:r>
        <w:rPr>
          <w:rFonts w:ascii="Calibri" w:hAnsi="Calibri"/>
          <w:b/>
          <w:color w:val="2E75B6"/>
          <w:sz w:val="28"/>
        </w:rPr>
        <w:t>2.2 Technical &amp; Sensor Specifications</w:t>
      </w:r>
    </w:p>
    <w:p>
      <w:pPr>
        <w:pStyle w:val="ListBullet"/>
        <w:spacing w:after="40"/>
      </w:pPr>
      <w:r/>
      <w:r>
        <w:rPr>
          <w:b/>
        </w:rPr>
        <w:t>Wearable Device:</w:t>
      </w:r>
      <w:r>
        <w:t xml:space="preserve"> </w:t>
      </w:r>
      <w:r>
        <w:rPr>
          <w:b/>
        </w:rPr>
        <w:t>Empatica E4 Wristband</w:t>
      </w:r>
      <w:r>
        <w:t xml:space="preserve"> (Medical-grade wearable sensor cleared by FDA / CE for clinical research).</w:t>
      </w:r>
    </w:p>
    <w:p>
      <w:pPr>
        <w:pStyle w:val="ListBullet"/>
        <w:spacing w:after="40"/>
      </w:pPr>
      <w:r/>
      <w:r>
        <w:rPr>
          <w:b/>
        </w:rPr>
        <w:t>Channels &amp; Sampling Rates:</w:t>
      </w:r>
      <w:r/>
    </w:p>
    <w:p>
      <w:pPr>
        <w:spacing w:after="80"/>
      </w:pPr>
      <w:r>
        <w:t xml:space="preserve">  1. </w:t>
      </w:r>
      <w:r>
        <w:rPr>
          <w:b/>
        </w:rPr>
        <w:t>Photoplethysmography (PPG / BVP):</w:t>
      </w:r>
      <w:r>
        <w:t xml:space="preserve"> Blood Volume Pulse recorded at </w:t>
      </w:r>
      <w:r>
        <w:rPr>
          <w:b/>
        </w:rPr>
        <w:t>$64\text{ Hz}$</w:t>
      </w:r>
      <w:r>
        <w:t xml:space="preserve"> (captures pulse wave morphology, Heart Rate, and Heart Rate Variability / RMSSD).</w:t>
      </w:r>
    </w:p>
    <w:p>
      <w:pPr>
        <w:spacing w:after="80"/>
      </w:pPr>
      <w:r>
        <w:t xml:space="preserve">  2. </w:t>
      </w:r>
      <w:r>
        <w:rPr>
          <w:b/>
        </w:rPr>
        <w:t>Electrodermal Activity (EDA / GSR):</w:t>
      </w:r>
      <w:r>
        <w:t xml:space="preserve"> Galvanic Skin Response recorded at </w:t>
      </w:r>
      <w:r>
        <w:rPr>
          <w:b/>
        </w:rPr>
        <w:t>$4\text{ Hz}$</w:t>
      </w:r>
      <w:r>
        <w:t xml:space="preserve"> in micro-Siemens ($\mu\text{S}$) (measures autonomic sympathetic arousal and sweat gland micro-secretion).</w:t>
      </w:r>
    </w:p>
    <w:p>
      <w:pPr>
        <w:spacing w:after="80"/>
      </w:pPr>
      <w:r>
        <w:t xml:space="preserve">  3. </w:t>
      </w:r>
      <w:r>
        <w:rPr>
          <w:b/>
        </w:rPr>
        <w:t>Skin Temperature:</w:t>
      </w:r>
      <w:r>
        <w:t xml:space="preserve"> Infrared thermistor recorded at </w:t>
      </w:r>
      <w:r>
        <w:rPr>
          <w:b/>
        </w:rPr>
        <w:t>$4\text{ Hz}$</w:t>
      </w:r>
      <w:r>
        <w:t xml:space="preserve"> in degrees Celsius (measures peripheral vasoconstriction/vasodilation).</w:t>
      </w:r>
    </w:p>
    <w:p>
      <w:pPr>
        <w:spacing w:after="80"/>
      </w:pPr>
      <w:r>
        <w:t xml:space="preserve">  4. </w:t>
      </w:r>
      <w:r>
        <w:rPr>
          <w:b/>
        </w:rPr>
        <w:t>Triaxial Accelerometer:</w:t>
      </w:r>
      <w:r>
        <w:t xml:space="preserve"> Measures wrist movement at </w:t>
      </w:r>
      <w:r>
        <w:rPr>
          <w:b/>
        </w:rPr>
        <w:t>$32\text{ Hz}$</w:t>
      </w:r>
      <w:r>
        <w:t xml:space="preserve"> across $[x, y, z]$ axes in gravitational units ($g$).</w:t>
      </w:r>
    </w:p>
    <w:p>
      <w:pPr>
        <w:pStyle w:val="ListBullet"/>
        <w:spacing w:after="40"/>
      </w:pPr>
      <w:r/>
      <w:r>
        <w:rPr>
          <w:b/>
        </w:rPr>
        <w:t>Wear Protocol:</w:t>
      </w:r>
      <w:r>
        <w:t xml:space="preserve"> 8 to 10 consecutive days worn continuously during daily free-living conditions.</w:t>
      </w:r>
    </w:p>
    <w:p>
      <w:pPr>
        <w:spacing w:before="120" w:after="120"/>
      </w:pPr>
    </w:p>
    <w:p>
      <w:pPr>
        <w:pStyle w:val="Heading2"/>
        <w:spacing w:before="200" w:after="80"/>
      </w:pPr>
      <w:r>
        <w:rPr>
          <w:rFonts w:ascii="Calibri" w:hAnsi="Calibri"/>
          <w:b/>
          <w:color w:val="2E75B6"/>
          <w:sz w:val="28"/>
        </w:rPr>
        <w:t>2.3 Paired Ground Truth Assay: Continuous Glucose Monitoring (CGM)</w:t>
      </w:r>
    </w:p>
    <w:p>
      <w:pPr>
        <w:pStyle w:val="ListBullet"/>
        <w:spacing w:after="40"/>
      </w:pPr>
      <w:r/>
      <w:r>
        <w:rPr>
          <w:b/>
        </w:rPr>
        <w:t>CGM Hardware:</w:t>
      </w:r>
      <w:r>
        <w:t xml:space="preserve"> </w:t>
      </w:r>
      <w:r>
        <w:rPr>
          <w:b/>
        </w:rPr>
        <w:t>Dexcom G6 Continuous Glucose Monitor</w:t>
      </w:r>
      <w:r>
        <w:t xml:space="preserve"> (Clinical gold-standard factory-calibrated subcutaneous sensor).</w:t>
      </w:r>
    </w:p>
    <w:p>
      <w:pPr>
        <w:pStyle w:val="ListBullet"/>
        <w:spacing w:after="40"/>
      </w:pPr>
      <w:r/>
      <w:r>
        <w:rPr>
          <w:b/>
        </w:rPr>
        <w:t>Sampling Rate:</w:t>
      </w:r>
      <w:r>
        <w:t xml:space="preserve"> Interstitial fluid glucose measured </w:t>
      </w:r>
      <w:r>
        <w:rPr>
          <w:b/>
        </w:rPr>
        <w:t>every 5 minutes</w:t>
      </w:r>
      <w:r>
        <w:t xml:space="preserve"> ($288$ glucose readings per participant per day).</w:t>
      </w:r>
    </w:p>
    <w:p>
      <w:pPr>
        <w:pStyle w:val="ListBullet"/>
        <w:spacing w:after="40"/>
      </w:pPr>
      <w:r/>
      <w:r>
        <w:rPr>
          <w:b/>
        </w:rPr>
        <w:t>Total Volume:</w:t>
      </w:r>
      <w:r>
        <w:t xml:space="preserve"> Over </w:t>
      </w:r>
      <w:r>
        <w:rPr>
          <w:b/>
        </w:rPr>
        <w:t>$26,000$ timestamped, synchronized glucose epochs</w:t>
      </w:r>
      <w:r>
        <w:t xml:space="preserve"> paired with continuous millisecond-level physiological sensor telemetry.</w:t>
      </w:r>
    </w:p>
    <w:p>
      <w:pPr>
        <w:pStyle w:val="ListBullet"/>
        <w:spacing w:after="40"/>
      </w:pPr>
      <w:r/>
      <w:r>
        <w:rPr>
          <w:b/>
        </w:rPr>
        <w:t>Clinical Labels:</w:t>
      </w:r>
      <w:r>
        <w:t xml:space="preserve"> Participants categorized into clinical glycemic categories (high-normoglycemic controls, pre-diabetic individuals, and individuals with impaired fasting glycemia).</w:t>
      </w:r>
    </w:p>
    <w:p>
      <w:pPr>
        <w:spacing w:before="120" w:after="120"/>
      </w:pPr>
    </w:p>
    <w:p>
      <w:pPr>
        <w:pStyle w:val="Heading2"/>
        <w:spacing w:before="200" w:after="80"/>
      </w:pPr>
      <w:r>
        <w:rPr>
          <w:rFonts w:ascii="Calibri" w:hAnsi="Calibri"/>
          <w:b/>
          <w:color w:val="2E75B6"/>
          <w:sz w:val="28"/>
        </w:rPr>
        <w:t>2.4 Brief Exploratory Data Analysis (EDA) Profile</w:t>
      </w:r>
    </w:p>
    <w:p>
      <w:pPr>
        <w:spacing w:before="80" w:after="120"/>
        <w:ind w:left="576"/>
      </w:pPr>
      <w:r>
        <w:rPr>
          <w:rFonts w:ascii="Consolas" w:hAnsi="Consolas"/>
          <w:color w:val="1E1E1E"/>
          <w:sz w:val="18"/>
        </w:rPr>
        <w:t xml:space="preserve">                       DUKE BIG IDEAS DATASET DIRECTORY ARCHITECTURE</w:t>
        <w:br/>
        <w:t xml:space="preserve"> ┌────────────────────────────────────────────────────────────────────────────────────────┐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<w:br/>
        <w:t xml:space="preserve"> │  PARTICIPANT DIRECTORY STRUCTURE (N = 16 Patients, 8–10 Days Each)                     │</w:t>
        <w:br/>
        <w:t xml:space="preserve"> │  ├── Demographics.csv (Age, Sex, Baseline HbA1c, Glucose Tolerance Status)             │</w:t>
        <w:br/>
        <w:t xml:space="preserve"> │  └── [Participant_ID]/                                                                 │</w:t>
        <w:br/>
        <w:t xml:space="preserve"> │       ├── Dexcom.csv (Timestamp, 5-minute CGM Glucose in mg/dL)                        │</w:t>
        <w:br/>
        <w:t xml:space="preserve"> │       ├── ACC.csv    (Timestamp, 32 Hz Triaxial X, Y, Z acceleration)                  │</w:t>
        <w:br/>
        <w:t xml:space="preserve"> │       ├── BVP.csv    (Timestamp, 64 Hz Blood Volume Pulse / PPG)                       │</w:t>
        <w:br/>
        <w:t xml:space="preserve"> │       ├── EDA.csv    (Timestamp, 4 Hz Electrodermal Activity / Conductance)            │</w:t>
        <w:br/>
        <w:t xml:space="preserve"> │       ├── HR.csv     (Timestamp, 1 Hz Processed Heart Rate in BPM)                     │</w:t>
        <w:br/>
        <w:t xml:space="preserve"> │       ├── TEMP.csv   (Timestamp, 4 Hz Peripheral Skin Temperature in °C)               │</w:t>
        <w:br/>
        <w:t xml:space="preserve"> │       └── IBI.csv    (Timestamp, Inter-Beat Intervals for HRV analysis)                │</w:t>
        <w:br/>
        <w:t xml:space="preserve"> └────────────────────────────────────────────────────────────────────────────────────────┘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ListBullet"/>
        <w:spacing w:after="40"/>
      </w:pPr>
      <w:r/>
      <w:r>
        <w:rPr>
          <w:b/>
        </w:rPr>
        <w:t>Cohort Characteristics:</w:t>
      </w:r>
      <w:r/>
    </w:p>
    <w:p>
      <w:pPr>
        <w:spacing w:after="80"/>
      </w:pPr>
      <w:r>
        <w:t xml:space="preserve">  * $N = 16$ diverse adult participants followed longitudinally over multi-day free-living monitoring.</w:t>
      </w:r>
    </w:p>
    <w:p>
      <w:pPr>
        <w:spacing w:after="80"/>
      </w:pPr>
      <w:r>
        <w:t xml:space="preserve">  * Captures both </w:t>
      </w:r>
      <w:r>
        <w:rPr>
          <w:b/>
        </w:rPr>
        <w:t>fasting basal periods</w:t>
      </w:r>
      <w:r>
        <w:t xml:space="preserve"> (overnight sleep) and </w:t>
      </w:r>
      <w:r>
        <w:rPr>
          <w:b/>
        </w:rPr>
        <w:t>dynamic post-prandial glycemic excursions</w:t>
      </w:r>
      <w:r>
        <w:t xml:space="preserve"> (spikes exceeding $180\text{ mg/dL}$ following carbohydrate intake).</w:t>
      </w:r>
    </w:p>
    <w:p>
      <w:pPr>
        <w:pStyle w:val="ListBullet"/>
        <w:spacing w:after="40"/>
      </w:pPr>
      <w:r/>
      <w:r>
        <w:rPr>
          <w:b/>
        </w:rPr>
        <w:t>Sensor-to-CGM Data Volume:</w:t>
      </w:r>
      <w:r/>
    </w:p>
    <w:p>
      <w:pPr>
        <w:spacing w:after="80"/>
      </w:pPr>
      <w:r>
        <w:t xml:space="preserve">  * Over $25$ million raw PPG data points.</w:t>
      </w:r>
    </w:p>
    <w:p>
      <w:pPr>
        <w:spacing w:after="80"/>
      </w:pPr>
      <w:r>
        <w:t xml:space="preserve">  * Over $12$ million raw triaxial acceleration data points.</w:t>
      </w:r>
    </w:p>
    <w:p>
      <w:pPr>
        <w:spacing w:after="80"/>
      </w:pPr>
      <w:r>
        <w:t xml:space="preserve">  * Over $26,000$ paired ground-truth CGM labels.</w:t>
      </w:r>
    </w:p>
    <w:p>
      <w:pPr>
        <w:pStyle w:val="ListBullet"/>
        <w:spacing w:after="40"/>
      </w:pPr>
      <w:r/>
      <w:r>
        <w:rPr>
          <w:b/>
        </w:rPr>
        <w:t>Data Properties:</w:t>
      </w:r>
      <w:r/>
    </w:p>
    <w:p>
      <w:pPr>
        <w:spacing w:after="80"/>
      </w:pPr>
      <w:r>
        <w:t xml:space="preserve">  * Free-living real-world noise (motion artifacts during vigorous walking/typing).</w:t>
      </w:r>
    </w:p>
    <w:p>
      <w:pPr>
        <w:spacing w:after="80"/>
      </w:pPr>
      <w:r>
        <w:t xml:space="preserve">  * High temporal granularity (millisecond-level autonomic signals paired with 5-minute metabolic labels).</w:t>
      </w:r>
    </w:p>
    <w:p>
      <w:pPr>
        <w:spacing w:before="120" w:after="120"/>
      </w:pPr>
    </w:p>
    <w:p>
      <w:pPr>
        <w:pStyle w:val="Heading2"/>
        <w:spacing w:before="200" w:after="80"/>
      </w:pPr>
      <w:r>
        <w:rPr>
          <w:rFonts w:ascii="Calibri" w:hAnsi="Calibri"/>
          <w:b/>
          <w:color w:val="2E75B6"/>
          <w:sz w:val="28"/>
        </w:rPr>
        <w:t>2.5 Why Duke BIG IDEAs is Useful for Our Project</w:t>
      </w:r>
    </w:p>
    <w:p>
      <w:pPr>
        <w:spacing w:after="80"/>
      </w:pPr>
      <w:r>
        <w:t xml:space="preserve">1. </w:t>
      </w:r>
      <w:r>
        <w:rPr>
          <w:b/>
        </w:rPr>
        <w:t>Validates Our Deep Temporal Sequence Models:</w:t>
      </w:r>
      <w:r>
        <w:t xml:space="preserve"> In Report 05, we developed </w:t>
      </w:r>
      <w:r>
        <w:rPr>
          <w:b/>
        </w:rPr>
        <w:t>1D Convolutional Neural Networks (1D-CNN)</w:t>
      </w:r>
      <w:r>
        <w:t xml:space="preserve"> and </w:t>
      </w:r>
      <w:r>
        <w:rPr>
          <w:b/>
        </w:rPr>
        <w:t>Bidirectional Long Short-Term Memory (Bi-LSTM)</w:t>
      </w:r>
      <w:r>
        <w:t xml:space="preserve"> networks on 168-hour consecutive actigraphy arrays. The Duke dataset allows us to run those deep sequence architectures on </w:t>
      </w:r>
      <w:r>
        <w:rPr>
          <w:b/>
        </w:rPr>
        <w:t>dynamic 5-minute continuous glucose time series</w:t>
      </w:r>
      <w:r>
        <w:t>.</w:t>
      </w:r>
    </w:p>
    <w:p>
      <w:pPr>
        <w:spacing w:after="80"/>
      </w:pPr>
      <w:r>
        <w:t xml:space="preserve">2. </w:t>
      </w:r>
      <w:r>
        <w:rPr>
          <w:b/>
        </w:rPr>
        <w:t>Broadens Wearable Sensor Inputs:</w:t>
      </w:r>
      <w:r>
        <w:t xml:space="preserve"> Beyond movement (accelerometry), it introduces </w:t>
      </w:r>
      <w:r>
        <w:rPr>
          <w:b/>
        </w:rPr>
        <w:t>autonomic nervous system features</w:t>
      </w:r>
      <w:r>
        <w:t>:</w:t>
      </w:r>
    </w:p>
    <w:p>
      <w:pPr>
        <w:spacing w:after="80"/>
      </w:pPr>
      <w:r>
        <w:t xml:space="preserve">   * Heart Rate Variability (sympathetic/parasympathetic balance).</w:t>
      </w:r>
    </w:p>
    <w:p>
      <w:pPr>
        <w:spacing w:after="80"/>
      </w:pPr>
      <w:r>
        <w:t xml:space="preserve">   * Electrodermal Activity (stress-induced cortisol and epinephrine surges, which trigger glycogenolysis and acute glucose elevation).</w:t>
      </w:r>
    </w:p>
    <w:p>
      <w:pPr>
        <w:spacing w:after="80"/>
      </w:pPr>
      <w:r>
        <w:t xml:space="preserve">   * Peripheral Skin Temperature (circadian nocturnal heat dissipation).</w:t>
      </w:r>
    </w:p>
    <w:p>
      <w:pPr>
        <w:spacing w:after="80"/>
      </w:pPr>
      <w:r>
        <w:t xml:space="preserve">3. </w:t>
      </w:r>
      <w:r>
        <w:rPr>
          <w:b/>
        </w:rPr>
        <w:t>Clinical Application:</w:t>
      </w:r>
      <w:r>
        <w:t xml:space="preserve"> Transitions our capstone project from *episodic fasting screening* to *real-time non-invasive continuous glucose tracking*.</w:t>
      </w:r>
    </w:p>
    <w:p>
      <w:pPr>
        <w:spacing w:before="120" w:after="120"/>
      </w:pPr>
    </w:p>
    <w:p>
      <w:pPr>
        <w:pStyle w:val="Heading2"/>
        <w:spacing w:before="200" w:after="80"/>
      </w:pPr>
      <w:r>
        <w:rPr>
          <w:rFonts w:ascii="Calibri" w:hAnsi="Calibri"/>
          <w:b/>
          <w:color w:val="2E75B6"/>
          <w:sz w:val="28"/>
        </w:rPr>
        <w:t>2.6 What We Can Do (Actionable Implementation Plan)</w:t>
      </w:r>
    </w:p>
    <w:p>
      <w:pPr>
        <w:pStyle w:val="ListBullet"/>
        <w:spacing w:after="40"/>
      </w:pPr>
      <w:r/>
      <w:r>
        <w:rPr>
          <w:b/>
        </w:rPr>
        <w:t>Experiment 1 (Real-Time Glucose Forecasting):</w:t>
      </w:r>
      <w:r>
        <w:t xml:space="preserve"> Train our 1D-CNN + Bi-LSTM sequence models using a sliding window of past wearable telemetry ($t-60\text{ min} \rightarrow t$) to forecast interstitial glucose at $t+15\text{ min}$ and $t+30\text{ min}$.</w:t>
      </w:r>
    </w:p>
    <w:p>
      <w:pPr>
        <w:pStyle w:val="ListBullet"/>
        <w:spacing w:after="40"/>
      </w:pPr>
      <w:r/>
      <w:r>
        <w:rPr>
          <w:b/>
        </w:rPr>
        <w:t>Experiment 2 (Clarke Error Grid Analysis):</w:t>
      </w:r>
      <w:r>
        <w:t xml:space="preserve"> Evaluate non-invasive glucose predictions using clinical standard </w:t>
      </w:r>
      <w:r>
        <w:rPr>
          <w:b/>
        </w:rPr>
        <w:t>Clarke Error Grid Analysis (EGA)</w:t>
      </w:r>
      <w:r>
        <w:t xml:space="preserve"> to verify that $&gt; 95\%$ of predictions fall within Clinically Acceptable Zones A and B.</w:t>
      </w:r>
    </w:p>
    <w:p>
      <w:pPr>
        <w:pStyle w:val="ListBullet"/>
        <w:spacing w:after="40"/>
      </w:pPr>
      <w:r/>
      <w:r>
        <w:rPr>
          <w:b/>
        </w:rPr>
        <w:t>Experiment 3 (Multimodal Attention Analysis):</w:t>
      </w:r>
      <w:r>
        <w:t xml:space="preserve"> Determine whether EDA (stress) or BVP (heart rate) contributes more predictive weight during post-meal glucose spikes.</w:t>
      </w:r>
    </w:p>
    <w:p>
      <w:pPr>
        <w:spacing w:before="120" w:after="120"/>
      </w:pPr>
    </w:p>
    <w:p>
      <w:pPr>
        <w:pStyle w:val="Heading1"/>
        <w:spacing w:before="240" w:after="120"/>
      </w:pPr>
      <w:r>
        <w:rPr>
          <w:rFonts w:ascii="Calibri" w:hAnsi="Calibri"/>
          <w:b/>
          <w:color w:val="1F4E79"/>
          <w:sz w:val="40"/>
        </w:rPr>
        <w:t>PART 3: Strategic Comparison — Which Dataset Serves Which Viva Objective?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F4E79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 Evaluation Criteria</w:t>
            </w:r>
          </w:p>
        </w:tc>
        <w:tc>
          <w:tcPr>
            <w:tcW w:type="dxa" w:w="3312"/>
            <w:shd w:fill="1F4E79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MESA Sleep Study (NSRR)</w:t>
            </w:r>
          </w:p>
        </w:tc>
        <w:tc>
          <w:tcPr>
            <w:tcW w:type="dxa" w:w="3312"/>
            <w:shd w:fill="1F4E79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Duke BIG IDEAs Lab (PhysioNet) </w:t>
            </w:r>
          </w:p>
        </w:tc>
      </w:tr>
      <w:tr>
        <w:tc>
          <w:tcPr>
            <w:tcW w:type="dxa" w:w="3312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 **Primary Clinical Focus**</w:t>
            </w:r>
          </w:p>
        </w:tc>
        <w:tc>
          <w:tcPr>
            <w:tcW w:type="dxa" w:w="3312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Chronic Insulin Resistance &amp; Cardiometabolic Triage</w:t>
            </w:r>
          </w:p>
        </w:tc>
        <w:tc>
          <w:tcPr>
            <w:tcW w:type="dxa" w:w="3312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Real-Time Dynamic Glycemic Swings &amp; Postprandial Spikes </w:t>
            </w:r>
          </w:p>
        </w:tc>
      </w:tr>
      <w:tr>
        <w:tc>
          <w:tcPr>
            <w:tcW w:type="dxa" w:w="3312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 **Statistical Scale**</w:t>
            </w:r>
          </w:p>
        </w:tc>
        <w:tc>
          <w:tcPr>
            <w:tcW w:type="dxa" w:w="3312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**Large Population ($N = 2,237$ individuals)**</w:t>
            </w:r>
          </w:p>
        </w:tc>
        <w:tc>
          <w:tcPr>
            <w:tcW w:type="dxa" w:w="3312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**High-Density Longitudinal ($26,000$ temporal epochs)** </w:t>
            </w:r>
          </w:p>
        </w:tc>
      </w:tr>
      <w:tr>
        <w:tc>
          <w:tcPr>
            <w:tcW w:type="dxa" w:w="3312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 **Model Match**</w:t>
            </w:r>
          </w:p>
        </w:tc>
        <w:tc>
          <w:tcPr>
            <w:tcW w:type="dxa" w:w="3312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LightGBM, XGBoost, Stacking Ensemble</w:t>
            </w:r>
          </w:p>
        </w:tc>
        <w:tc>
          <w:tcPr>
            <w:tcW w:type="dxa" w:w="3312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1D-CNN, Bidirectional LSTM, Transformer </w:t>
            </w:r>
          </w:p>
        </w:tc>
      </w:tr>
      <w:tr>
        <w:tc>
          <w:tcPr>
            <w:tcW w:type="dxa" w:w="3312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 **Target Metric**</w:t>
            </w:r>
          </w:p>
        </w:tc>
        <w:tc>
          <w:tcPr>
            <w:tcW w:type="dxa" w:w="3312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Continuous HOMA-IR ($R^2$, Pearson $r$, MAE)</w:t>
            </w:r>
          </w:p>
        </w:tc>
        <w:tc>
          <w:tcPr>
            <w:tcW w:type="dxa" w:w="3312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Continuous Glucose ($\text{mg/dL}$, RMSE, Clarke Error Grid) </w:t>
            </w:r>
          </w:p>
        </w:tc>
      </w:tr>
      <w:tr>
        <w:tc>
          <w:tcPr>
            <w:tcW w:type="dxa" w:w="3312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 **Sensor Match**</w:t>
            </w:r>
          </w:p>
        </w:tc>
        <w:tc>
          <w:tcPr>
            <w:tcW w:type="dxa" w:w="3312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ActiGraph GT3X+ $\approx$ Actiwatch Spectrum</w:t>
            </w:r>
          </w:p>
        </w:tc>
        <w:tc>
          <w:tcPr>
            <w:tcW w:type="dxa" w:w="3312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Commercial Smartwatch PPG, EDA, Temp, Accelerometer </w:t>
            </w:r>
          </w:p>
        </w:tc>
      </w:tr>
      <w:tr>
        <w:tc>
          <w:tcPr>
            <w:tcW w:type="dxa" w:w="3312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 **Best Presentation Angle**</w:t>
            </w:r>
          </w:p>
        </w:tc>
        <w:tc>
          <w:tcPr>
            <w:tcW w:type="dxa" w:w="3312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*"Proving our NHANES HOMA-IR model works on another hospital cohort."*</w:t>
            </w:r>
          </w:p>
        </w:tc>
        <w:tc>
          <w:tcPr>
            <w:tcW w:type="dxa" w:w="3312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*"Proving our Deep Learning models can track continuous real-time glucose."* </w:t>
            </w:r>
          </w:p>
        </w:tc>
      </w:tr>
    </w:tbl>
    <w:p>
      <w:pPr>
        <w:spacing w:after="80"/>
      </w:pPr>
    </w:p>
    <w:p>
      <w:pPr>
        <w:spacing w:before="120" w:after="120"/>
      </w:pPr>
    </w:p>
    <w:p>
      <w:pPr>
        <w:pStyle w:val="Heading1"/>
        <w:spacing w:before="240" w:after="120"/>
      </w:pPr>
      <w:r>
        <w:rPr>
          <w:rFonts w:ascii="Calibri" w:hAnsi="Calibri"/>
          <w:b/>
          <w:color w:val="1F4E79"/>
          <w:sz w:val="40"/>
        </w:rPr>
        <w:t>PART 4: Presentation Scripts &amp; Talking Points for Your Meeting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44546A"/>
          <w:sz w:val="24"/>
        </w:rPr>
        <w:t>Script 1: Presenting MESA Sleep Study to Your Professor</w:t>
      </w:r>
    </w:p>
    <w:p>
      <w:pPr>
        <w:spacing w:after="80"/>
      </w:pPr>
      <w:r>
        <w:t xml:space="preserve">&gt; *"Ma'am, to validate our Phase 1 and Phase 2 models on an independent external population, the ideal dataset is the </w:t>
      </w:r>
      <w:r>
        <w:rPr>
          <w:b/>
        </w:rPr>
        <w:t>MESA Sleep Study from the National Sleep Research Resource (NSRR)</w:t>
      </w:r>
      <w:r>
        <w:t>.</w:t>
      </w:r>
    </w:p>
    <w:p>
      <w:pPr>
        <w:spacing w:after="80"/>
      </w:pPr>
      <w:r>
        <w:t xml:space="preserve">&gt; It comprises </w:t>
      </w:r>
      <w:r>
        <w:rPr>
          <w:b/>
        </w:rPr>
        <w:t>$N = 2,237$ multi-ethnic participants</w:t>
      </w:r>
      <w:r>
        <w:t xml:space="preserve"> who wore wrist actigraphs for 7 consecutive days, paired with certified laboratory Fasting Insulin and Fasting Glucose $\rightarrow$ HOMA-IR.</w:t>
      </w:r>
    </w:p>
    <w:p>
      <w:pPr>
        <w:spacing w:after="80"/>
      </w:pPr>
      <w:r>
        <w:t>&gt; Because the input features and target definition are 1:1 identical to NHANES, we can feed MESA data directly into our trained LightGBM and XGBoost models without altering targets, proving our algorithm's true generalizability to external clinical populations."*</w:t>
      </w:r>
    </w:p>
    <w:p>
      <w:pPr>
        <w:spacing w:before="120" w:after="120"/>
      </w:pPr>
    </w:p>
    <w:p>
      <w:pPr>
        <w:pStyle w:val="Heading3"/>
        <w:spacing w:before="160" w:after="40"/>
      </w:pPr>
      <w:r>
        <w:rPr>
          <w:rFonts w:ascii="Calibri" w:hAnsi="Calibri"/>
          <w:b/>
          <w:color w:val="44546A"/>
          <w:sz w:val="24"/>
        </w:rPr>
        <w:t>Script 2: Presenting Duke BIG IDEAs Lab to Your Professor</w:t>
      </w:r>
    </w:p>
    <w:p>
      <w:pPr>
        <w:spacing w:after="80"/>
      </w:pPr>
      <w:r>
        <w:t xml:space="preserve">&gt; *"Ma'am, to validate our Deep Learning models on dynamic, real-time sensing, the ideal choice is the </w:t>
      </w:r>
      <w:r>
        <w:rPr>
          <w:b/>
        </w:rPr>
        <w:t>Duke BIG IDEAs Lab dataset from PhysioNet</w:t>
      </w:r>
      <w:r>
        <w:t>.</w:t>
      </w:r>
    </w:p>
    <w:p>
      <w:pPr>
        <w:spacing w:after="80"/>
      </w:pPr>
      <w:r>
        <w:t xml:space="preserve">&gt; It pairs an </w:t>
      </w:r>
      <w:r>
        <w:rPr>
          <w:b/>
        </w:rPr>
        <w:t>Empatica E4 medical wristband</w:t>
      </w:r>
      <w:r>
        <w:t xml:space="preserve"> (capturing PPG, Electrodermal Activity, Skin Temperature, and Accelerometer) with a </w:t>
      </w:r>
      <w:r>
        <w:rPr>
          <w:b/>
        </w:rPr>
        <w:t>Dexcom G6 Continuous Glucose Monitor</w:t>
      </w:r>
      <w:r>
        <w:t xml:space="preserve"> recording glucose every 5 minutes across 8–10 days ($26,000$ paired epochs).</w:t>
      </w:r>
    </w:p>
    <w:p>
      <w:pPr>
        <w:spacing w:after="80"/>
      </w:pPr>
      <w:r>
        <w:t xml:space="preserve">&gt; This allows us to test our </w:t>
      </w:r>
      <w:r>
        <w:rPr>
          <w:b/>
        </w:rPr>
        <w:t>1D-CNN and Bi-LSTM temporal sequence models</w:t>
      </w:r>
      <w:r>
        <w:t xml:space="preserve"> on real-time glucose forecasting, showing that wrist wearables can track minute-level glycemic spikes."*</w:t>
      </w:r>
    </w:p>
    <w:p>
      <w:pPr>
        <w:spacing w:before="120" w:after="120"/>
      </w:pPr>
    </w:p>
    <w:p>
      <w:pPr>
        <w:pStyle w:val="Heading3"/>
        <w:spacing w:before="160" w:after="40"/>
      </w:pPr>
      <w:r>
        <w:rPr>
          <w:rFonts w:ascii="Calibri" w:hAnsi="Calibri"/>
          <w:b/>
          <w:color w:val="44546A"/>
          <w:sz w:val="24"/>
        </w:rPr>
        <w:t>Script 3: The Combined Two-Pillar Defense (Recommended)</w:t>
      </w:r>
    </w:p>
    <w:p>
      <w:pPr>
        <w:spacing w:after="80"/>
      </w:pPr>
      <w:r>
        <w:t>&gt; *"Ma'am, rather than viewing these as mutually exclusive, they address two complementary aspects of metabolic health:</w:t>
      </w:r>
    </w:p>
    <w:p>
      <w:pPr>
        <w:spacing w:after="80"/>
      </w:pPr>
      <w:r>
        <w:t xml:space="preserve">&gt; 1. </w:t>
      </w:r>
      <w:r>
        <w:rPr>
          <w:b/>
        </w:rPr>
        <w:t>MESA ($N = 2,237$)</w:t>
      </w:r>
      <w:r>
        <w:t xml:space="preserve"> provides </w:t>
      </w:r>
      <w:r>
        <w:rPr>
          <w:b/>
        </w:rPr>
        <w:t>population-scale external validation</w:t>
      </w:r>
      <w:r>
        <w:t xml:space="preserve"> for our static/circadian HOMA-IR screening models.</w:t>
      </w:r>
    </w:p>
    <w:p>
      <w:pPr>
        <w:spacing w:after="80"/>
      </w:pPr>
      <w:r>
        <w:t xml:space="preserve">&gt; 2. </w:t>
      </w:r>
      <w:r>
        <w:rPr>
          <w:b/>
        </w:rPr>
        <w:t>Duke BIG IDEAs ($26,000$ epochs)</w:t>
      </w:r>
      <w:r>
        <w:t xml:space="preserve"> provides </w:t>
      </w:r>
      <w:r>
        <w:rPr>
          <w:b/>
        </w:rPr>
        <w:t>high-frequency temporal validation</w:t>
      </w:r>
      <w:r>
        <w:t xml:space="preserve"> for our deep learning continuous glucose forecasting models.</w:t>
      </w:r>
    </w:p>
    <w:p>
      <w:pPr>
        <w:spacing w:after="80"/>
      </w:pPr>
      <w:r>
        <w:t>&gt; Presenting both demonstrates that our wearable AI pipeline functions effectively for both chronic risk stratification and real-time continuous monitoring."*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