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/>
      </w:pPr>
      <w:r>
        <w:rPr>
          <w:rFonts w:ascii="Calibri" w:hAnsi="Calibri"/>
          <w:b/>
          <w:color w:val="1F4E79"/>
          <w:sz w:val="40"/>
        </w:rPr>
        <w:t>Strategic Research Report: External Validation Dataset Landscape</w:t>
      </w:r>
    </w:p>
    <w:p>
      <w:pPr>
        <w:pStyle w:val="Heading2"/>
        <w:spacing w:before="200" w:after="80"/>
      </w:pPr>
      <w:r>
        <w:rPr>
          <w:rFonts w:ascii="Calibri" w:hAnsi="Calibri"/>
          <w:b/>
          <w:color w:val="2E75B6"/>
          <w:sz w:val="28"/>
        </w:rPr>
        <w:t>Evaluating Candidate Biomedical &amp; Wearable Datasets to Validate Our NHANES Models</w:t>
      </w:r>
    </w:p>
    <w:p>
      <w:pPr>
        <w:spacing w:after="80"/>
      </w:pPr>
      <w:r/>
      <w:r>
        <w:rPr>
          <w:b/>
        </w:rPr>
        <w:t>Project Title:</w:t>
      </w:r>
      <w:r>
        <w:t xml:space="preserve"> Wearable AI for Early Metabolic Risk Screening and Circadian Biomarker Estimation</w:t>
      </w:r>
    </w:p>
    <w:p>
      <w:pPr>
        <w:spacing w:after="80"/>
      </w:pPr>
      <w:r/>
      <w:r>
        <w:rPr>
          <w:b/>
        </w:rPr>
        <w:t>Author:</w:t>
      </w:r>
      <w:r>
        <w:t xml:space="preserve"> SARVAGYA-TIWARI</w:t>
      </w:r>
    </w:p>
    <w:p>
      <w:pPr>
        <w:spacing w:after="80"/>
      </w:pPr>
      <w:r/>
      <w:r>
        <w:rPr>
          <w:b/>
        </w:rPr>
        <w:t>Current Baseline Cohort:</w:t>
      </w:r>
      <w:r>
        <w:t xml:space="preserve"> CDC NHANES 2011–2014 Multi-Modal Cohort ($N = 3,296$ Non-Diabetic Adults)</w:t>
      </w:r>
    </w:p>
    <w:p>
      <w:pPr>
        <w:spacing w:after="80"/>
      </w:pPr>
      <w:r/>
      <w:r>
        <w:rPr>
          <w:b/>
        </w:rPr>
        <w:t>Date:</w:t>
      </w:r>
      <w:r>
        <w:t xml:space="preserve"> October 2026</w:t>
      </w:r>
    </w:p>
    <w:p>
      <w:pPr>
        <w:spacing w:before="120" w:after="120"/>
      </w:pPr>
    </w:p>
    <w:p>
      <w:pPr>
        <w:pStyle w:val="Heading1"/>
        <w:spacing w:before="240" w:after="120"/>
      </w:pPr>
      <w:r>
        <w:rPr>
          <w:rFonts w:ascii="Calibri" w:hAnsi="Calibri"/>
          <w:b/>
          <w:color w:val="1F4E79"/>
          <w:sz w:val="40"/>
        </w:rPr>
        <w:t>1. Executive Summary: The Need for External Validation</w:t>
      </w:r>
    </w:p>
    <w:p>
      <w:pPr>
        <w:spacing w:after="80"/>
      </w:pPr>
      <w:r>
        <w:t xml:space="preserve">In biomedical machine learning, evaluating a model on the same cohort it was trained on (even using strict 5-fold cross-validation) is termed </w:t>
      </w:r>
      <w:r>
        <w:rPr>
          <w:b/>
        </w:rPr>
        <w:t>internal validation</w:t>
      </w:r>
      <w:r>
        <w:t xml:space="preserve">. To prove to faculty, examiners, and peer-reviewed journals that an algorithm possesses true clinical generalizability, researchers perform </w:t>
      </w:r>
      <w:r>
        <w:rPr>
          <w:b/>
        </w:rPr>
        <w:t>external validation</w:t>
      </w:r>
      <w:r>
        <w:t>: testing the frozen models on a completely separate cohort collected by different clinical teams, in different geographical locations, or using different sensor hardware.</w:t>
      </w:r>
    </w:p>
    <w:p>
      <w:pPr>
        <w:spacing w:after="80"/>
      </w:pPr>
      <w:r>
        <w:t>This research report evaluates the top candidate datasets available globally, ranking them by:</w:t>
      </w:r>
    </w:p>
    <w:p>
      <w:pPr>
        <w:spacing w:after="80"/>
      </w:pPr>
      <w:r>
        <w:t xml:space="preserve">1. </w:t>
      </w:r>
      <w:r>
        <w:rPr>
          <w:b/>
        </w:rPr>
        <w:t>Target Biomarker Alignment:</w:t>
      </w:r>
      <w:r>
        <w:t xml:space="preserve"> Availability of paired fasting insulin/glucose (HOMA-IR) or Continuous Glucose Monitoring (CGM).</w:t>
      </w:r>
    </w:p>
    <w:p>
      <w:pPr>
        <w:spacing w:after="80"/>
      </w:pPr>
      <w:r>
        <w:t xml:space="preserve">2. </w:t>
      </w:r>
      <w:r>
        <w:rPr>
          <w:b/>
        </w:rPr>
        <w:t>Sensor Modality Alignment:</w:t>
      </w:r>
      <w:r>
        <w:t xml:space="preserve"> Presence of continuous wrist-worn accelerometry/actigraphy or wearable photoplethysmography (PPG).</w:t>
      </w:r>
    </w:p>
    <w:p>
      <w:pPr>
        <w:spacing w:after="80"/>
      </w:pPr>
      <w:r>
        <w:t xml:space="preserve">3. </w:t>
      </w:r>
      <w:r>
        <w:rPr>
          <w:b/>
        </w:rPr>
        <w:t>Open-Access Accessibility:</w:t>
      </w:r>
      <w:r>
        <w:t xml:space="preserve"> Immediate public download vs. multi-month institutional data-use agreements.</w:t>
      </w:r>
    </w:p>
    <w:p>
      <w:pPr>
        <w:spacing w:after="80"/>
      </w:pPr>
      <w:r>
        <w:t xml:space="preserve">4. </w:t>
      </w:r>
      <w:r>
        <w:rPr>
          <w:b/>
        </w:rPr>
        <w:t>Sample Size &amp; Clinical Diversity:</w:t>
      </w:r>
      <w:r>
        <w:t xml:space="preserve"> Sufficient statistical power ($N \ge 100$).</w:t>
      </w:r>
    </w:p>
    <w:p>
      <w:pPr>
        <w:spacing w:before="120" w:after="120"/>
      </w:pPr>
    </w:p>
    <w:p>
      <w:pPr>
        <w:pStyle w:val="Heading1"/>
        <w:spacing w:before="240" w:after="120"/>
      </w:pPr>
      <w:r>
        <w:rPr>
          <w:rFonts w:ascii="Calibri" w:hAnsi="Calibri"/>
          <w:b/>
          <w:color w:val="1F4E79"/>
          <w:sz w:val="40"/>
        </w:rPr>
        <w:t>2. Master Comparison Matrix of Candidate Datasets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c>
          <w:tcPr>
            <w:tcW w:type="dxa" w:w="1419"/>
            <w:shd w:fill="1F4E79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  <w:t xml:space="preserve"> Dataset Name</w:t>
            </w:r>
          </w:p>
        </w:tc>
        <w:tc>
          <w:tcPr>
            <w:tcW w:type="dxa" w:w="1419"/>
            <w:shd w:fill="1F4E79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  <w:t>Primary Institution &amp; Repository</w:t>
            </w:r>
          </w:p>
        </w:tc>
        <w:tc>
          <w:tcPr>
            <w:tcW w:type="dxa" w:w="1419"/>
            <w:shd w:fill="1F4E79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  <w:t>Sample Size ($N$)</w:t>
            </w:r>
          </w:p>
        </w:tc>
        <w:tc>
          <w:tcPr>
            <w:tcW w:type="dxa" w:w="1419"/>
            <w:shd w:fill="1F4E79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  <w:t>Wearable Hardware</w:t>
            </w:r>
          </w:p>
        </w:tc>
        <w:tc>
          <w:tcPr>
            <w:tcW w:type="dxa" w:w="1419"/>
            <w:shd w:fill="1F4E79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  <w:t>Ground Truth Metabolic Outcome</w:t>
            </w:r>
          </w:p>
        </w:tc>
        <w:tc>
          <w:tcPr>
            <w:tcW w:type="dxa" w:w="1419"/>
            <w:shd w:fill="1F4E79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  <w:t>Access Requirements</w:t>
            </w:r>
          </w:p>
        </w:tc>
        <w:tc>
          <w:tcPr>
            <w:tcW w:type="dxa" w:w="1419"/>
            <w:shd w:fill="1F4E79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  <w:t xml:space="preserve">Feasibility Rank </w:t>
            </w:r>
          </w:p>
        </w:tc>
      </w:tr>
      <w:tr>
        <w:tc>
          <w:tcPr>
            <w:tcW w:type="dxa" w:w="1419"/>
            <w:shd w:fill="F2F5F8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 xml:space="preserve"> **1. MESA Sleep Study**</w:t>
            </w:r>
          </w:p>
        </w:tc>
        <w:tc>
          <w:tcPr>
            <w:tcW w:type="dxa" w:w="1419"/>
            <w:shd w:fill="F2F5F8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>National Heart, Lung, and Blood Institute (NHLBI) via **NSRR**</w:t>
            </w:r>
          </w:p>
        </w:tc>
        <w:tc>
          <w:tcPr>
            <w:tcW w:type="dxa" w:w="1419"/>
            <w:shd w:fill="F2F5F8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>**$N = 2,237$** multi-ethnic adults</w:t>
            </w:r>
          </w:p>
        </w:tc>
        <w:tc>
          <w:tcPr>
            <w:tcW w:type="dxa" w:w="1419"/>
            <w:shd w:fill="F2F5F8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>**Actiwatch Spectrum** (7-day wrist actigraphy)</w:t>
            </w:r>
          </w:p>
        </w:tc>
        <w:tc>
          <w:tcPr>
            <w:tcW w:type="dxa" w:w="1419"/>
            <w:shd w:fill="F2F5F8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>**Fasting Insulin $\rightarrow$ HOMA-IR**, Fasting Glucose, HbA1c, BMI, Waist</w:t>
            </w:r>
          </w:p>
        </w:tc>
        <w:tc>
          <w:tcPr>
            <w:tcW w:type="dxa" w:w="1419"/>
            <w:shd w:fill="F2F5F8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>**Free Instant Access** via NSRR account (`sleepdata.org`)</w:t>
            </w:r>
          </w:p>
        </w:tc>
        <w:tc>
          <w:tcPr>
            <w:tcW w:type="dxa" w:w="1419"/>
            <w:shd w:fill="F2F5F8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 xml:space="preserve">**#1 (Best for HOMA-IR External Validation)** </w:t>
            </w:r>
          </w:p>
        </w:tc>
      </w:tr>
      <w:tr>
        <w:tc>
          <w:tcPr>
            <w:tcW w:type="dxa" w:w="1419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 xml:space="preserve"> **2. Duke BIG IDEAs Lab**</w:t>
            </w:r>
          </w:p>
        </w:tc>
        <w:tc>
          <w:tcPr>
            <w:tcW w:type="dxa" w:w="1419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>Duke University via **PhysioNet**</w:t>
            </w:r>
          </w:p>
        </w:tc>
        <w:tc>
          <w:tcPr>
            <w:tcW w:type="dxa" w:w="1419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>$N = 16$ adults ($26,000$ paired epochs)</w:t>
            </w:r>
          </w:p>
        </w:tc>
        <w:tc>
          <w:tcPr>
            <w:tcW w:type="dxa" w:w="1419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>**Empatica E4** (Wrist Accelerometer, PPG/HR, EDA, Temp)</w:t>
            </w:r>
          </w:p>
        </w:tc>
        <w:tc>
          <w:tcPr>
            <w:tcW w:type="dxa" w:w="1419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>**Dexcom G6 CGM** (5-minute continuous glucose)</w:t>
            </w:r>
          </w:p>
        </w:tc>
        <w:tc>
          <w:tcPr>
            <w:tcW w:type="dxa" w:w="1419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>**100% Free Public Instant Download** (PhysioNet DOI: `10.13026/aw6y-fc44`)</w:t>
            </w:r>
          </w:p>
        </w:tc>
        <w:tc>
          <w:tcPr>
            <w:tcW w:type="dxa" w:w="1419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 xml:space="preserve">**#2 (Best for Continuous CGM &amp; Deep Learning)** </w:t>
            </w:r>
          </w:p>
        </w:tc>
      </w:tr>
      <w:tr>
        <w:tc>
          <w:tcPr>
            <w:tcW w:type="dxa" w:w="1419"/>
            <w:shd w:fill="F2F5F8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 xml:space="preserve"> **3. CGMacros Dataset**</w:t>
            </w:r>
          </w:p>
        </w:tc>
        <w:tc>
          <w:tcPr>
            <w:tcW w:type="dxa" w:w="1419"/>
            <w:shd w:fill="F2F5F8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>Texas A&amp;M University (PSI-TAMU) via **PhysioNet**</w:t>
            </w:r>
          </w:p>
        </w:tc>
        <w:tc>
          <w:tcPr>
            <w:tcW w:type="dxa" w:w="1419"/>
            <w:shd w:fill="F2F5F8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>$N = 45$ adults (10 days free-living)</w:t>
            </w:r>
          </w:p>
        </w:tc>
        <w:tc>
          <w:tcPr>
            <w:tcW w:type="dxa" w:w="1419"/>
            <w:shd w:fill="F2F5F8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>**Fitbit Activity Tracker** + Dual CGMs</w:t>
            </w:r>
          </w:p>
        </w:tc>
        <w:tc>
          <w:tcPr>
            <w:tcW w:type="dxa" w:w="1419"/>
            <w:shd w:fill="F2F5F8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>Continuous Glucose + Meal Macronutrients + Blood Panels</w:t>
            </w:r>
          </w:p>
        </w:tc>
        <w:tc>
          <w:tcPr>
            <w:tcW w:type="dxa" w:w="1419"/>
            <w:shd w:fill="F2F5F8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>Credentialed PhysioNet / GitHub repository</w:t>
            </w:r>
          </w:p>
        </w:tc>
        <w:tc>
          <w:tcPr>
            <w:tcW w:type="dxa" w:w="1419"/>
            <w:shd w:fill="F2F5F8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 xml:space="preserve">**#3 (Great for Diet &amp; Multiclass Validation)** </w:t>
            </w:r>
          </w:p>
        </w:tc>
      </w:tr>
      <w:tr>
        <w:tc>
          <w:tcPr>
            <w:tcW w:type="dxa" w:w="1419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 xml:space="preserve"> **4. CDC NHANES 2003–2006**</w:t>
            </w:r>
          </w:p>
        </w:tc>
        <w:tc>
          <w:tcPr>
            <w:tcW w:type="dxa" w:w="1419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>National Center for Health Statistics (CDC NCHS)</w:t>
            </w:r>
          </w:p>
        </w:tc>
        <w:tc>
          <w:tcPr>
            <w:tcW w:type="dxa" w:w="1419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>**$N \approx 4,000$** adults</w:t>
            </w:r>
          </w:p>
        </w:tc>
        <w:tc>
          <w:tcPr>
            <w:tcW w:type="dxa" w:w="1419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>**ActiGraph 7164** (7-day hip accelerometry)</w:t>
            </w:r>
          </w:p>
        </w:tc>
        <w:tc>
          <w:tcPr>
            <w:tcW w:type="dxa" w:w="1419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>**Fasting Insulin $\rightarrow$ HOMA-IR**, Fasting Glucose, HbA1c, Lipids</w:t>
            </w:r>
          </w:p>
        </w:tc>
        <w:tc>
          <w:tcPr>
            <w:tcW w:type="dxa" w:w="1419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>**100% Free Public Instant Download** from CDC</w:t>
            </w:r>
          </w:p>
        </w:tc>
        <w:tc>
          <w:tcPr>
            <w:tcW w:type="dxa" w:w="1419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 xml:space="preserve">**#4 (Best for Multi-Wave Historical Validation)** </w:t>
            </w:r>
          </w:p>
        </w:tc>
      </w:tr>
      <w:tr>
        <w:tc>
          <w:tcPr>
            <w:tcW w:type="dxa" w:w="1419"/>
            <w:shd w:fill="F2F5F8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 xml:space="preserve"> **5. UK Biobank (UKB)**</w:t>
            </w:r>
          </w:p>
        </w:tc>
        <w:tc>
          <w:tcPr>
            <w:tcW w:type="dxa" w:w="1419"/>
            <w:shd w:fill="F2F5F8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>UK Biobank Consortium</w:t>
            </w:r>
          </w:p>
        </w:tc>
        <w:tc>
          <w:tcPr>
            <w:tcW w:type="dxa" w:w="1419"/>
            <w:shd w:fill="F2F5F8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>$N \approx 100,000$</w:t>
            </w:r>
          </w:p>
        </w:tc>
        <w:tc>
          <w:tcPr>
            <w:tcW w:type="dxa" w:w="1419"/>
            <w:shd w:fill="F2F5F8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>**Axivity AX3** (7-day wrist accelerometer)</w:t>
            </w:r>
          </w:p>
        </w:tc>
        <w:tc>
          <w:tcPr>
            <w:tcW w:type="dxa" w:w="1419"/>
            <w:shd w:fill="F2F5F8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>HbA1c, Random Glucose, NMR Metabolomics</w:t>
            </w:r>
          </w:p>
        </w:tc>
        <w:tc>
          <w:tcPr>
            <w:tcW w:type="dxa" w:w="1419"/>
            <w:shd w:fill="F2F5F8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>Requires paid application &amp; 2–3 month MTA review</w:t>
            </w:r>
          </w:p>
        </w:tc>
        <w:tc>
          <w:tcPr>
            <w:tcW w:type="dxa" w:w="1419"/>
            <w:shd w:fill="F2F5F8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 xml:space="preserve">**Low (Infeasible for Quick BTP Timelines)** </w:t>
            </w:r>
          </w:p>
        </w:tc>
      </w:tr>
    </w:tbl>
    <w:p>
      <w:pPr>
        <w:spacing w:after="80"/>
      </w:pPr>
    </w:p>
    <w:p>
      <w:pPr>
        <w:spacing w:before="120" w:after="120"/>
      </w:pPr>
    </w:p>
    <w:p>
      <w:pPr>
        <w:pStyle w:val="Heading1"/>
        <w:spacing w:before="240" w:after="120"/>
      </w:pPr>
      <w:r>
        <w:rPr>
          <w:rFonts w:ascii="Calibri" w:hAnsi="Calibri"/>
          <w:b/>
          <w:color w:val="1F4E79"/>
          <w:sz w:val="40"/>
        </w:rPr>
        <w:t>3. Deep-Dive Analysis of the Top Options</w:t>
      </w:r>
    </w:p>
    <w:p>
      <w:pPr>
        <w:spacing w:before="80" w:after="120"/>
        <w:ind w:left="576"/>
      </w:pPr>
      <w:r>
        <w:rPr>
          <w:rFonts w:ascii="Consolas" w:hAnsi="Consolas"/>
          <w:color w:val="1E1E1E"/>
          <w:sz w:val="18"/>
        </w:rPr>
        <w:t xml:space="preserve">                           RECOMMENDED VALIDATION PATHWAYS</w:t>
        <w:br/>
        <w:t xml:space="preserve"> ┌────────────────────────────────────────────────────────────────────────────────────────┐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  <w:br/>
        <w:t xml:space="preserve"> │                      WHICH VALIDATION DIRECTION MATCHES YOUR GOAL?                     │</w:t>
        <w:br/>
        <w:t xml:space="preserve"> └──────────────────────────────────────────┬─────────────────────────────────────────────┘</w:t>
        <w:br/>
        <w:t xml:space="preserve">                                            │</w:t>
        <w:br/>
        <w:t xml:space="preserve">         ┌──────────────────────────────────┴──────────────────────────────────┐</w:t>
        <w:br/>
        <w:t xml:space="preserve">         ▼                                                                     ▼</w:t>
        <w:br/>
        <w:t xml:space="preserve"> ┌──────────────────────────────────────┐            ┌──────────────────────────────────────┐</w:t>
        <w:br/>
        <w:t xml:space="preserve"> │ PATHWAY A: DIRECT HOMA-IR VALIDATION │            │ PATHWAY B: CONTINUOUS CGM FORECAST   │</w:t>
        <w:br/>
        <w:t xml:space="preserve"> │ • Dataset: MESA Sleep (NSRR)         │            │ • Dataset: Duke BIG IDEAs (PhysioNet)│</w:t>
        <w:br/>
        <w:t xml:space="preserve"> │ • Exact match to NHANES HOMA-IR      │            │ • Empatica E4 wristband + Dexcom G6  │</w:t>
        <w:br/>
        <w:t xml:space="preserve"> │ • 7-day wrist actigraphy (N = 2,237) │            │ • 26,000 paired 5-min glucose epochs │</w:t>
        <w:br/>
        <w:t xml:space="preserve"> │ • Proves models work on new hospital │            │ • Proves models track minute-level   │</w:t>
        <w:br/>
        <w:t xml:space="preserve"> │   cohort without changing target!    │            │   glycemic variability in real time  │</w:t>
        <w:br/>
        <w:t xml:space="preserve"> └──────────────────────────────────────┘            └──────────────────────────────────────┘</w:t>
      </w:r>
    </w:p>
    <w:p>
      <w:pPr>
        <w:spacing w:before="120" w:after="120"/>
      </w:pPr>
    </w:p>
    <w:p>
      <w:pPr>
        <w:pStyle w:val="Heading2"/>
        <w:spacing w:before="200" w:after="80"/>
      </w:pPr>
      <w:r>
        <w:rPr>
          <w:rFonts w:ascii="Calibri" w:hAnsi="Calibri"/>
          <w:b/>
          <w:color w:val="2E75B6"/>
          <w:sz w:val="28"/>
        </w:rPr>
        <w:t>Candidate #1: MESA Sleep Ancillary Study (National Sleep Research Resource - NSRR)</w:t>
      </w:r>
    </w:p>
    <w:p>
      <w:pPr>
        <w:spacing w:after="80"/>
      </w:pPr>
      <w:r>
        <w:t xml:space="preserve">⭐ </w:t>
      </w:r>
      <w:r>
        <w:rPr>
          <w:b/>
        </w:rPr>
        <w:t>Overall Verdict: THE GOLD-STANDARD OPTION FOR DIRECT EXTERNAL VALIDATION</w:t>
      </w:r>
      <w:r/>
    </w:p>
    <w:p>
      <w:pPr>
        <w:pStyle w:val="ListBullet"/>
        <w:spacing w:after="40"/>
      </w:pPr>
      <w:r/>
      <w:r>
        <w:rPr>
          <w:b/>
        </w:rPr>
        <w:t>Source Repository:</w:t>
      </w:r>
      <w:r>
        <w:t xml:space="preserve"> Hosted on the </w:t>
      </w:r>
      <w:r>
        <w:rPr>
          <w:b/>
        </w:rPr>
        <w:t>National Sleep Research Resource (NSRR)</w:t>
      </w:r>
      <w:r>
        <w:t xml:space="preserve"> at `sleepdata.org/datasets/mesa`.</w:t>
      </w:r>
    </w:p>
    <w:p>
      <w:pPr>
        <w:pStyle w:val="ListBullet"/>
        <w:spacing w:after="40"/>
      </w:pPr>
      <w:r/>
      <w:r>
        <w:rPr>
          <w:b/>
        </w:rPr>
        <w:t>Cohort Profile:</w:t>
      </w:r>
      <w:r>
        <w:t xml:space="preserve"> $N = 2,237$ men and women aged 54–93 from six racially and ethnically diverse communities across the United States (White, African-American, Hispanic, and Chinese-American).</w:t>
      </w:r>
    </w:p>
    <w:p>
      <w:pPr>
        <w:pStyle w:val="ListBullet"/>
        <w:spacing w:after="40"/>
      </w:pPr>
      <w:r/>
      <w:r>
        <w:rPr>
          <w:b/>
        </w:rPr>
        <w:t>Sensor Modality:</w:t>
      </w:r>
      <w:r>
        <w:t xml:space="preserve"> Participants wore an </w:t>
      </w:r>
      <w:r>
        <w:rPr>
          <w:b/>
        </w:rPr>
        <w:t>Actiwatch Spectrum wrist-worn accelerometer</w:t>
      </w:r>
      <w:r>
        <w:t xml:space="preserve"> on their non-dominant wrist continuously for </w:t>
      </w:r>
      <w:r>
        <w:rPr>
          <w:b/>
        </w:rPr>
        <w:t>7 consecutive days and nights</w:t>
      </w:r>
      <w:r>
        <w:t xml:space="preserve"> (identical to the CDC NHANES GT3X+ wear protocol).</w:t>
      </w:r>
    </w:p>
    <w:p>
      <w:pPr>
        <w:pStyle w:val="ListBullet"/>
        <w:spacing w:after="40"/>
      </w:pPr>
      <w:r/>
      <w:r>
        <w:rPr>
          <w:b/>
        </w:rPr>
        <w:t>Paired Laboratory Gold Standards:</w:t>
      </w:r>
      <w:r/>
    </w:p>
    <w:p>
      <w:pPr>
        <w:spacing w:after="80"/>
      </w:pPr>
      <w:r>
        <w:t xml:space="preserve">  * Certified laboratory </w:t>
      </w:r>
      <w:r>
        <w:rPr>
          <w:b/>
        </w:rPr>
        <w:t>Fasting Serum Insulin</w:t>
      </w:r>
      <w:r>
        <w:t xml:space="preserve"> and </w:t>
      </w:r>
      <w:r>
        <w:rPr>
          <w:b/>
        </w:rPr>
        <w:t>Fasting Plasma Glucose</w:t>
      </w:r>
      <w:r>
        <w:t xml:space="preserve"> $\rightarrow$ Allows direct calculation of </w:t>
      </w:r>
      <w:r>
        <w:rPr>
          <w:b/>
        </w:rPr>
        <w:t>HOMA-IR</w:t>
      </w:r>
      <w:r>
        <w:t xml:space="preserve"> ($(\text{Glucose} \times \text{Insulin})/405$).</w:t>
      </w:r>
    </w:p>
    <w:p>
      <w:pPr>
        <w:spacing w:after="80"/>
      </w:pPr>
      <w:r>
        <w:t xml:space="preserve">  * Glycated Hemoglobin (</w:t>
      </w:r>
      <w:r>
        <w:rPr>
          <w:b/>
        </w:rPr>
        <w:t>HbA1c</w:t>
      </w:r>
      <w:r>
        <w:t>).</w:t>
      </w:r>
    </w:p>
    <w:p>
      <w:pPr>
        <w:spacing w:after="80"/>
      </w:pPr>
      <w:r>
        <w:t xml:space="preserve">  * Automated resting blood pressure (SBP, DBP, Pulse).</w:t>
      </w:r>
    </w:p>
    <w:p>
      <w:pPr>
        <w:spacing w:after="80"/>
      </w:pPr>
      <w:r>
        <w:t xml:space="preserve">  * Body measures: Certified </w:t>
      </w:r>
      <w:r>
        <w:rPr>
          <w:b/>
        </w:rPr>
        <w:t>Waist Circumference</w:t>
      </w:r>
      <w:r>
        <w:t xml:space="preserve"> and </w:t>
      </w:r>
      <w:r>
        <w:rPr>
          <w:b/>
        </w:rPr>
        <w:t>BMI</w:t>
      </w:r>
      <w:r>
        <w:t>.</w:t>
      </w:r>
    </w:p>
    <w:p>
      <w:pPr>
        <w:pStyle w:val="ListBullet"/>
        <w:spacing w:after="40"/>
      </w:pPr>
      <w:r/>
      <w:r>
        <w:rPr>
          <w:b/>
        </w:rPr>
        <w:t>Why This is the Best Option:</w:t>
      </w:r>
      <w:r/>
    </w:p>
    <w:p>
      <w:pPr>
        <w:spacing w:after="80"/>
      </w:pPr>
      <w:r>
        <w:t xml:space="preserve">  1. </w:t>
      </w:r>
      <w:r>
        <w:rPr>
          <w:b/>
        </w:rPr>
        <w:t>1:1 Feature &amp; Target Alignment:</w:t>
      </w:r>
      <w:r>
        <w:t xml:space="preserve"> The input features (7-day wrist actigraphy, resting heart rate, blood pressure, waist circumference, age, sex) and the ground-truth target (HOMA-IR) are </w:t>
      </w:r>
      <w:r>
        <w:rPr>
          <w:b/>
        </w:rPr>
        <w:t>identical</w:t>
      </w:r>
      <w:r>
        <w:t xml:space="preserve"> to our NHANES pipeline!</w:t>
      </w:r>
    </w:p>
    <w:p>
      <w:pPr>
        <w:spacing w:after="80"/>
      </w:pPr>
      <w:r>
        <w:t xml:space="preserve">  2. </w:t>
      </w:r>
      <w:r>
        <w:rPr>
          <w:b/>
        </w:rPr>
        <w:t>Zero Code Restructuring:</w:t>
      </w:r>
      <w:r>
        <w:t xml:space="preserve"> You can literally run our existing feature extraction script and evaluate our pre-trained LightGBM, XGBoost, and Stacking models directly on MESA without modifying target definitions.</w:t>
      </w:r>
    </w:p>
    <w:p>
      <w:pPr>
        <w:spacing w:after="80"/>
      </w:pPr>
      <w:r>
        <w:t xml:space="preserve">  3. </w:t>
      </w:r>
      <w:r>
        <w:rPr>
          <w:b/>
        </w:rPr>
        <w:t>High Scientific Impact:</w:t>
      </w:r>
      <w:r>
        <w:t xml:space="preserve"> Presenting external cross-cohort generalization from NHANES ($N = 3,296$) $\rightarrow$ MESA ($N = 2,237$) provides convincing evidence for a B.Tech thesis or publication.</w:t>
      </w:r>
    </w:p>
    <w:p>
      <w:pPr>
        <w:pStyle w:val="ListBullet"/>
        <w:spacing w:after="40"/>
      </w:pPr>
      <w:r/>
      <w:r>
        <w:rPr>
          <w:b/>
        </w:rPr>
        <w:t>Access Process:</w:t>
      </w:r>
      <w:r>
        <w:t xml:space="preserve"> Simple, free account creation on `sleepdata.org` with instant terms-of-use agreement.</w:t>
      </w:r>
    </w:p>
    <w:p>
      <w:pPr>
        <w:spacing w:before="120" w:after="120"/>
      </w:pPr>
    </w:p>
    <w:p>
      <w:pPr>
        <w:pStyle w:val="Heading2"/>
        <w:spacing w:before="200" w:after="80"/>
      </w:pPr>
      <w:r>
        <w:rPr>
          <w:rFonts w:ascii="Calibri" w:hAnsi="Calibri"/>
          <w:b/>
          <w:color w:val="2E75B6"/>
          <w:sz w:val="28"/>
        </w:rPr>
        <w:t>Candidate #2: BIG IDEAs Lab Glycemic Variability and Wearables (PhysioNet)</w:t>
      </w:r>
    </w:p>
    <w:p>
      <w:pPr>
        <w:spacing w:after="80"/>
      </w:pPr>
      <w:r>
        <w:t xml:space="preserve">⭐ </w:t>
      </w:r>
      <w:r>
        <w:rPr>
          <w:b/>
        </w:rPr>
        <w:t>Overall Verdict: THE BEST OPTION FOR CONTINUOUS GLUCOSE MONITORING (CGM) &amp; DEEP LEARNING</w:t>
      </w:r>
      <w:r/>
    </w:p>
    <w:p>
      <w:pPr>
        <w:pStyle w:val="ListBullet"/>
        <w:spacing w:after="40"/>
      </w:pPr>
      <w:r/>
      <w:r>
        <w:rPr>
          <w:b/>
        </w:rPr>
        <w:t>Source Repository:</w:t>
      </w:r>
      <w:r>
        <w:t xml:space="preserve"> Hosted on </w:t>
      </w:r>
      <w:r>
        <w:rPr>
          <w:b/>
        </w:rPr>
        <w:t>PhysioNet</w:t>
      </w:r>
      <w:r>
        <w:t xml:space="preserve"> (DOI: `10.13026/aw6y-fc44`, Version 1.1.3, updated April 2026).</w:t>
      </w:r>
    </w:p>
    <w:p>
      <w:pPr>
        <w:pStyle w:val="ListBullet"/>
        <w:spacing w:after="40"/>
      </w:pPr>
      <w:r/>
      <w:r>
        <w:rPr>
          <w:b/>
        </w:rPr>
        <w:t>Lead Investigators:</w:t>
      </w:r>
      <w:r>
        <w:t xml:space="preserve"> Jessilyn Dunn, Peter Cho, Brinnae Bent (Duke University Department of Biomedical Engineering).</w:t>
      </w:r>
    </w:p>
    <w:p>
      <w:pPr>
        <w:pStyle w:val="ListBullet"/>
        <w:spacing w:after="40"/>
      </w:pPr>
      <w:r/>
      <w:r>
        <w:rPr>
          <w:b/>
        </w:rPr>
        <w:t>Cohort Profile:</w:t>
      </w:r>
      <w:r>
        <w:t xml:space="preserve"> Free-living adults across normoglycemic and pre-diabetic spectrums monitored over 8–10 continuous days.</w:t>
      </w:r>
    </w:p>
    <w:p>
      <w:pPr>
        <w:pStyle w:val="ListBullet"/>
        <w:spacing w:after="40"/>
      </w:pPr>
      <w:r/>
      <w:r>
        <w:rPr>
          <w:b/>
        </w:rPr>
        <w:t>Sensor Modality:</w:t>
      </w:r>
      <w:r>
        <w:t xml:space="preserve"> </w:t>
      </w:r>
      <w:r>
        <w:rPr>
          <w:b/>
        </w:rPr>
        <w:t>Empatica E4 Research Wristband</w:t>
      </w:r>
      <w:r>
        <w:t xml:space="preserve"> collecting:</w:t>
      </w:r>
    </w:p>
    <w:p>
      <w:pPr>
        <w:spacing w:after="80"/>
      </w:pPr>
      <w:r>
        <w:t xml:space="preserve">  * Triaxial Accelerometer (32 Hz)</w:t>
      </w:r>
    </w:p>
    <w:p>
      <w:pPr>
        <w:spacing w:after="80"/>
      </w:pPr>
      <w:r>
        <w:t xml:space="preserve">  * Photoplethysmography / Blood Volume Pulse (BVP / 64 Hz $\rightarrow$ Heart Rate &amp; HRV)</w:t>
      </w:r>
    </w:p>
    <w:p>
      <w:pPr>
        <w:spacing w:after="80"/>
      </w:pPr>
      <w:r>
        <w:t xml:space="preserve">  * Electrodermal Activity (EDA / Galvanic Skin Response at 4 Hz)</w:t>
      </w:r>
    </w:p>
    <w:p>
      <w:pPr>
        <w:spacing w:after="80"/>
      </w:pPr>
      <w:r>
        <w:t xml:space="preserve">  * Skin Temperature (4 Hz)</w:t>
      </w:r>
    </w:p>
    <w:p>
      <w:pPr>
        <w:pStyle w:val="ListBullet"/>
        <w:spacing w:after="40"/>
      </w:pPr>
      <w:r/>
      <w:r>
        <w:rPr>
          <w:b/>
        </w:rPr>
        <w:t>Paired Ground Truth:</w:t>
      </w:r>
      <w:r>
        <w:t xml:space="preserve"> Continuous Glucose Monitor (</w:t>
      </w:r>
      <w:r>
        <w:rPr>
          <w:b/>
        </w:rPr>
        <w:t>Dexcom G6 CGM</w:t>
      </w:r>
      <w:r>
        <w:t xml:space="preserve">) recording subcutaneous interstitial glucose every </w:t>
      </w:r>
      <w:r>
        <w:rPr>
          <w:b/>
        </w:rPr>
        <w:t>5 minutes</w:t>
      </w:r>
      <w:r>
        <w:t xml:space="preserve"> (over </w:t>
      </w:r>
      <w:r>
        <w:rPr>
          <w:b/>
        </w:rPr>
        <w:t>26,000 paired epochs</w:t>
      </w:r>
      <w:r>
        <w:t>).</w:t>
      </w:r>
    </w:p>
    <w:p>
      <w:pPr>
        <w:pStyle w:val="ListBullet"/>
        <w:spacing w:after="40"/>
      </w:pPr>
      <w:r/>
      <w:r>
        <w:rPr>
          <w:b/>
        </w:rPr>
        <w:t>Why This is High Value:</w:t>
      </w:r>
      <w:r/>
    </w:p>
    <w:p>
      <w:pPr>
        <w:spacing w:after="80"/>
      </w:pPr>
      <w:r>
        <w:t xml:space="preserve">  1. </w:t>
      </w:r>
      <w:r>
        <w:rPr>
          <w:b/>
        </w:rPr>
        <w:t>Tests Real-Time Dynamic Forecasting:</w:t>
      </w:r>
      <w:r>
        <w:t xml:space="preserve"> While NHANES and MESA evaluate episodic fasting blood draws, the Duke dataset tests whether wrist sensors can track </w:t>
      </w:r>
      <w:r>
        <w:rPr>
          <w:b/>
        </w:rPr>
        <w:t>continuous real-time glycemic swings and post-prandial spikes</w:t>
      </w:r>
      <w:r>
        <w:t>.</w:t>
      </w:r>
    </w:p>
    <w:p>
      <w:pPr>
        <w:spacing w:after="80"/>
      </w:pPr>
      <w:r>
        <w:t xml:space="preserve">  2. </w:t>
      </w:r>
      <w:r>
        <w:rPr>
          <w:b/>
        </w:rPr>
        <w:t>Validates Our Deep Temporal Sequence Models:</w:t>
      </w:r>
      <w:r>
        <w:t xml:space="preserve"> Our 1D-CNN and Bidirectional LSTM models developed in Report 05 can be applied directly to the continuous 5-minute Dexcom CGM sequences.</w:t>
      </w:r>
    </w:p>
    <w:p>
      <w:pPr>
        <w:spacing w:after="80"/>
      </w:pPr>
      <w:r>
        <w:t xml:space="preserve">  3. </w:t>
      </w:r>
      <w:r>
        <w:rPr>
          <w:b/>
        </w:rPr>
        <w:t>100% Open Access:</w:t>
      </w:r>
      <w:r>
        <w:t xml:space="preserve"> Completely open and instantly downloadable via curl, python, or direct browser download from PhysioNet.</w:t>
      </w:r>
    </w:p>
    <w:p>
      <w:pPr>
        <w:spacing w:before="120" w:after="120"/>
      </w:pPr>
    </w:p>
    <w:p>
      <w:pPr>
        <w:pStyle w:val="Heading2"/>
        <w:spacing w:before="200" w:after="80"/>
      </w:pPr>
      <w:r>
        <w:rPr>
          <w:rFonts w:ascii="Calibri" w:hAnsi="Calibri"/>
          <w:b/>
          <w:color w:val="2E75B6"/>
          <w:sz w:val="28"/>
        </w:rPr>
        <w:t>Candidate #3: CGMacros Multimodal Dataset (PhysioNet, 2023/2024)</w:t>
      </w:r>
    </w:p>
    <w:p>
      <w:pPr>
        <w:spacing w:after="80"/>
      </w:pPr>
      <w:r>
        <w:t xml:space="preserve">⭐ </w:t>
      </w:r>
      <w:r>
        <w:rPr>
          <w:b/>
        </w:rPr>
        <w:t>Overall Verdict: EXCELLENT FOR DIETARY INTERACTION &amp; MULTICLASS PREDIABETES STRATIFICATION</w:t>
      </w:r>
      <w:r/>
    </w:p>
    <w:p>
      <w:pPr>
        <w:pStyle w:val="ListBullet"/>
        <w:spacing w:after="40"/>
      </w:pPr>
      <w:r/>
      <w:r>
        <w:rPr>
          <w:b/>
        </w:rPr>
        <w:t>Source Repository:</w:t>
      </w:r>
      <w:r>
        <w:t xml:space="preserve"> Hosted on </w:t>
      </w:r>
      <w:r>
        <w:rPr>
          <w:b/>
        </w:rPr>
        <w:t>PhysioNet</w:t>
      </w:r>
      <w:r>
        <w:t xml:space="preserve"> by Texas A&amp;M University (PSI-TAMU).</w:t>
      </w:r>
    </w:p>
    <w:p>
      <w:pPr>
        <w:pStyle w:val="ListBullet"/>
        <w:spacing w:after="40"/>
      </w:pPr>
      <w:r/>
      <w:r>
        <w:rPr>
          <w:b/>
        </w:rPr>
        <w:t>Cohort Profile:</w:t>
      </w:r>
      <w:r>
        <w:t xml:space="preserve"> $N = 45$ adults (15 healthy normoglycemic, 16 pre-diabetic, and 14 with confirmed Type 2 Diabetes).</w:t>
      </w:r>
    </w:p>
    <w:p>
      <w:pPr>
        <w:pStyle w:val="ListBullet"/>
        <w:spacing w:after="40"/>
      </w:pPr>
      <w:r/>
      <w:r>
        <w:rPr>
          <w:b/>
        </w:rPr>
        <w:t>Sensor Modality:</w:t>
      </w:r>
      <w:r>
        <w:t xml:space="preserve"> Wearable physical activity monitors (Fitbit) worn continuously for </w:t>
      </w:r>
      <w:r>
        <w:rPr>
          <w:b/>
        </w:rPr>
        <w:t>10 consecutive days in free-living conditions</w:t>
      </w:r>
      <w:r>
        <w:t>.</w:t>
      </w:r>
    </w:p>
    <w:p>
      <w:pPr>
        <w:pStyle w:val="ListBullet"/>
        <w:spacing w:after="40"/>
      </w:pPr>
      <w:r/>
      <w:r>
        <w:rPr>
          <w:b/>
        </w:rPr>
        <w:t>Paired Ground Truth:</w:t>
      </w:r>
      <w:r>
        <w:t xml:space="preserve"> Continuous Glucose Monitoring (</w:t>
      </w:r>
      <w:r>
        <w:rPr>
          <w:b/>
        </w:rPr>
        <w:t>Abbott FreeStyle Libre + Dexcom G6</w:t>
      </w:r>
      <w:r>
        <w:t>) + timestamped meals with macronutrients (carbs, fats, proteins) + baseline laboratory blood panels.</w:t>
      </w:r>
    </w:p>
    <w:p>
      <w:pPr>
        <w:pStyle w:val="ListBullet"/>
        <w:spacing w:after="40"/>
      </w:pPr>
      <w:r/>
      <w:r>
        <w:rPr>
          <w:b/>
        </w:rPr>
        <w:t>Why This is Useful:</w:t>
      </w:r>
      <w:r/>
    </w:p>
    <w:p>
      <w:pPr>
        <w:spacing w:after="80"/>
      </w:pPr>
      <w:r>
        <w:t xml:space="preserve">  * Provides a direct real-world testbed for our </w:t>
      </w:r>
      <w:r>
        <w:rPr>
          <w:b/>
        </w:rPr>
        <w:t>Phase 2 Three-Class ADA Risk Screening model</w:t>
      </w:r>
      <w:r>
        <w:t xml:space="preserve"> (Class 0: Normal vs Class 1: Prediabetes vs Class 2: Diabetes).</w:t>
      </w:r>
    </w:p>
    <w:p>
      <w:pPr>
        <w:spacing w:before="120" w:after="120"/>
      </w:pPr>
    </w:p>
    <w:p>
      <w:pPr>
        <w:pStyle w:val="Heading2"/>
        <w:spacing w:before="200" w:after="80"/>
      </w:pPr>
      <w:r>
        <w:rPr>
          <w:rFonts w:ascii="Calibri" w:hAnsi="Calibri"/>
          <w:b/>
          <w:color w:val="2E75B6"/>
          <w:sz w:val="28"/>
        </w:rPr>
        <w:t>Candidate #4: CDC NHANES 2003–2006 Historical Survey Wave</w:t>
      </w:r>
    </w:p>
    <w:p>
      <w:pPr>
        <w:spacing w:after="80"/>
      </w:pPr>
      <w:r>
        <w:t xml:space="preserve">⭐ </w:t>
      </w:r>
      <w:r>
        <w:rPr>
          <w:b/>
        </w:rPr>
        <w:t>Overall Verdict: INSTANT BENCHMARK FOR HISTORICAL &amp; SENSOR-PLACEMENT GENERALIZATION</w:t>
      </w:r>
      <w:r/>
    </w:p>
    <w:p>
      <w:pPr>
        <w:pStyle w:val="ListBullet"/>
        <w:spacing w:after="40"/>
      </w:pPr>
      <w:r/>
      <w:r>
        <w:rPr>
          <w:b/>
        </w:rPr>
        <w:t>Source Repository:</w:t>
      </w:r>
      <w:r>
        <w:t xml:space="preserve"> CDC National Center for Health Statistics (NCHS) public server.</w:t>
      </w:r>
    </w:p>
    <w:p>
      <w:pPr>
        <w:pStyle w:val="ListBullet"/>
        <w:spacing w:after="40"/>
      </w:pPr>
      <w:r/>
      <w:r>
        <w:rPr>
          <w:b/>
        </w:rPr>
        <w:t>Cohort Profile:</w:t>
      </w:r>
      <w:r>
        <w:t xml:space="preserve"> $N \approx 4,000$ nationally representative US adults.</w:t>
      </w:r>
    </w:p>
    <w:p>
      <w:pPr>
        <w:pStyle w:val="ListBullet"/>
        <w:spacing w:after="40"/>
      </w:pPr>
      <w:r/>
      <w:r>
        <w:rPr>
          <w:b/>
        </w:rPr>
        <w:t>Sensor Modality:</w:t>
      </w:r>
      <w:r>
        <w:t xml:space="preserve"> </w:t>
      </w:r>
      <w:r>
        <w:rPr>
          <w:b/>
        </w:rPr>
        <w:t>ActiGraph 7164</w:t>
      </w:r>
      <w:r>
        <w:t xml:space="preserve"> hip-worn accelerometer worn for 7 continuous days.</w:t>
      </w:r>
    </w:p>
    <w:p>
      <w:pPr>
        <w:pStyle w:val="ListBullet"/>
        <w:spacing w:after="40"/>
      </w:pPr>
      <w:r/>
      <w:r>
        <w:rPr>
          <w:b/>
        </w:rPr>
        <w:t>Paired Ground Truth:</w:t>
      </w:r>
      <w:r>
        <w:t xml:space="preserve"> Certified laboratory Fasting Glucose, Fasting Insulin $\rightarrow$ </w:t>
      </w:r>
      <w:r>
        <w:rPr>
          <w:b/>
        </w:rPr>
        <w:t>HOMA-IR</w:t>
      </w:r>
      <w:r>
        <w:t>, HbA1c, and Body Measures.</w:t>
      </w:r>
    </w:p>
    <w:p>
      <w:pPr>
        <w:pStyle w:val="ListBullet"/>
        <w:spacing w:after="40"/>
      </w:pPr>
      <w:r/>
      <w:r>
        <w:rPr>
          <w:b/>
        </w:rPr>
        <w:t>Why This is Useful:</w:t>
      </w:r>
      <w:r/>
    </w:p>
    <w:p>
      <w:pPr>
        <w:spacing w:after="80"/>
      </w:pPr>
      <w:r>
        <w:t xml:space="preserve">  * Instant, automated download using our existing script structure (`scripts/download_nhanes_dataset.py`).</w:t>
      </w:r>
    </w:p>
    <w:p>
      <w:pPr>
        <w:spacing w:after="80"/>
      </w:pPr>
      <w:r>
        <w:t xml:space="preserve">  * Tests how well an algorithm trained on </w:t>
      </w:r>
      <w:r>
        <w:rPr>
          <w:b/>
        </w:rPr>
        <w:t>wrist actigraphy (2011–2014)</w:t>
      </w:r>
      <w:r>
        <w:t xml:space="preserve"> transfers to </w:t>
      </w:r>
      <w:r>
        <w:rPr>
          <w:b/>
        </w:rPr>
        <w:t>hip actigraphy (2003–2006)</w:t>
      </w:r>
      <w:r>
        <w:t>.</w:t>
      </w:r>
    </w:p>
    <w:p>
      <w:pPr>
        <w:spacing w:before="120" w:after="120"/>
      </w:pPr>
    </w:p>
    <w:p>
      <w:pPr>
        <w:pStyle w:val="Heading1"/>
        <w:spacing w:before="240" w:after="120"/>
      </w:pPr>
      <w:r>
        <w:rPr>
          <w:rFonts w:ascii="Calibri" w:hAnsi="Calibri"/>
          <w:b/>
          <w:color w:val="1F4E79"/>
          <w:sz w:val="40"/>
        </w:rPr>
        <w:t>4. Strategic Recommendation for the BTP Project</w:t>
      </w:r>
    </w:p>
    <w:p>
      <w:pPr>
        <w:pStyle w:val="Heading3"/>
        <w:spacing w:before="160" w:after="40"/>
      </w:pPr>
      <w:r>
        <w:rPr>
          <w:rFonts w:ascii="Calibri" w:hAnsi="Calibri"/>
          <w:b/>
          <w:color w:val="44546A"/>
          <w:sz w:val="24"/>
        </w:rPr>
        <w:t>The Two-Track Strategy:</w:t>
      </w:r>
    </w:p>
    <w:p>
      <w:pPr>
        <w:spacing w:after="80"/>
      </w:pPr>
      <w:r>
        <w:t xml:space="preserve">1. </w:t>
      </w:r>
      <w:r>
        <w:rPr>
          <w:b/>
        </w:rPr>
        <w:t>Track 1 (The Academic Gold Standard — Highly Recommended):</w:t>
      </w:r>
      <w:r/>
    </w:p>
    <w:p>
      <w:pPr>
        <w:spacing w:after="80"/>
      </w:pPr>
      <w:r>
        <w:t xml:space="preserve">   Use </w:t>
      </w:r>
      <w:r>
        <w:rPr>
          <w:b/>
        </w:rPr>
        <w:t>MESA Sleep (NSRR)</w:t>
      </w:r>
      <w:r>
        <w:t xml:space="preserve"> to perform </w:t>
      </w:r>
      <w:r>
        <w:rPr>
          <w:b/>
        </w:rPr>
        <w:t>cross-cohort external validation of your exact HOMA-IR and Phase 2 screening models</w:t>
      </w:r>
      <w:r>
        <w:t>.</w:t>
      </w:r>
    </w:p>
    <w:p>
      <w:pPr>
        <w:spacing w:after="80"/>
      </w:pPr>
      <w:r>
        <w:t xml:space="preserve">   *Why:* Because both NHANES and MESA use 7-day wrist actigraphy paired with Fasting Insulin $\rightarrow$ HOMA-IR. Showing that the LightGBM/XGBoost model trained on NHANES retains its accuracy on MESA ($N = 2,237$) provides a strong publication-grade contribution.</w:t>
      </w:r>
    </w:p>
    <w:p>
      <w:pPr>
        <w:spacing w:after="80"/>
      </w:pPr>
      <w:r>
        <w:t xml:space="preserve">2. </w:t>
      </w:r>
      <w:r>
        <w:rPr>
          <w:b/>
        </w:rPr>
        <w:t>Track 2 (The Dynamic Wearable Extension — Optional / Future Work):</w:t>
      </w:r>
      <w:r/>
    </w:p>
    <w:p>
      <w:pPr>
        <w:spacing w:after="80"/>
      </w:pPr>
      <w:r>
        <w:t xml:space="preserve">   Use </w:t>
      </w:r>
      <w:r>
        <w:rPr>
          <w:b/>
        </w:rPr>
        <w:t>Duke BIG IDEAs Lab (PhysioNet)</w:t>
      </w:r>
      <w:r>
        <w:t xml:space="preserve"> to demonstrate that our 1D-CNN and LSTM architectures can predict </w:t>
      </w:r>
      <w:r>
        <w:rPr>
          <w:b/>
        </w:rPr>
        <w:t>continuous 5-minute CGM interstitial glucose</w:t>
      </w:r>
      <w:r>
        <w:t xml:space="preserve"> from wristband sensor streams.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