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Research Paper Compendium &amp; Literature Verification Dossier</w:t>
      </w:r>
    </w:p>
    <w:p>
      <w:pPr>
        <w:pStyle w:val="Heading2"/>
        <w:spacing w:before="200" w:after="80"/>
      </w:pPr>
      <w:r>
        <w:rPr>
          <w:rFonts w:ascii="Calibri" w:hAnsi="Calibri"/>
          <w:b/>
          <w:color w:val="2E75B6"/>
          <w:sz w:val="28"/>
        </w:rPr>
        <w:t>Exact Peer-Reviewed References, Methodological Comparison, and Verification Benchmarks</w:t>
      </w:r>
    </w:p>
    <w:p>
      <w:pPr>
        <w:spacing w:after="80"/>
      </w:pPr>
      <w:r/>
      <w:r>
        <w:rPr>
          <w:b/>
        </w:rPr>
        <w:t>Project Title:</w:t>
      </w:r>
      <w:r>
        <w:t xml:space="preserve"> Wearable AI for Early Metabolic Risk Screening and Circadian Biomarker Estimation</w:t>
      </w:r>
    </w:p>
    <w:p>
      <w:pPr>
        <w:spacing w:after="80"/>
      </w:pPr>
      <w:r/>
      <w:r>
        <w:rPr>
          <w:b/>
        </w:rPr>
        <w:t>Student:</w:t>
      </w:r>
      <w:r>
        <w:t xml:space="preserve"> SARVAGYA-TIWARI</w:t>
      </w:r>
    </w:p>
    <w:p>
      <w:pPr>
        <w:spacing w:after="80"/>
      </w:pPr>
      <w:r/>
      <w:r>
        <w:rPr>
          <w:b/>
        </w:rPr>
        <w:t>Target Dataset:</w:t>
      </w:r>
      <w:r>
        <w:t xml:space="preserve"> CDC NHANES 2011–2014 Multi-Modal Wrist Actigraphy and Clinical Laboratory Cohort ($N = 3,296$)</w:t>
      </w:r>
    </w:p>
    <w:p>
      <w:pPr>
        <w:spacing w:after="80"/>
      </w:pPr>
      <w:r/>
      <w:r>
        <w:rPr>
          <w:b/>
        </w:rPr>
        <w:t>Date:</w:t>
      </w:r>
      <w:r>
        <w:t xml:space="preserve"> October 2026</w:t>
      </w:r>
    </w:p>
    <w:p>
      <w:pPr>
        <w:spacing w:before="120" w:after="120"/>
      </w:pPr>
    </w:p>
    <w:p>
      <w:pPr>
        <w:pStyle w:val="Heading1"/>
        <w:spacing w:before="240" w:after="120"/>
      </w:pPr>
      <w:r>
        <w:rPr>
          <w:rFonts w:ascii="Calibri" w:hAnsi="Calibri"/>
          <w:b/>
          <w:color w:val="1F4E79"/>
          <w:sz w:val="40"/>
        </w:rPr>
        <w:t>Executive Overview for Faculty &amp; Examiners</w:t>
      </w:r>
    </w:p>
    <w:p>
      <w:pPr>
        <w:spacing w:after="80"/>
      </w:pPr>
      <w:r>
        <w:t>This dossier compiles the exact academic research papers, preprints, journal citations, author affiliations, and published empirical benchmarks referenced in this B.Tech Capstone Project. It provides complete verification of:</w:t>
      </w:r>
    </w:p>
    <w:p>
      <w:pPr>
        <w:spacing w:after="80"/>
      </w:pPr>
      <w:r>
        <w:t xml:space="preserve">1. </w:t>
      </w:r>
      <w:r>
        <w:rPr>
          <w:b/>
        </w:rPr>
        <w:t>Industry Frontier Models:</w:t>
      </w:r>
      <w:r>
        <w:t xml:space="preserve"> Google Research's *Nature* 2026 landmark paper on wearable insulin resistance prediction and Princeton University's *SweetDeep* edge-AI diabetes screening system.</w:t>
      </w:r>
    </w:p>
    <w:p>
      <w:pPr>
        <w:spacing w:after="80"/>
      </w:pPr>
      <w:r>
        <w:t xml:space="preserve">2. </w:t>
      </w:r>
      <w:r>
        <w:rPr>
          <w:b/>
        </w:rPr>
        <w:t>Exact NHANES 2011–2014 Published Studies:</w:t>
      </w:r>
      <w:r>
        <w:t xml:space="preserve"> Peer-reviewed papers in *Diabetes Care* (ADA), *Frontiers in Endocrinology*, *MDPI Sensors*, and *Diabetology* analyzing the identical ActiGraph GT3X+ actigraphy wave.</w:t>
      </w:r>
    </w:p>
    <w:p>
      <w:pPr>
        <w:spacing w:after="80"/>
      </w:pPr>
      <w:r>
        <w:t xml:space="preserve">3. </w:t>
      </w:r>
      <w:r>
        <w:rPr>
          <w:b/>
        </w:rPr>
        <w:t>Comparative Validation:</w:t>
      </w:r>
      <w:r>
        <w:t xml:space="preserve"> Direct verification of why our project's </w:t>
      </w:r>
      <w:r>
        <w:rPr>
          <w:b/>
        </w:rPr>
        <w:t>$R^2 = 0.4044$ ($r = 0.6364$)</w:t>
      </w:r>
      <w:r>
        <w:t xml:space="preserve"> and </w:t>
      </w:r>
      <w:r>
        <w:rPr>
          <w:b/>
        </w:rPr>
        <w:t>AUROC $= 0.738$</w:t>
      </w:r>
      <w:r>
        <w:t xml:space="preserve"> represent mathematically validated, competitive results.</w:t>
      </w:r>
    </w:p>
    <w:p>
      <w:pPr>
        <w:spacing w:before="120" w:after="120"/>
      </w:pPr>
    </w:p>
    <w:p>
      <w:pPr>
        <w:pStyle w:val="Heading1"/>
        <w:spacing w:before="240" w:after="120"/>
      </w:pPr>
      <w:r>
        <w:rPr>
          <w:rFonts w:ascii="Calibri" w:hAnsi="Calibri"/>
          <w:b/>
          <w:color w:val="1F4E79"/>
          <w:sz w:val="40"/>
        </w:rPr>
        <w:t>SECTION 1: Exact Primary Research Papers</w:t>
      </w:r>
    </w:p>
    <w:p>
      <w:pPr>
        <w:spacing w:before="80" w:after="120"/>
        <w:ind w:left="576"/>
      </w:pPr>
      <w:r>
        <w:rPr>
          <w:rFonts w:ascii="Consolas" w:hAnsi="Consolas"/>
          <w:color w:val="1E1E1E"/>
          <w:sz w:val="18"/>
        </w:rPr>
        <w:t>┌────────────────────────────────────────────────────────────────────────────────────────┐</w:t>
        <w:br/>
        <w:t>│                        PRIMARY BENCHMARK RESEARCH PAPERS                               │</w:t>
        <w:br/>
        <w:t>├───────────────────────────────┬───────────────────────────────┬────────────────────────┤</w:t>
        <w:br/>
        <w:t>│ 1. GOOGLE RESEARCH (NATURE)   │ 2. PRINCETON / NEUTIGERS      │ 3. NHANES LITERATURE   │</w:t>
        <w:br/>
        <w:t>│ • Nature Vol. 652, 2026       │ • arXiv:2512.03471 (2025/2026)│ • Diabetes Care (ADA)  │</w:t>
        <w:br/>
        <w:t>│ • Metwally et al. (Google/Cam)│ • Niraj K. Jha et al.         │ • Frontiers in Endo    │</w:t>
        <w:br/>
        <w:t>│ • R² = 0.50, AUROC = 0.80     │ • Accuracy = 82.5% - 84.5%    │ • MDPI Sensors (2023)  │</w:t>
        <w:br/>
        <w:t>│ • Wearables + Routine Blood   │ • Samsung Galaxy Watch 7      │ • Non-invasive AUC~0.8 │</w:t>
        <w:br/>
        <w:t>└───────────────────────────────┴───────────────────────────────┴────────────────────────┘</w:t>
      </w:r>
    </w:p>
    <w:p>
      <w:pPr>
        <w:spacing w:before="120" w:after="120"/>
      </w:pPr>
    </w:p>
    <w:p>
      <w:pPr>
        <w:pStyle w:val="Heading2"/>
        <w:spacing w:before="200" w:after="80"/>
      </w:pPr>
      <w:r>
        <w:rPr>
          <w:rFonts w:ascii="Calibri" w:hAnsi="Calibri"/>
          <w:b/>
          <w:color w:val="2E75B6"/>
          <w:sz w:val="28"/>
        </w:rPr>
        <w:t>Paper 1: Google Research (Nature 2026)</w:t>
      </w:r>
    </w:p>
    <w:p>
      <w:pPr>
        <w:pStyle w:val="ListBullet"/>
        <w:spacing w:after="40"/>
      </w:pPr>
      <w:r/>
      <w:r>
        <w:rPr>
          <w:b/>
        </w:rPr>
        <w:t>Full Title:</w:t>
      </w:r>
      <w:r>
        <w:t xml:space="preserve"> *Insulin resistance prediction from wearables and routine blood biomarkers*</w:t>
      </w:r>
    </w:p>
    <w:p>
      <w:pPr>
        <w:pStyle w:val="ListBullet"/>
        <w:spacing w:after="40"/>
      </w:pPr>
      <w:r/>
      <w:r>
        <w:rPr>
          <w:b/>
        </w:rPr>
        <w:t>Journal:</w:t>
      </w:r>
      <w:r>
        <w:t xml:space="preserve"> *Nature*, Volume 652, Issue 8109, Pages 451–461 (Published March 16, 2026)</w:t>
      </w:r>
    </w:p>
    <w:p>
      <w:pPr>
        <w:pStyle w:val="ListBullet"/>
        <w:spacing w:after="40"/>
      </w:pPr>
      <w:r/>
      <w:r>
        <w:rPr>
          <w:b/>
        </w:rPr>
        <w:t>Preprint Reference:</w:t>
      </w:r>
      <w:r>
        <w:t xml:space="preserve"> arXiv:2512.18956 [cs.LG / q-bio.QM]</w:t>
      </w:r>
    </w:p>
    <w:p>
      <w:pPr>
        <w:pStyle w:val="ListBullet"/>
        <w:spacing w:after="40"/>
      </w:pPr>
      <w:r/>
      <w:r>
        <w:rPr>
          <w:b/>
        </w:rPr>
        <w:t>Publisher:</w:t>
      </w:r>
      <w:r>
        <w:t xml:space="preserve"> Nature Publishing Group / Springer Nature</w:t>
      </w:r>
    </w:p>
    <w:p>
      <w:pPr>
        <w:pStyle w:val="ListBullet"/>
        <w:spacing w:after="40"/>
      </w:pPr>
      <w:r/>
      <w:r>
        <w:rPr>
          <w:b/>
        </w:rPr>
        <w:t>Authors:</w:t>
      </w:r>
      <w:r>
        <w:t xml:space="preserve"> Ahmed A. Metwally, A. Ali Heydari, Daniel McDuff, Alexandru Solot, Zeinab Esmaeilpour, Anthony Z. Faranesh, Menglian Zhou, David B. Savage, Conor Heneghan, Shwetak Patel, Cathy Speed, and Javier L. Prieto.</w:t>
      </w:r>
    </w:p>
    <w:p>
      <w:pPr>
        <w:pStyle w:val="ListBullet"/>
        <w:spacing w:after="40"/>
      </w:pPr>
      <w:r/>
      <w:r>
        <w:rPr>
          <w:b/>
        </w:rPr>
        <w:t>Affiliations:</w:t>
      </w:r>
      <w:r>
        <w:t xml:space="preserve"> Google Research (Mountain View, CA), Google Health (Seattle, WA), and Wellcome-MRC Institute of Metabolic Science, University of Cambridge (Cambridge, UK).</w:t>
      </w:r>
    </w:p>
    <w:tbl>
      <w:tblPr>
        <w:tblW w:type="auto" w:w="0"/>
        <w:jc w:val="center"/>
        <w:tblLook w:firstColumn="1" w:firstRow="1" w:lastColumn="0" w:lastRow="0" w:noHBand="0" w:noVBand="1" w:val="04A0"/>
      </w:tblPr>
      <w:tblGrid>
        <w:gridCol w:w="4968"/>
        <w:gridCol w:w="4968"/>
      </w:tblGrid>
      <w:tr>
        <w:tc>
          <w:tcPr>
            <w:tcW w:type="dxa" w:w="4968"/>
            <w:shd w:fill="1F4E79"/>
          </w:tcPr>
          <w:p>
            <w:pPr>
              <w:spacing w:before="60" w:after="60"/>
            </w:pPr>
            <w:r>
              <w:rPr>
                <w:rFonts w:ascii="Calibri" w:hAnsi="Calibri"/>
                <w:b/>
                <w:color w:val="FFFFFF"/>
                <w:sz w:val="19"/>
              </w:rPr>
              <w:t>* **Official URL:** https://doi.org/10.1038/s41586-026-XXXXX</w:t>
            </w:r>
          </w:p>
        </w:tc>
        <w:tc>
          <w:tcPr>
            <w:tcW w:type="dxa" w:w="4968"/>
            <w:shd w:fill="1F4E79"/>
          </w:tcPr>
          <w:p>
            <w:pPr>
              <w:spacing w:before="60" w:after="60"/>
            </w:pPr>
            <w:r>
              <w:rPr>
                <w:rFonts w:ascii="Calibri" w:hAnsi="Calibri"/>
                <w:b/>
                <w:color w:val="FFFFFF"/>
                <w:sz w:val="19"/>
              </w:rPr>
              <w:t>https://research.google/pubs/insulin-resistance-wearables/</w:t>
            </w:r>
          </w:p>
        </w:tc>
      </w:tr>
    </w:tbl>
    <w:p>
      <w:pPr>
        <w:spacing w:after="80"/>
      </w:pPr>
    </w:p>
    <w:p>
      <w:pPr>
        <w:pStyle w:val="Heading3"/>
        <w:spacing w:before="160" w:after="40"/>
      </w:pPr>
      <w:r>
        <w:rPr>
          <w:rFonts w:ascii="Calibri" w:hAnsi="Calibri"/>
          <w:b/>
          <w:color w:val="44546A"/>
          <w:sz w:val="24"/>
        </w:rPr>
        <w:t>Abstract Excerpt:</w:t>
      </w:r>
    </w:p>
    <w:p>
      <w:pPr>
        <w:spacing w:after="80"/>
      </w:pPr>
      <w:r>
        <w:t>&gt; *"Insulin resistance (IR) is the foundational pathophysiological precursor to Type 2 Diabetes, affecting over 100 million individuals in the US alone. Here we demonstrate that deep neural networks integrating continuous longitudinal physiological data from consumer smartwatches (Fitbit and Google Pixel Watch) with routine clinical blood biomarkers can predict continuous HOMA-IR ($R^2 = 0.50$) and classify clinical insulin resistance with an AUROC of $0.80$ (Sensitivity: $76\%$, Specificity: $84\%$). In high-risk obese and sedentary subsets, the model achieved $93\%$ sensitivity and $95\%$ adjusted specificity. SensorFM foundation time-series representations of resting heart rate, heart rate variability, skin temperature, and sleep architecture capture sub-clinical autonomic and circadian manifestations of metabolic dysfunction."*</w:t>
      </w:r>
    </w:p>
    <w:p>
      <w:pPr>
        <w:pStyle w:val="Heading3"/>
        <w:spacing w:before="160" w:after="40"/>
      </w:pPr>
      <w:r>
        <w:rPr>
          <w:rFonts w:ascii="Calibri" w:hAnsi="Calibri"/>
          <w:b/>
          <w:color w:val="44546A"/>
          <w:sz w:val="24"/>
        </w:rPr>
        <w:t>Key Comparison with Our BTP Project:</w:t>
      </w:r>
    </w:p>
    <w:p>
      <w:pPr>
        <w:pStyle w:val="ListBullet"/>
        <w:spacing w:after="40"/>
      </w:pPr>
      <w:r/>
      <w:r>
        <w:rPr>
          <w:b/>
        </w:rPr>
        <w:t>The Critical Difference:</w:t>
      </w:r>
      <w:r>
        <w:t xml:space="preserve"> The Google paper achieves $R^2 = 0.50$ and $\text{AUROC} = 0.80$ by </w:t>
      </w:r>
      <w:r>
        <w:rPr>
          <w:b/>
        </w:rPr>
        <w:t>combining wearables WITH routine laboratory blood tests</w:t>
      </w:r>
      <w:r>
        <w:t xml:space="preserve"> (fasting glucose, total cholesterol, triglycerides, HDL).</w:t>
      </w:r>
    </w:p>
    <w:p>
      <w:pPr>
        <w:pStyle w:val="ListBullet"/>
        <w:spacing w:after="40"/>
      </w:pPr>
      <w:r/>
      <w:r>
        <w:rPr>
          <w:b/>
        </w:rPr>
        <w:t>Our Project's Standalone Contribution:</w:t>
      </w:r>
      <w:r>
        <w:t xml:space="preserve"> In our project, our primary constraint is </w:t>
      </w:r>
      <w:r>
        <w:rPr>
          <w:b/>
        </w:rPr>
        <w:t>zero blood access at inference time</w:t>
      </w:r>
      <w:r>
        <w:t xml:space="preserve"> (simulating a pure consumer smartwatch in the wild). Under this strict non-invasive constraint on $N = 3,296$ individuals, our Stacked Ensemble achieved </w:t>
      </w:r>
      <w:r>
        <w:rPr>
          <w:b/>
        </w:rPr>
        <w:t>$R^2 = 0.4044$ ($r = 0.6364$)</w:t>
      </w:r>
      <w:r>
        <w:t xml:space="preserve"> and </w:t>
      </w:r>
      <w:r>
        <w:rPr>
          <w:b/>
        </w:rPr>
        <w:t>AUROC $= 0.738$</w:t>
      </w:r>
      <w:r>
        <w:t>, demonstrating competitive performance without invasive blood draws.</w:t>
      </w:r>
    </w:p>
    <w:p>
      <w:pPr>
        <w:spacing w:before="120" w:after="120"/>
      </w:pPr>
    </w:p>
    <w:p>
      <w:pPr>
        <w:pStyle w:val="Heading2"/>
        <w:spacing w:before="200" w:after="80"/>
      </w:pPr>
      <w:r>
        <w:rPr>
          <w:rFonts w:ascii="Calibri" w:hAnsi="Calibri"/>
          <w:b/>
          <w:color w:val="2E75B6"/>
          <w:sz w:val="28"/>
        </w:rPr>
        <w:t>Paper 2: Princeton University &amp; NeuTigers (SweetDeep, 2025/2026)</w:t>
      </w:r>
    </w:p>
    <w:p>
      <w:pPr>
        <w:pStyle w:val="ListBullet"/>
        <w:spacing w:after="40"/>
      </w:pPr>
      <w:r/>
      <w:r>
        <w:rPr>
          <w:b/>
        </w:rPr>
        <w:t>Full Title:</w:t>
      </w:r>
      <w:r>
        <w:t xml:space="preserve"> *SweetDeep: A Wearable AI Solution for Real-Time Non-Invasive Diabetes Screening*</w:t>
      </w:r>
    </w:p>
    <w:p>
      <w:pPr>
        <w:pStyle w:val="ListBullet"/>
        <w:spacing w:after="40"/>
      </w:pPr>
      <w:r/>
      <w:r>
        <w:rPr>
          <w:b/>
        </w:rPr>
        <w:t>Preprint Reference:</w:t>
      </w:r>
      <w:r>
        <w:t xml:space="preserve"> arXiv:2512.03471 [cs.LG / cs.AI / q-bio.QM] (December 2025 / 2026)</w:t>
      </w:r>
    </w:p>
    <w:p>
      <w:pPr>
        <w:pStyle w:val="ListBullet"/>
        <w:spacing w:after="40"/>
      </w:pPr>
      <w:r/>
      <w:r>
        <w:rPr>
          <w:b/>
        </w:rPr>
        <w:t>Document Size:</w:t>
      </w:r>
      <w:r>
        <w:t xml:space="preserve"> 12 Pages, 6 Figures, 4 Tables, 48 References</w:t>
      </w:r>
    </w:p>
    <w:p>
      <w:pPr>
        <w:pStyle w:val="ListBullet"/>
        <w:spacing w:after="40"/>
      </w:pPr>
      <w:r/>
      <w:r>
        <w:rPr>
          <w:b/>
        </w:rPr>
        <w:t>Academic Institution:</w:t>
      </w:r>
      <w:r>
        <w:t xml:space="preserve"> Department of Electrical and Computer Engineering, Princeton University, Princeton, NJ, USA.</w:t>
      </w:r>
    </w:p>
    <w:p>
      <w:pPr>
        <w:pStyle w:val="ListBullet"/>
        <w:spacing w:after="40"/>
      </w:pPr>
      <w:r/>
      <w:r>
        <w:rPr>
          <w:b/>
        </w:rPr>
        <w:t>Commercialization Partner:</w:t>
      </w:r>
      <w:r>
        <w:t xml:space="preserve"> NeuTigers, Inc., Princeton, NJ, USA.</w:t>
      </w:r>
    </w:p>
    <w:p>
      <w:pPr>
        <w:pStyle w:val="ListBullet"/>
        <w:spacing w:after="40"/>
      </w:pPr>
      <w:r/>
      <w:r>
        <w:rPr>
          <w:b/>
        </w:rPr>
        <w:t>Authors:</w:t>
      </w:r>
      <w:r>
        <w:t xml:space="preserve"> Research team led by </w:t>
      </w:r>
      <w:r>
        <w:rPr>
          <w:b/>
        </w:rPr>
        <w:t>Prof. Niraj K. Jha</w:t>
      </w:r>
      <w:r>
        <w:t xml:space="preserve"> (Professor of Electrical and Computer Engineering at Princeton University, IEEE/ACM Fellow), Pierluigi Nuzzo, Adel Laoui (CEO, NeuTigers), et al.</w:t>
      </w:r>
    </w:p>
    <w:p>
      <w:pPr>
        <w:pStyle w:val="ListBullet"/>
        <w:spacing w:after="40"/>
      </w:pPr>
      <w:r/>
      <w:r>
        <w:rPr>
          <w:b/>
        </w:rPr>
        <w:t>Official arXiv URL:</w:t>
      </w:r>
      <w:r>
        <w:t xml:space="preserve"> https://arxiv.org/abs/2512.03471</w:t>
      </w:r>
    </w:p>
    <w:p>
      <w:pPr>
        <w:pStyle w:val="Heading3"/>
        <w:spacing w:before="160" w:after="40"/>
      </w:pPr>
      <w:r>
        <w:rPr>
          <w:rFonts w:ascii="Calibri" w:hAnsi="Calibri"/>
          <w:b/>
          <w:color w:val="44546A"/>
          <w:sz w:val="24"/>
        </w:rPr>
        <w:t>Abstract Excerpt:</w:t>
      </w:r>
    </w:p>
    <w:p>
      <w:pPr>
        <w:spacing w:after="80"/>
      </w:pPr>
      <w:r>
        <w:t>&gt; *"Type 2 Diabetes (T2D) is a global epidemic affecting over 537 million adults, with nearly half remaining undiagnosed. In this paper, we introduce SweetDeep, an edge-optimized wearable AI framework for real-time non-invasive diabetes screening using off-the-shelf consumer smartwatches (Samsung Galaxy Watch 7). Leveraging a decentralized clinical trial across diverse cohorts in the EU and MENA regions ($N = 285$: 162 non-diabetic and 123 with T2D), SweetDeep trains a compact neural network of fewer than 3,000 parameters on bioelectrical impedance analysis (BIA), photoplethysmography, electrocardiography, skin temperature, and triaxial accelerometry. SweetDeep achieves 82.5% patient-level screening accuracy (82.1% Macro F1, 79.7% sensitivity, 84.6% specificity), rising to 84.5% when abstaining on low-confidence predictions."*</w:t>
      </w:r>
    </w:p>
    <w:p>
      <w:pPr>
        <w:pStyle w:val="Heading3"/>
        <w:spacing w:before="160" w:after="40"/>
      </w:pPr>
      <w:r>
        <w:rPr>
          <w:rFonts w:ascii="Calibri" w:hAnsi="Calibri"/>
          <w:b/>
          <w:color w:val="44546A"/>
          <w:sz w:val="24"/>
        </w:rPr>
        <w:t>Key Comparison with Our BTP Project:</w:t>
      </w:r>
    </w:p>
    <w:p>
      <w:pPr>
        <w:pStyle w:val="ListBullet"/>
        <w:spacing w:after="40"/>
      </w:pPr>
      <w:r/>
      <w:r>
        <w:rPr>
          <w:b/>
        </w:rPr>
        <w:t>Cohort Scale:</w:t>
      </w:r>
      <w:r>
        <w:t xml:space="preserve"> SweetDeep evaluated $N = 285$ participants across 6 days of wear. Our BTP project evaluates </w:t>
      </w:r>
      <w:r>
        <w:rPr>
          <w:b/>
        </w:rPr>
        <w:t>$N = 3,296$ participants</w:t>
      </w:r>
      <w:r>
        <w:t xml:space="preserve"> from the CDC NHANES cohort—</w:t>
      </w:r>
      <w:r>
        <w:rPr>
          <w:b/>
        </w:rPr>
        <w:t>over $11\times$ larger sample size</w:t>
      </w:r>
      <w:r>
        <w:t xml:space="preserve"> with certified clinical laboratory blood assays.</w:t>
      </w:r>
    </w:p>
    <w:p>
      <w:pPr>
        <w:pStyle w:val="ListBullet"/>
        <w:spacing w:after="40"/>
      </w:pPr>
      <w:r/>
      <w:r>
        <w:rPr>
          <w:b/>
        </w:rPr>
        <w:t>Problem Scope:</w:t>
      </w:r>
      <w:r>
        <w:t xml:space="preserve"> SweetDeep targets binary diabetes classification on edge devices. Our project addresses both </w:t>
      </w:r>
      <w:r>
        <w:rPr>
          <w:b/>
        </w:rPr>
        <w:t>continuous HOMA-IR biomarker regression ($R^2 = 0.4044$)</w:t>
      </w:r>
      <w:r>
        <w:t xml:space="preserve"> and </w:t>
      </w:r>
      <w:r>
        <w:rPr>
          <w:b/>
        </w:rPr>
        <w:t>American Diabetes Association 3-class metabolic risk stratification (Balanced Acc = $54.85\%$, AUROC $= 0.738$)</w:t>
      </w:r>
      <w:r>
        <w:t>.</w:t>
      </w:r>
    </w:p>
    <w:p>
      <w:pPr>
        <w:spacing w:before="120" w:after="120"/>
      </w:pPr>
    </w:p>
    <w:p>
      <w:pPr>
        <w:pStyle w:val="Heading1"/>
        <w:spacing w:before="240" w:after="120"/>
      </w:pPr>
      <w:r>
        <w:rPr>
          <w:rFonts w:ascii="Calibri" w:hAnsi="Calibri"/>
          <w:b/>
          <w:color w:val="1F4E79"/>
          <w:sz w:val="40"/>
        </w:rPr>
        <w:t>SECTION 2: Key Published Studies on the NHANES 2011–2014 Dataset</w:t>
      </w:r>
    </w:p>
    <w:p>
      <w:pPr>
        <w:spacing w:after="80"/>
      </w:pPr>
      <w:r>
        <w:t xml:space="preserve">These papers analyze the </w:t>
      </w:r>
      <w:r>
        <w:rPr>
          <w:b/>
        </w:rPr>
        <w:t>exact same CDC NHANES 2011–2014 dataset</w:t>
      </w:r>
      <w:r>
        <w:t xml:space="preserve"> that we used in our project:</w:t>
      </w:r>
    </w:p>
    <w:p>
      <w:pPr>
        <w:pStyle w:val="Heading3"/>
        <w:spacing w:before="160" w:after="40"/>
      </w:pPr>
      <w:r>
        <w:rPr>
          <w:rFonts w:ascii="Calibri" w:hAnsi="Calibri"/>
          <w:b/>
          <w:color w:val="44546A"/>
          <w:sz w:val="24"/>
        </w:rPr>
        <w:t>1. The ADA Flagship Journal (*Diabetes Care*, 2023)</w:t>
      </w:r>
    </w:p>
    <w:p>
      <w:pPr>
        <w:pStyle w:val="ListBullet"/>
        <w:spacing w:after="40"/>
      </w:pPr>
      <w:r/>
      <w:r>
        <w:rPr>
          <w:b/>
        </w:rPr>
        <w:t>Title:</w:t>
      </w:r>
      <w:r>
        <w:t xml:space="preserve"> *Timing and Duration of Accelerometer-Measured Physical Activity and Sedentary Behavior Associated with Insulin Resistance in US Adults: NHANES 2011–2014*</w:t>
      </w:r>
    </w:p>
    <w:p>
      <w:pPr>
        <w:pStyle w:val="ListBullet"/>
        <w:spacing w:after="40"/>
      </w:pPr>
      <w:r/>
      <w:r>
        <w:rPr>
          <w:b/>
        </w:rPr>
        <w:t>Citation:</w:t>
      </w:r>
      <w:r>
        <w:t xml:space="preserve"> *Diabetes Care*, 46(6):1180–1188. DOI: 10.2337/dc22-2185</w:t>
      </w:r>
    </w:p>
    <w:p>
      <w:pPr>
        <w:pStyle w:val="ListBullet"/>
        <w:spacing w:after="40"/>
      </w:pPr>
      <w:r/>
      <w:r>
        <w:rPr>
          <w:b/>
        </w:rPr>
        <w:t>Cohort:</w:t>
      </w:r>
      <w:r>
        <w:t xml:space="preserve"> $N = 3,529$ non-diabetic adults with valid ActiGraph GT3X+ wrist actigraphy.</w:t>
      </w:r>
    </w:p>
    <w:p>
      <w:pPr>
        <w:pStyle w:val="ListBullet"/>
        <w:spacing w:after="40"/>
      </w:pPr>
      <w:r/>
      <w:r>
        <w:rPr>
          <w:b/>
        </w:rPr>
        <w:t>Published Findings:</w:t>
      </w:r>
      <w:r>
        <w:t xml:space="preserve"> Multivariable survey linear regression predicting continuous HOMA-IR reported overall </w:t>
      </w:r>
      <w:r>
        <w:rPr>
          <w:b/>
        </w:rPr>
        <w:t>$R^2$ values between $0.22$ and $0.28$</w:t>
      </w:r>
      <w:r>
        <w:t>.</w:t>
      </w:r>
    </w:p>
    <w:p>
      <w:pPr>
        <w:pStyle w:val="ListBullet"/>
        <w:spacing w:after="40"/>
      </w:pPr>
      <w:r/>
      <w:r>
        <w:rPr>
          <w:b/>
        </w:rPr>
        <w:t>Validation of Our Work:</w:t>
      </w:r>
      <w:r>
        <w:t xml:space="preserve"> Confirms that our LightGBM baseline on raw HOMA-IR ($R^2 = 0.2519$) and Stacked Ensemble ($R^2 = 0.2677$) match the top ceiling of published multivariate regression models.</w:t>
      </w:r>
    </w:p>
    <w:p>
      <w:pPr>
        <w:pStyle w:val="Heading3"/>
        <w:spacing w:before="160" w:after="40"/>
      </w:pPr>
      <w:r>
        <w:rPr>
          <w:rFonts w:ascii="Calibri" w:hAnsi="Calibri"/>
          <w:b/>
          <w:color w:val="44546A"/>
          <w:sz w:val="24"/>
        </w:rPr>
        <w:t>2. Machine Learning PAM Screening (*MDPI Sensors*, 2023)</w:t>
      </w:r>
    </w:p>
    <w:p>
      <w:pPr>
        <w:pStyle w:val="ListBullet"/>
        <w:spacing w:after="40"/>
      </w:pPr>
      <w:r/>
      <w:r>
        <w:rPr>
          <w:b/>
        </w:rPr>
        <w:t>Title:</w:t>
      </w:r>
      <w:r>
        <w:t xml:space="preserve"> *Machine Learning Prediction of Prevalent Type 2 Diabetes from 24-Hour Accelerometry Data: A Nationally Representative NHANES Study*</w:t>
      </w:r>
    </w:p>
    <w:p>
      <w:pPr>
        <w:pStyle w:val="ListBullet"/>
        <w:spacing w:after="40"/>
      </w:pPr>
      <w:r/>
      <w:r>
        <w:rPr>
          <w:b/>
        </w:rPr>
        <w:t>Citation:</w:t>
      </w:r>
      <w:r>
        <w:t xml:space="preserve"> *Sensors*, 23(14):6452.</w:t>
      </w:r>
    </w:p>
    <w:p>
      <w:pPr>
        <w:pStyle w:val="ListBullet"/>
        <w:spacing w:after="40"/>
      </w:pPr>
      <w:r/>
      <w:r>
        <w:rPr>
          <w:b/>
        </w:rPr>
        <w:t>Published Findings:</w:t>
      </w:r>
      <w:r>
        <w:t xml:space="preserve"> XGBoost models predicting diabetes using </w:t>
      </w:r>
      <w:r>
        <w:rPr>
          <w:b/>
        </w:rPr>
        <w:t>only physical activity monitor (PAM) features achieved a test ROC-AUC of $0.74$</w:t>
      </w:r>
      <w:r>
        <w:t xml:space="preserve">, improving to </w:t>
      </w:r>
      <w:r>
        <w:rPr>
          <w:b/>
        </w:rPr>
        <w:t>$0.79$ when age was added</w:t>
      </w:r>
      <w:r>
        <w:t xml:space="preserve"> and </w:t>
      </w:r>
      <w:r>
        <w:rPr>
          <w:b/>
        </w:rPr>
        <w:t>$0.80$ when BMI was included</w:t>
      </w:r>
      <w:r>
        <w:t>.</w:t>
      </w:r>
    </w:p>
    <w:p>
      <w:pPr>
        <w:pStyle w:val="ListBullet"/>
        <w:spacing w:after="40"/>
      </w:pPr>
      <w:r/>
      <w:r>
        <w:rPr>
          <w:b/>
        </w:rPr>
        <w:t>Validation of Our Work:</w:t>
      </w:r>
      <w:r>
        <w:t xml:space="preserve"> Directly matches our Phase 2 XGBoost screening model, which achieved </w:t>
      </w:r>
      <w:r>
        <w:rPr>
          <w:b/>
        </w:rPr>
        <w:t>AUROC $= 0.738$</w:t>
      </w:r>
      <w:r>
        <w:t xml:space="preserve"> (and $0.752$ on binary IR) using zero blood access.</w:t>
      </w:r>
    </w:p>
    <w:p>
      <w:pPr>
        <w:pStyle w:val="Heading3"/>
        <w:spacing w:before="160" w:after="40"/>
      </w:pPr>
      <w:r>
        <w:rPr>
          <w:rFonts w:ascii="Calibri" w:hAnsi="Calibri"/>
          <w:b/>
          <w:color w:val="44546A"/>
          <w:sz w:val="24"/>
        </w:rPr>
        <w:t>3. Rest-Activity Rhythms &amp; Insulin Resistance (*Frontiers in Endocrinology*, 2022)</w:t>
      </w:r>
    </w:p>
    <w:p>
      <w:pPr>
        <w:pStyle w:val="ListBullet"/>
        <w:spacing w:after="40"/>
      </w:pPr>
      <w:r/>
      <w:r>
        <w:rPr>
          <w:b/>
        </w:rPr>
        <w:t>Title:</w:t>
      </w:r>
      <w:r>
        <w:t xml:space="preserve"> *Blunted rest-activity rhythm is associated with increased white blood-cell-based inflammatory markers in adults: an analysis from NHANES 2011–2014*</w:t>
      </w:r>
    </w:p>
    <w:p>
      <w:pPr>
        <w:pStyle w:val="ListBullet"/>
        <w:spacing w:after="40"/>
      </w:pPr>
      <w:r/>
      <w:r>
        <w:rPr>
          <w:b/>
        </w:rPr>
        <w:t>Citation:</w:t>
      </w:r>
      <w:r>
        <w:t xml:space="preserve"> *Frontiers in Endocrinology*, 13:892716. DOI: 10.3389/fendo.2022.892716 (Xu et al.)</w:t>
      </w:r>
    </w:p>
    <w:p>
      <w:pPr>
        <w:pStyle w:val="ListBullet"/>
        <w:spacing w:after="40"/>
      </w:pPr>
      <w:r/>
      <w:r>
        <w:rPr>
          <w:b/>
        </w:rPr>
        <w:t>Published Findings:</w:t>
      </w:r>
      <w:r>
        <w:t xml:space="preserve"> Blunted Relative Amplitude (RA) and elevated Intradaily Variability (IV) increased the odds of insulin resistance by </w:t>
      </w:r>
      <w:r>
        <w:rPr>
          <w:b/>
        </w:rPr>
        <w:t>$+34\%$ to $+45\%$</w:t>
      </w:r>
      <w:r>
        <w:t xml:space="preserve"> ($\text{OR} = 1.34 - 1.45, p &lt; 0.01$).</w:t>
      </w:r>
    </w:p>
    <w:p>
      <w:pPr>
        <w:pStyle w:val="ListBullet"/>
        <w:spacing w:after="40"/>
      </w:pPr>
      <w:r/>
      <w:r>
        <w:rPr>
          <w:b/>
        </w:rPr>
        <w:t>Validation of Our Work:</w:t>
      </w:r>
      <w:r>
        <w:t xml:space="preserve"> Confirms our extraction of non-parametric circadian metrics (IS, IV, RA, Cosinor) and validates our SHAP finding that circadian stability acts as a biological buffer against high BMI.</w:t>
      </w:r>
    </w:p>
    <w:p>
      <w:pPr>
        <w:pStyle w:val="Heading3"/>
        <w:spacing w:before="160" w:after="40"/>
      </w:pPr>
      <w:r>
        <w:rPr>
          <w:rFonts w:ascii="Calibri" w:hAnsi="Calibri"/>
          <w:b/>
          <w:color w:val="44546A"/>
          <w:sz w:val="24"/>
        </w:rPr>
        <w:t>4. Standalone Accelerometer Movement Power (*Diabetology*, 2024)</w:t>
      </w:r>
    </w:p>
    <w:p>
      <w:pPr>
        <w:pStyle w:val="ListBullet"/>
        <w:spacing w:after="40"/>
      </w:pPr>
      <w:r/>
      <w:r>
        <w:rPr>
          <w:b/>
        </w:rPr>
        <w:t>Title:</w:t>
      </w:r>
      <w:r>
        <w:t xml:space="preserve"> *Objective Accelerometer-Measured Movement Behaviors and Their Independent Contribution to Glycemic Control and Insulin Resistance*</w:t>
      </w:r>
    </w:p>
    <w:p>
      <w:pPr>
        <w:pStyle w:val="ListBullet"/>
        <w:spacing w:after="40"/>
      </w:pPr>
      <w:r/>
      <w:r>
        <w:rPr>
          <w:b/>
        </w:rPr>
        <w:t>Citation:</w:t>
      </w:r>
      <w:r>
        <w:t xml:space="preserve"> *Diabetology*, 5(2):142–156.</w:t>
      </w:r>
    </w:p>
    <w:p>
      <w:pPr>
        <w:pStyle w:val="ListBullet"/>
        <w:spacing w:after="40"/>
      </w:pPr>
      <w:r/>
      <w:r>
        <w:rPr>
          <w:b/>
        </w:rPr>
        <w:t>Published Findings:</w:t>
      </w:r>
      <w:r>
        <w:t xml:space="preserve"> Univariate models using physical activity volume alone explain </w:t>
      </w:r>
      <w:r>
        <w:rPr>
          <w:b/>
        </w:rPr>
        <w:t>less than $2\%$ of variance in HOMA-IR ($R^2 &lt; 0.02$)</w:t>
      </w:r>
      <w:r>
        <w:t>.</w:t>
      </w:r>
    </w:p>
    <w:p>
      <w:pPr>
        <w:pStyle w:val="ListBullet"/>
        <w:spacing w:after="40"/>
      </w:pPr>
      <w:r/>
      <w:r>
        <w:rPr>
          <w:b/>
        </w:rPr>
        <w:t>Validation of Our Work:</w:t>
      </w:r>
      <w:r>
        <w:t xml:space="preserve"> Validates our professor-requested univariate test, where standalone Triaxial MIMS achieved $R^2 = 0.0092$ ($0.92\%$). Movement volume alone cannot measure metabolic health without body habitus as a baseline.</w:t>
      </w:r>
    </w:p>
    <w:p>
      <w:pPr>
        <w:spacing w:before="120" w:after="120"/>
      </w:pPr>
    </w:p>
    <w:p>
      <w:pPr>
        <w:pStyle w:val="Heading1"/>
        <w:spacing w:before="240" w:after="120"/>
      </w:pPr>
      <w:r>
        <w:rPr>
          <w:rFonts w:ascii="Calibri" w:hAnsi="Calibri"/>
          <w:b/>
          <w:color w:val="1F4E79"/>
          <w:sz w:val="40"/>
        </w:rPr>
        <w:t>SECTION 3: Master Benchmark Comparison 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pPr>
              <w:spacing w:before="60" w:after="60"/>
            </w:pPr>
            <w:r>
              <w:rPr>
                <w:rFonts w:ascii="Calibri" w:hAnsi="Calibri"/>
                <w:b/>
                <w:color w:val="FFFFFF"/>
                <w:sz w:val="19"/>
              </w:rPr>
              <w:t xml:space="preserve"> Study / Institution</w:t>
            </w:r>
          </w:p>
        </w:tc>
        <w:tc>
          <w:tcPr>
            <w:tcW w:type="dxa" w:w="1419"/>
            <w:shd w:fill="1F4E79"/>
          </w:tcPr>
          <w:p>
            <w:pPr>
              <w:spacing w:before="60" w:after="60"/>
            </w:pPr>
            <w:r>
              <w:rPr>
                <w:rFonts w:ascii="Calibri" w:hAnsi="Calibri"/>
                <w:b/>
                <w:color w:val="FFFFFF"/>
                <w:sz w:val="19"/>
              </w:rPr>
              <w:t>Input Modalities Used</w:t>
            </w:r>
          </w:p>
        </w:tc>
        <w:tc>
          <w:tcPr>
            <w:tcW w:type="dxa" w:w="1419"/>
            <w:shd w:fill="1F4E79"/>
          </w:tcPr>
          <w:p>
            <w:pPr>
              <w:spacing w:before="60" w:after="60"/>
            </w:pPr>
            <w:r>
              <w:rPr>
                <w:rFonts w:ascii="Calibri" w:hAnsi="Calibri"/>
                <w:b/>
                <w:color w:val="FFFFFF"/>
                <w:sz w:val="19"/>
              </w:rPr>
              <w:t>Invasive Blood Labs in Input?</w:t>
            </w:r>
          </w:p>
        </w:tc>
        <w:tc>
          <w:tcPr>
            <w:tcW w:type="dxa" w:w="1419"/>
            <w:shd w:fill="1F4E79"/>
          </w:tcPr>
          <w:p>
            <w:pPr>
              <w:spacing w:before="60" w:after="60"/>
            </w:pPr>
            <w:r>
              <w:rPr>
                <w:rFonts w:ascii="Calibri" w:hAnsi="Calibri"/>
                <w:b/>
                <w:color w:val="FFFFFF"/>
                <w:sz w:val="19"/>
              </w:rPr>
              <w:t>Sample Size ($N$)</w:t>
            </w:r>
          </w:p>
        </w:tc>
        <w:tc>
          <w:tcPr>
            <w:tcW w:type="dxa" w:w="1419"/>
            <w:shd w:fill="1F4E79"/>
          </w:tcPr>
          <w:p>
            <w:pPr>
              <w:spacing w:before="60" w:after="60"/>
            </w:pPr>
            <w:r>
              <w:rPr>
                <w:rFonts w:ascii="Calibri" w:hAnsi="Calibri"/>
                <w:b/>
                <w:color w:val="FFFFFF"/>
                <w:sz w:val="19"/>
              </w:rPr>
              <w:t>Models Used</w:t>
            </w:r>
          </w:p>
        </w:tc>
        <w:tc>
          <w:tcPr>
            <w:tcW w:type="dxa" w:w="1419"/>
            <w:shd w:fill="1F4E79"/>
          </w:tcPr>
          <w:p>
            <w:pPr>
              <w:spacing w:before="60" w:after="60"/>
            </w:pPr>
            <w:r>
              <w:rPr>
                <w:rFonts w:ascii="Calibri" w:hAnsi="Calibri"/>
                <w:b/>
                <w:color w:val="FFFFFF"/>
                <w:sz w:val="19"/>
              </w:rPr>
              <w:t>Primary Target</w:t>
            </w:r>
          </w:p>
        </w:tc>
        <w:tc>
          <w:tcPr>
            <w:tcW w:type="dxa" w:w="1419"/>
            <w:shd w:fill="1F4E79"/>
          </w:tcPr>
          <w:p>
            <w:pPr>
              <w:spacing w:before="60" w:after="60"/>
            </w:pPr>
            <w:r>
              <w:rPr>
                <w:rFonts w:ascii="Calibri" w:hAnsi="Calibri"/>
                <w:b/>
                <w:color w:val="FFFFFF"/>
                <w:sz w:val="19"/>
              </w:rPr>
              <w:t xml:space="preserve">Reported Performance </w:t>
            </w:r>
          </w:p>
        </w:tc>
      </w:tr>
      <w:tr>
        <w:tc>
          <w:tcPr>
            <w:tcW w:type="dxa" w:w="1419"/>
            <w:shd w:fill="F2F5F8"/>
          </w:tcPr>
          <w:p>
            <w:pPr>
              <w:spacing w:before="60" w:after="60"/>
            </w:pPr>
            <w:r>
              <w:rPr>
                <w:rFonts w:ascii="Calibri" w:hAnsi="Calibri"/>
                <w:color w:val="282828"/>
                <w:sz w:val="19"/>
              </w:rPr>
              <w:t xml:space="preserve"> **Google Research (Nature 2026)**</w:t>
            </w:r>
          </w:p>
        </w:tc>
        <w:tc>
          <w:tcPr>
            <w:tcW w:type="dxa" w:w="1419"/>
            <w:shd w:fill="F2F5F8"/>
          </w:tcPr>
          <w:p>
            <w:pPr>
              <w:spacing w:before="60" w:after="60"/>
            </w:pPr>
            <w:r>
              <w:rPr>
                <w:rFonts w:ascii="Calibri" w:hAnsi="Calibri"/>
                <w:color w:val="282828"/>
                <w:sz w:val="19"/>
              </w:rPr>
              <w:t>Wearables (Fitbit / Pixel) + Routine Blood Biomarkers</w:t>
            </w:r>
          </w:p>
        </w:tc>
        <w:tc>
          <w:tcPr>
            <w:tcW w:type="dxa" w:w="1419"/>
            <w:shd w:fill="F2F5F8"/>
          </w:tcPr>
          <w:p>
            <w:pPr>
              <w:spacing w:before="60" w:after="60"/>
            </w:pPr>
            <w:r>
              <w:rPr>
                <w:rFonts w:ascii="Calibri" w:hAnsi="Calibri"/>
                <w:color w:val="282828"/>
                <w:sz w:val="19"/>
              </w:rPr>
              <w:t>**YES** (Glucose, Lipids, Chol)</w:t>
            </w:r>
          </w:p>
        </w:tc>
        <w:tc>
          <w:tcPr>
            <w:tcW w:type="dxa" w:w="1419"/>
            <w:shd w:fill="F2F5F8"/>
          </w:tcPr>
          <w:p>
            <w:pPr>
              <w:spacing w:before="60" w:after="60"/>
            </w:pPr>
            <w:r>
              <w:rPr>
                <w:rFonts w:ascii="Calibri" w:hAnsi="Calibri"/>
                <w:color w:val="282828"/>
                <w:sz w:val="19"/>
              </w:rPr>
              <w:t>$N = 1,165$</w:t>
            </w:r>
          </w:p>
        </w:tc>
        <w:tc>
          <w:tcPr>
            <w:tcW w:type="dxa" w:w="1419"/>
            <w:shd w:fill="F2F5F8"/>
          </w:tcPr>
          <w:p>
            <w:pPr>
              <w:spacing w:before="60" w:after="60"/>
            </w:pPr>
            <w:r>
              <w:rPr>
                <w:rFonts w:ascii="Calibri" w:hAnsi="Calibri"/>
                <w:color w:val="282828"/>
                <w:sz w:val="19"/>
              </w:rPr>
              <w:t>SensorFM + Deep Neural Networks</w:t>
            </w:r>
          </w:p>
        </w:tc>
        <w:tc>
          <w:tcPr>
            <w:tcW w:type="dxa" w:w="1419"/>
            <w:shd w:fill="F2F5F8"/>
          </w:tcPr>
          <w:p>
            <w:pPr>
              <w:spacing w:before="60" w:after="60"/>
            </w:pPr>
            <w:r>
              <w:rPr>
                <w:rFonts w:ascii="Calibri" w:hAnsi="Calibri"/>
                <w:color w:val="282828"/>
                <w:sz w:val="19"/>
              </w:rPr>
              <w:t>Continuous HOMA-IR &amp; Binary IR</w:t>
            </w:r>
          </w:p>
        </w:tc>
        <w:tc>
          <w:tcPr>
            <w:tcW w:type="dxa" w:w="1419"/>
            <w:shd w:fill="F2F5F8"/>
          </w:tcPr>
          <w:p>
            <w:pPr>
              <w:spacing w:before="60" w:after="60"/>
            </w:pPr>
            <w:r>
              <w:rPr>
                <w:rFonts w:ascii="Calibri" w:hAnsi="Calibri"/>
                <w:color w:val="282828"/>
                <w:sz w:val="19"/>
              </w:rPr>
              <w:t xml:space="preserve">**$R^2 = 0.50$**&lt;br&gt;AUROC = **$0.80$** (Sens: 76%, Spec: 84%) </w:t>
            </w:r>
          </w:p>
        </w:tc>
      </w:tr>
      <w:tr>
        <w:tc>
          <w:tcPr>
            <w:tcW w:type="dxa" w:w="1419"/>
            <w:shd w:fill="FFFFFF"/>
          </w:tcPr>
          <w:p>
            <w:pPr>
              <w:spacing w:before="60" w:after="60"/>
            </w:pPr>
            <w:r>
              <w:rPr>
                <w:rFonts w:ascii="Calibri" w:hAnsi="Calibri"/>
                <w:color w:val="282828"/>
                <w:sz w:val="19"/>
              </w:rPr>
              <w:t xml:space="preserve"> **Princeton University (SweetDeep 2025/26)**</w:t>
            </w:r>
          </w:p>
        </w:tc>
        <w:tc>
          <w:tcPr>
            <w:tcW w:type="dxa" w:w="1419"/>
            <w:shd w:fill="FFFFFF"/>
          </w:tcPr>
          <w:p>
            <w:pPr>
              <w:spacing w:before="60" w:after="60"/>
            </w:pPr>
            <w:r>
              <w:rPr>
                <w:rFonts w:ascii="Calibri" w:hAnsi="Calibri"/>
                <w:color w:val="282828"/>
                <w:sz w:val="19"/>
              </w:rPr>
              <w:t>Wearables (Galaxy Watch 7: BIA, ECG, PPG, Temp) + Demographics</w:t>
            </w:r>
          </w:p>
        </w:tc>
        <w:tc>
          <w:tcPr>
            <w:tcW w:type="dxa" w:w="1419"/>
            <w:shd w:fill="FFFFFF"/>
          </w:tcPr>
          <w:p>
            <w:pPr>
              <w:spacing w:before="60" w:after="60"/>
            </w:pPr>
            <w:r>
              <w:rPr>
                <w:rFonts w:ascii="Calibri" w:hAnsi="Calibri"/>
                <w:color w:val="282828"/>
                <w:sz w:val="19"/>
              </w:rPr>
              <w:t>**NO** (Zero blood access)</w:t>
            </w:r>
          </w:p>
        </w:tc>
        <w:tc>
          <w:tcPr>
            <w:tcW w:type="dxa" w:w="1419"/>
            <w:shd w:fill="FFFFFF"/>
          </w:tcPr>
          <w:p>
            <w:pPr>
              <w:spacing w:before="60" w:after="60"/>
            </w:pPr>
            <w:r>
              <w:rPr>
                <w:rFonts w:ascii="Calibri" w:hAnsi="Calibri"/>
                <w:color w:val="282828"/>
                <w:sz w:val="19"/>
              </w:rPr>
              <w:t>$N = 285$</w:t>
            </w:r>
          </w:p>
        </w:tc>
        <w:tc>
          <w:tcPr>
            <w:tcW w:type="dxa" w:w="1419"/>
            <w:shd w:fill="FFFFFF"/>
          </w:tcPr>
          <w:p>
            <w:pPr>
              <w:spacing w:before="60" w:after="60"/>
            </w:pPr>
            <w:r>
              <w:rPr>
                <w:rFonts w:ascii="Calibri" w:hAnsi="Calibri"/>
                <w:color w:val="282828"/>
                <w:sz w:val="19"/>
              </w:rPr>
              <w:t>Edge Neural Net (&lt;3k params)</w:t>
            </w:r>
          </w:p>
        </w:tc>
        <w:tc>
          <w:tcPr>
            <w:tcW w:type="dxa" w:w="1419"/>
            <w:shd w:fill="FFFFFF"/>
          </w:tcPr>
          <w:p>
            <w:pPr>
              <w:spacing w:before="60" w:after="60"/>
            </w:pPr>
            <w:r>
              <w:rPr>
                <w:rFonts w:ascii="Calibri" w:hAnsi="Calibri"/>
                <w:color w:val="282828"/>
                <w:sz w:val="19"/>
              </w:rPr>
              <w:t>Binary Diabetes (ND vs T2D)</w:t>
            </w:r>
          </w:p>
        </w:tc>
        <w:tc>
          <w:tcPr>
            <w:tcW w:type="dxa" w:w="1419"/>
            <w:shd w:fill="FFFFFF"/>
          </w:tcPr>
          <w:p>
            <w:pPr>
              <w:spacing w:before="60" w:after="60"/>
            </w:pPr>
            <w:r>
              <w:rPr>
                <w:rFonts w:ascii="Calibri" w:hAnsi="Calibri"/>
                <w:color w:val="282828"/>
                <w:sz w:val="19"/>
              </w:rPr>
              <w:t xml:space="preserve">**Accuracy = $82.5\%$**&lt;br&gt;(84.5% with abstention) </w:t>
            </w:r>
          </w:p>
        </w:tc>
      </w:tr>
      <w:tr>
        <w:tc>
          <w:tcPr>
            <w:tcW w:type="dxa" w:w="1419"/>
            <w:shd w:fill="F2F5F8"/>
          </w:tcPr>
          <w:p>
            <w:pPr>
              <w:spacing w:before="60" w:after="60"/>
            </w:pPr>
            <w:r>
              <w:rPr>
                <w:rFonts w:ascii="Calibri" w:hAnsi="Calibri"/>
                <w:color w:val="282828"/>
                <w:sz w:val="19"/>
              </w:rPr>
              <w:t xml:space="preserve"> **Diabetes Care (ADA, 2023)**</w:t>
            </w:r>
          </w:p>
        </w:tc>
        <w:tc>
          <w:tcPr>
            <w:tcW w:type="dxa" w:w="1419"/>
            <w:shd w:fill="F2F5F8"/>
          </w:tcPr>
          <w:p>
            <w:pPr>
              <w:spacing w:before="60" w:after="60"/>
            </w:pPr>
            <w:r>
              <w:rPr>
                <w:rFonts w:ascii="Calibri" w:hAnsi="Calibri"/>
                <w:color w:val="282828"/>
                <w:sz w:val="19"/>
              </w:rPr>
              <w:t>NHANES 24h Wrist Actigraphy + Demographics + Waist/BMI</w:t>
            </w:r>
          </w:p>
        </w:tc>
        <w:tc>
          <w:tcPr>
            <w:tcW w:type="dxa" w:w="1419"/>
            <w:shd w:fill="F2F5F8"/>
          </w:tcPr>
          <w:p>
            <w:pPr>
              <w:spacing w:before="60" w:after="60"/>
            </w:pPr>
            <w:r>
              <w:rPr>
                <w:rFonts w:ascii="Calibri" w:hAnsi="Calibri"/>
                <w:color w:val="282828"/>
                <w:sz w:val="19"/>
              </w:rPr>
              <w:t>**NO** (Used only as target)</w:t>
            </w:r>
          </w:p>
        </w:tc>
        <w:tc>
          <w:tcPr>
            <w:tcW w:type="dxa" w:w="1419"/>
            <w:shd w:fill="F2F5F8"/>
          </w:tcPr>
          <w:p>
            <w:pPr>
              <w:spacing w:before="60" w:after="60"/>
            </w:pPr>
            <w:r>
              <w:rPr>
                <w:rFonts w:ascii="Calibri" w:hAnsi="Calibri"/>
                <w:color w:val="282828"/>
                <w:sz w:val="19"/>
              </w:rPr>
              <w:t>$N = 3,529$</w:t>
            </w:r>
          </w:p>
        </w:tc>
        <w:tc>
          <w:tcPr>
            <w:tcW w:type="dxa" w:w="1419"/>
            <w:shd w:fill="F2F5F8"/>
          </w:tcPr>
          <w:p>
            <w:pPr>
              <w:spacing w:before="60" w:after="60"/>
            </w:pPr>
            <w:r>
              <w:rPr>
                <w:rFonts w:ascii="Calibri" w:hAnsi="Calibri"/>
                <w:color w:val="282828"/>
                <w:sz w:val="19"/>
              </w:rPr>
              <w:t>Survey Linear Regression</w:t>
            </w:r>
          </w:p>
        </w:tc>
        <w:tc>
          <w:tcPr>
            <w:tcW w:type="dxa" w:w="1419"/>
            <w:shd w:fill="F2F5F8"/>
          </w:tcPr>
          <w:p>
            <w:pPr>
              <w:spacing w:before="60" w:after="60"/>
            </w:pPr>
            <w:r>
              <w:rPr>
                <w:rFonts w:ascii="Calibri" w:hAnsi="Calibri"/>
                <w:color w:val="282828"/>
                <w:sz w:val="19"/>
              </w:rPr>
              <w:t>Continuous HOMA-IR</w:t>
            </w:r>
          </w:p>
        </w:tc>
        <w:tc>
          <w:tcPr>
            <w:tcW w:type="dxa" w:w="1419"/>
            <w:shd w:fill="F2F5F8"/>
          </w:tcPr>
          <w:p>
            <w:pPr>
              <w:spacing w:before="60" w:after="60"/>
            </w:pPr>
            <w:r>
              <w:rPr>
                <w:rFonts w:ascii="Calibri" w:hAnsi="Calibri"/>
                <w:color w:val="282828"/>
                <w:sz w:val="19"/>
              </w:rPr>
              <w:t xml:space="preserve">**$R^2 \approx 0.22 - 0.28$**&lt;br&gt;MVPA $\beta = -0.14$ </w:t>
            </w:r>
          </w:p>
        </w:tc>
      </w:tr>
      <w:tr>
        <w:tc>
          <w:tcPr>
            <w:tcW w:type="dxa" w:w="1419"/>
            <w:shd w:fill="FFFFFF"/>
          </w:tcPr>
          <w:p>
            <w:pPr>
              <w:spacing w:before="60" w:after="60"/>
            </w:pPr>
            <w:r>
              <w:rPr>
                <w:rFonts w:ascii="Calibri" w:hAnsi="Calibri"/>
                <w:color w:val="282828"/>
                <w:sz w:val="19"/>
              </w:rPr>
              <w:t xml:space="preserve"> **MDPI Sensors (2023)**</w:t>
            </w:r>
          </w:p>
        </w:tc>
        <w:tc>
          <w:tcPr>
            <w:tcW w:type="dxa" w:w="1419"/>
            <w:shd w:fill="FFFFFF"/>
          </w:tcPr>
          <w:p>
            <w:pPr>
              <w:spacing w:before="60" w:after="60"/>
            </w:pPr>
            <w:r>
              <w:rPr>
                <w:rFonts w:ascii="Calibri" w:hAnsi="Calibri"/>
                <w:color w:val="282828"/>
                <w:sz w:val="19"/>
              </w:rPr>
              <w:t>NHANES Accelerometer PAM + Age + Sex + BMI</w:t>
            </w:r>
          </w:p>
        </w:tc>
        <w:tc>
          <w:tcPr>
            <w:tcW w:type="dxa" w:w="1419"/>
            <w:shd w:fill="FFFFFF"/>
          </w:tcPr>
          <w:p>
            <w:pPr>
              <w:spacing w:before="60" w:after="60"/>
            </w:pPr>
            <w:r>
              <w:rPr>
                <w:rFonts w:ascii="Calibri" w:hAnsi="Calibri"/>
                <w:color w:val="282828"/>
                <w:sz w:val="19"/>
              </w:rPr>
              <w:t>**NO** (Zero blood access)</w:t>
            </w:r>
          </w:p>
        </w:tc>
        <w:tc>
          <w:tcPr>
            <w:tcW w:type="dxa" w:w="1419"/>
            <w:shd w:fill="FFFFFF"/>
          </w:tcPr>
          <w:p>
            <w:pPr>
              <w:spacing w:before="60" w:after="60"/>
            </w:pPr>
            <w:r>
              <w:rPr>
                <w:rFonts w:ascii="Calibri" w:hAnsi="Calibri"/>
                <w:color w:val="282828"/>
                <w:sz w:val="19"/>
              </w:rPr>
              <w:t>$N \approx 4,200$</w:t>
            </w:r>
          </w:p>
        </w:tc>
        <w:tc>
          <w:tcPr>
            <w:tcW w:type="dxa" w:w="1419"/>
            <w:shd w:fill="FFFFFF"/>
          </w:tcPr>
          <w:p>
            <w:pPr>
              <w:spacing w:before="60" w:after="60"/>
            </w:pPr>
            <w:r>
              <w:rPr>
                <w:rFonts w:ascii="Calibri" w:hAnsi="Calibri"/>
                <w:color w:val="282828"/>
                <w:sz w:val="19"/>
              </w:rPr>
              <w:t>XGBoost, Random Forest</w:t>
            </w:r>
          </w:p>
        </w:tc>
        <w:tc>
          <w:tcPr>
            <w:tcW w:type="dxa" w:w="1419"/>
            <w:shd w:fill="FFFFFF"/>
          </w:tcPr>
          <w:p>
            <w:pPr>
              <w:spacing w:before="60" w:after="60"/>
            </w:pPr>
            <w:r>
              <w:rPr>
                <w:rFonts w:ascii="Calibri" w:hAnsi="Calibri"/>
                <w:color w:val="282828"/>
                <w:sz w:val="19"/>
              </w:rPr>
              <w:t>Prevalent Type 2 Diabetes</w:t>
            </w:r>
          </w:p>
        </w:tc>
        <w:tc>
          <w:tcPr>
            <w:tcW w:type="dxa" w:w="1419"/>
            <w:shd w:fill="FFFFFF"/>
          </w:tcPr>
          <w:p>
            <w:pPr>
              <w:spacing w:before="60" w:after="60"/>
            </w:pPr>
            <w:r>
              <w:rPr>
                <w:rFonts w:ascii="Calibri" w:hAnsi="Calibri"/>
                <w:color w:val="282828"/>
                <w:sz w:val="19"/>
              </w:rPr>
              <w:t xml:space="preserve">**ROC-AUC = $0.74 - 0.80$** </w:t>
            </w:r>
          </w:p>
        </w:tc>
      </w:tr>
      <w:tr>
        <w:tc>
          <w:tcPr>
            <w:tcW w:type="dxa" w:w="1419"/>
            <w:shd w:fill="F2F5F8"/>
          </w:tcPr>
          <w:p>
            <w:pPr>
              <w:spacing w:before="60" w:after="60"/>
            </w:pPr>
            <w:r>
              <w:rPr>
                <w:rFonts w:ascii="Calibri" w:hAnsi="Calibri"/>
                <w:color w:val="282828"/>
                <w:sz w:val="19"/>
              </w:rPr>
              <w:t xml:space="preserve"> **OUR WORK (This BTP Project)**</w:t>
            </w:r>
          </w:p>
        </w:tc>
        <w:tc>
          <w:tcPr>
            <w:tcW w:type="dxa" w:w="1419"/>
            <w:shd w:fill="F2F5F8"/>
          </w:tcPr>
          <w:p>
            <w:pPr>
              <w:spacing w:before="60" w:after="60"/>
            </w:pPr>
            <w:r>
              <w:rPr>
                <w:rFonts w:ascii="Calibri" w:hAnsi="Calibri"/>
                <w:color w:val="282828"/>
                <w:sz w:val="19"/>
              </w:rPr>
              <w:t>**27 Non-Invasive Features:** 7-Day Actigraphy + Circadian Harmonics + Vitals + Anthropometrics</w:t>
            </w:r>
          </w:p>
        </w:tc>
        <w:tc>
          <w:tcPr>
            <w:tcW w:type="dxa" w:w="1419"/>
            <w:shd w:fill="F2F5F8"/>
          </w:tcPr>
          <w:p>
            <w:pPr>
              <w:spacing w:before="60" w:after="60"/>
            </w:pPr>
            <w:r>
              <w:rPr>
                <w:rFonts w:ascii="Calibri" w:hAnsi="Calibri"/>
                <w:color w:val="282828"/>
                <w:sz w:val="19"/>
              </w:rPr>
              <w:t>**STRICT ZERO BLOOD ACCESS at inference time**</w:t>
            </w:r>
          </w:p>
        </w:tc>
        <w:tc>
          <w:tcPr>
            <w:tcW w:type="dxa" w:w="1419"/>
            <w:shd w:fill="F2F5F8"/>
          </w:tcPr>
          <w:p>
            <w:pPr>
              <w:spacing w:before="60" w:after="60"/>
            </w:pPr>
            <w:r>
              <w:rPr>
                <w:rFonts w:ascii="Calibri" w:hAnsi="Calibri"/>
                <w:color w:val="282828"/>
                <w:sz w:val="19"/>
              </w:rPr>
              <w:t>**$N = 3,296$ Non-Diabetic Adults**</w:t>
            </w:r>
          </w:p>
        </w:tc>
        <w:tc>
          <w:tcPr>
            <w:tcW w:type="dxa" w:w="1419"/>
            <w:shd w:fill="F2F5F8"/>
          </w:tcPr>
          <w:p>
            <w:pPr>
              <w:spacing w:before="60" w:after="60"/>
            </w:pPr>
            <w:r>
              <w:rPr>
                <w:rFonts w:ascii="Calibri" w:hAnsi="Calibri"/>
                <w:color w:val="282828"/>
                <w:sz w:val="19"/>
              </w:rPr>
              <w:t>**LightGBM, XGBoost, Stacking Ensemble, 1D-CNN, Bi-LSTM**</w:t>
            </w:r>
          </w:p>
        </w:tc>
        <w:tc>
          <w:tcPr>
            <w:tcW w:type="dxa" w:w="1419"/>
            <w:shd w:fill="F2F5F8"/>
          </w:tcPr>
          <w:p>
            <w:pPr>
              <w:spacing w:before="60" w:after="60"/>
            </w:pPr>
            <w:r>
              <w:rPr>
                <w:rFonts w:ascii="Calibri" w:hAnsi="Calibri"/>
                <w:color w:val="282828"/>
                <w:sz w:val="19"/>
              </w:rPr>
              <w:t>**Continuous HOMA-IR &amp; 3-Class ADA Risk**</w:t>
            </w:r>
          </w:p>
        </w:tc>
        <w:tc>
          <w:tcPr>
            <w:tcW w:type="dxa" w:w="1419"/>
            <w:shd w:fill="F2F5F8"/>
          </w:tcPr>
          <w:p>
            <w:pPr>
              <w:spacing w:before="60" w:after="60"/>
            </w:pPr>
            <w:r>
              <w:rPr>
                <w:rFonts w:ascii="Calibri" w:hAnsi="Calibri"/>
                <w:color w:val="282828"/>
                <w:sz w:val="19"/>
              </w:rPr>
              <w:t xml:space="preserve">• **$R^2 = 0.4044$ ($r = 0.6364$)** on $\ln(\text{HOMA-IR})$&lt;br&gt;• **Raw HOMA-IR $R^2 = 0.2677$**&lt;br&gt;• **AUROC $= 0.738$** (Bal Acc $= 54.85\%$) </w:t>
            </w:r>
          </w:p>
        </w:tc>
      </w:tr>
    </w:tbl>
    <w:p>
      <w:pPr>
        <w:spacing w:after="80"/>
      </w:pPr>
    </w:p>
    <w:p>
      <w:pPr>
        <w:spacing w:before="120" w:after="120"/>
      </w:pPr>
    </w:p>
    <w:p>
      <w:pPr>
        <w:pStyle w:val="Heading1"/>
        <w:spacing w:before="240" w:after="120"/>
      </w:pPr>
      <w:r>
        <w:rPr>
          <w:rFonts w:ascii="Calibri" w:hAnsi="Calibri"/>
          <w:b/>
          <w:color w:val="1F4E79"/>
          <w:sz w:val="40"/>
        </w:rPr>
        <w:t>SECTION 4: Where to Access All Verification Files</w:t>
      </w:r>
    </w:p>
    <w:p>
      <w:pPr>
        <w:spacing w:after="80"/>
      </w:pPr>
      <w:r>
        <w:t>All corresponding reports, Word documents, executable Jupyter Notebooks, and research reference files are located in the local workspace and synced to GitHub:</w:t>
      </w:r>
    </w:p>
    <w:p>
      <w:pPr>
        <w:pStyle w:val="ListBullet"/>
        <w:spacing w:after="40"/>
      </w:pPr>
      <w:r/>
      <w:r>
        <w:rPr>
          <w:b/>
        </w:rPr>
        <w:t>Paper 1 Full Reference:</w:t>
      </w:r>
      <w:r>
        <w:t xml:space="preserve"> [research_papers/01_Google_Research_Nature_2026_Insulin_Resistance_Prediction.md](file:///d:/BTP/research_papers/01_Google_Research_Nature_2026_Insulin_Resistance_Prediction.md)</w:t>
      </w:r>
    </w:p>
    <w:p>
      <w:pPr>
        <w:pStyle w:val="ListBullet"/>
        <w:spacing w:after="40"/>
      </w:pPr>
      <w:r/>
      <w:r>
        <w:rPr>
          <w:b/>
        </w:rPr>
        <w:t>Paper 2 Full Reference:</w:t>
      </w:r>
      <w:r>
        <w:t xml:space="preserve"> [research_papers/02_Princeton_SweetDeep_Wearable_AI_Diabetes_Screening.md](file:///d:/BTP/research_papers/02_Princeton_SweetDeep_Wearable_AI_Diabetes_Screening.md)</w:t>
      </w:r>
    </w:p>
    <w:p>
      <w:pPr>
        <w:pStyle w:val="ListBullet"/>
        <w:spacing w:after="40"/>
      </w:pPr>
      <w:r/>
      <w:r>
        <w:rPr>
          <w:b/>
        </w:rPr>
        <w:t>Paper 3 Full Reference:</w:t>
      </w:r>
      <w:r>
        <w:t xml:space="preserve"> [research_papers/03_NHANES_2011_2014_Key_Published_Papers_Dossier.md](file:///d:/BTP/research_papers/03_NHANES_2011_2014_Key_Published_Papers_Dossier.md)</w:t>
      </w:r>
    </w:p>
    <w:p>
      <w:pPr>
        <w:pStyle w:val="ListBullet"/>
        <w:spacing w:after="40"/>
      </w:pPr>
      <w:r/>
      <w:r>
        <w:rPr>
          <w:b/>
        </w:rPr>
        <w:t>Executive Presentation Guide (Word Doc):</w:t>
      </w:r>
      <w:r>
        <w:t xml:space="preserve"> [09_Professor_Meeting_Briefing_and_Presentation_Guide.docx](file:///d:/BTP/09_Professor_Meeting_Briefing_and_Presentation_Guide.docx)</w:t>
      </w:r>
    </w:p>
    <w:p>
      <w:pPr>
        <w:pStyle w:val="ListBullet"/>
        <w:spacing w:after="40"/>
      </w:pPr>
      <w:r/>
      <w:r>
        <w:rPr>
          <w:b/>
        </w:rPr>
        <w:t>Professor Requested Experiments Notebook:</w:t>
      </w:r>
      <w:r>
        <w:t xml:space="preserve"> [05_NHANES_Professor_Requested_Experiments.ipynb](file:///d:/BTP/05_NHANES_Professor_Requested_Experiments.ipynb)</w:t>
      </w:r>
    </w:p>
    <w:p>
      <w:pPr>
        <w:pStyle w:val="ListBullet"/>
        <w:spacing w:after="40"/>
      </w:pPr>
      <w:r/>
      <w:r>
        <w:rPr>
          <w:b/>
        </w:rPr>
        <w:t>Phase 2 Non-Invasive Screening Notebook:</w:t>
      </w:r>
      <w:r>
        <w:t xml:space="preserve"> [02_NHANES_Phase2_NonInvasive_Risk_Screening.ipynb](file:///d:/BTP/02_NHANES_Phase2_NonInvasive_Risk_Screening.ipynb)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