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76C3" w14:textId="77777777" w:rsidR="00FE6971" w:rsidRDefault="00000000">
      <w:pPr>
        <w:pStyle w:val="Heading1"/>
        <w:spacing w:before="240" w:after="120"/>
      </w:pPr>
      <w:r>
        <w:rPr>
          <w:rFonts w:ascii="Calibri" w:hAnsi="Calibri"/>
          <w:color w:val="1F4E79"/>
          <w:sz w:val="40"/>
        </w:rPr>
        <w:t>Phase 1 Benchmark Report: Continuous Metabolic Biomarker Regression</w:t>
      </w:r>
    </w:p>
    <w:p w14:paraId="2AD02650" w14:textId="77777777" w:rsidR="00FE6971" w:rsidRDefault="00FE6971">
      <w:pPr>
        <w:spacing w:before="120" w:after="120"/>
      </w:pPr>
    </w:p>
    <w:p w14:paraId="0E5A8D74" w14:textId="77777777" w:rsidR="00FE6971" w:rsidRDefault="00000000">
      <w:pPr>
        <w:pStyle w:val="Heading2"/>
        <w:spacing w:after="80"/>
      </w:pPr>
      <w:r>
        <w:rPr>
          <w:rFonts w:ascii="Calibri" w:hAnsi="Calibri"/>
          <w:color w:val="2E75B6"/>
          <w:sz w:val="28"/>
        </w:rPr>
        <w:t>1. Executive Summary &amp; Problem Formulation</w:t>
      </w:r>
    </w:p>
    <w:p w14:paraId="42F14C12" w14:textId="77777777" w:rsidR="00FE6971" w:rsidRDefault="00000000">
      <w:pPr>
        <w:spacing w:after="80"/>
      </w:pPr>
      <w:r>
        <w:t>In Phase 1 of this project, we address a foundational clinical research question:</w:t>
      </w:r>
    </w:p>
    <w:p w14:paraId="3E001978" w14:textId="77777777" w:rsidR="00FE6971" w:rsidRDefault="00000000">
      <w:pPr>
        <w:spacing w:after="80"/>
      </w:pPr>
      <w:r>
        <w:t xml:space="preserve">&gt; </w:t>
      </w:r>
      <w:r>
        <w:rPr>
          <w:b/>
        </w:rPr>
        <w:t>Can non-invasive wearable actigraphy, circadian dynamics, resting vitals, and demographics reliably predict an individual's continuous laboratory metabolic biomarkers without invasive blood draws?</w:t>
      </w:r>
    </w:p>
    <w:p w14:paraId="24DDDCA6" w14:textId="77777777" w:rsidR="00FE6971" w:rsidRDefault="00000000">
      <w:pPr>
        <w:spacing w:after="80"/>
      </w:pPr>
      <w:r>
        <w:t>To answer this question rigorously, we developed a multi-model benchmarking pipeline across six machine learning and deep learning architectures:</w:t>
      </w:r>
    </w:p>
    <w:p w14:paraId="6E668DCA" w14:textId="77777777" w:rsidR="00FE6971" w:rsidRDefault="00000000">
      <w:pPr>
        <w:spacing w:after="80"/>
      </w:pPr>
      <w:r>
        <w:t xml:space="preserve">1. </w:t>
      </w:r>
      <w:r>
        <w:rPr>
          <w:b/>
        </w:rPr>
        <w:t>Ridge Regression</w:t>
      </w:r>
      <w:r>
        <w:t xml:space="preserve"> (L2 Regularized Linear Model)</w:t>
      </w:r>
    </w:p>
    <w:p w14:paraId="6F5A7524" w14:textId="77777777" w:rsidR="00FE6971" w:rsidRDefault="00000000">
      <w:pPr>
        <w:spacing w:after="80"/>
      </w:pPr>
      <w:r>
        <w:t xml:space="preserve">2. </w:t>
      </w:r>
      <w:r>
        <w:rPr>
          <w:b/>
        </w:rPr>
        <w:t>Lasso Regression</w:t>
      </w:r>
      <w:r>
        <w:t xml:space="preserve"> (L1 Sparse Feature Selector)</w:t>
      </w:r>
    </w:p>
    <w:p w14:paraId="7C4CE288" w14:textId="77777777" w:rsidR="00FE6971" w:rsidRDefault="00000000">
      <w:pPr>
        <w:spacing w:after="80"/>
      </w:pPr>
      <w:r>
        <w:t xml:space="preserve">3. </w:t>
      </w:r>
      <w:r>
        <w:rPr>
          <w:b/>
        </w:rPr>
        <w:t>Random Forest Regressor</w:t>
      </w:r>
      <w:r>
        <w:t xml:space="preserve"> (Ensemble Bagging)</w:t>
      </w:r>
    </w:p>
    <w:p w14:paraId="2C9B705F" w14:textId="77777777" w:rsidR="00FE6971" w:rsidRDefault="00000000">
      <w:pPr>
        <w:spacing w:after="80"/>
      </w:pPr>
      <w:r>
        <w:t xml:space="preserve">4. </w:t>
      </w:r>
      <w:r>
        <w:rPr>
          <w:b/>
        </w:rPr>
        <w:t>LightGBM Regressor</w:t>
      </w:r>
      <w:r>
        <w:t xml:space="preserve"> (Histogram-based Gradient Boosting)</w:t>
      </w:r>
    </w:p>
    <w:p w14:paraId="6232B4D1" w14:textId="77777777" w:rsidR="00FE6971" w:rsidRDefault="00000000">
      <w:pPr>
        <w:spacing w:after="80"/>
      </w:pPr>
      <w:r>
        <w:t xml:space="preserve">5. </w:t>
      </w:r>
      <w:r>
        <w:rPr>
          <w:b/>
        </w:rPr>
        <w:t>XGBoost Regressor</w:t>
      </w:r>
      <w:r>
        <w:t xml:space="preserve"> (Extreme Gradient Boosting)</w:t>
      </w:r>
    </w:p>
    <w:p w14:paraId="4E4F9AA1" w14:textId="77777777" w:rsidR="00FE6971" w:rsidRDefault="00000000">
      <w:pPr>
        <w:spacing w:after="80"/>
      </w:pPr>
      <w:r>
        <w:t xml:space="preserve">6. </w:t>
      </w:r>
      <w:r>
        <w:rPr>
          <w:b/>
        </w:rPr>
        <w:t>Multi-Layer Perceptron (MLP)</w:t>
      </w:r>
      <w:r>
        <w:t xml:space="preserve"> (Deep Neural Network)</w:t>
      </w:r>
    </w:p>
    <w:p w14:paraId="5EEBF11F" w14:textId="77777777" w:rsidR="00FE6971" w:rsidRDefault="00000000">
      <w:pPr>
        <w:spacing w:after="80"/>
      </w:pPr>
      <w:r>
        <w:t>We benchmarked each model against three continuous clinical ground-truth targets:</w:t>
      </w:r>
    </w:p>
    <w:p w14:paraId="1C8E1BEA" w14:textId="77777777" w:rsidR="00FE6971" w:rsidRDefault="00000000">
      <w:pPr>
        <w:pStyle w:val="ListBullet"/>
        <w:spacing w:after="40"/>
      </w:pPr>
      <w:r>
        <w:rPr>
          <w:b/>
        </w:rPr>
        <w:t>Target 1: HOMA-IR (Continuous Insulin Resistance Score)</w:t>
      </w:r>
      <w:r>
        <w:t xml:space="preserve"> — the primary pathophysiological driver of metabolic syndrome and Type 2 Diabetes.</w:t>
      </w:r>
    </w:p>
    <w:p w14:paraId="12D197D5" w14:textId="77777777" w:rsidR="00FE6971" w:rsidRDefault="00000000">
      <w:pPr>
        <w:pStyle w:val="ListBullet"/>
        <w:spacing w:after="40"/>
      </w:pPr>
      <w:r>
        <w:rPr>
          <w:b/>
        </w:rPr>
        <w:t>Target 2: HbA1c Glycohemoglobin (%)</w:t>
      </w:r>
      <w:r>
        <w:t xml:space="preserve"> — the clinical gold standard for 2–3 month chronic glycemic exposure.</w:t>
      </w:r>
    </w:p>
    <w:p w14:paraId="0DBA8639" w14:textId="77777777" w:rsidR="00FE6971" w:rsidRDefault="00000000">
      <w:pPr>
        <w:pStyle w:val="ListBullet"/>
        <w:spacing w:after="40"/>
      </w:pPr>
      <w:r>
        <w:rPr>
          <w:b/>
        </w:rPr>
        <w:t>Target 3: Fasting Plasma Glucose (mg/dL)</w:t>
      </w:r>
      <w:r>
        <w:t xml:space="preserve"> — the acute morning metabolic baseline.</w:t>
      </w:r>
    </w:p>
    <w:p w14:paraId="47BBE2E4" w14:textId="77777777" w:rsidR="00FE6971" w:rsidRDefault="00000000">
      <w:pPr>
        <w:spacing w:after="80"/>
      </w:pPr>
      <w:r>
        <w:t xml:space="preserve">Every model was evaluated under a strict </w:t>
      </w:r>
      <w:r>
        <w:rPr>
          <w:b/>
        </w:rPr>
        <w:t>5-Fold Stratified Inter-Subject Cross-Validation</w:t>
      </w:r>
      <w:r>
        <w:t xml:space="preserve"> scheme on </w:t>
      </w:r>
      <w:r>
        <w:rPr>
          <w:b/>
        </w:rPr>
        <w:t>$N = 3,296$ working-age adults (ages 18–65)</w:t>
      </w:r>
      <w:r>
        <w:t xml:space="preserve">, producing complete out-of-fold predictions. Clinical agreement was validated using </w:t>
      </w:r>
      <w:r>
        <w:rPr>
          <w:b/>
        </w:rPr>
        <w:t>Bland-Altman Agreement Analysis</w:t>
      </w:r>
      <w:r>
        <w:t xml:space="preserve"> alongside traditional regression metrics (MAE, RMSE, Pearson $r$, $R^2$).</w:t>
      </w:r>
    </w:p>
    <w:p w14:paraId="0DFC28C9" w14:textId="77777777" w:rsidR="00FE6971" w:rsidRDefault="00000000"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PHASE 1 BENCHMARK ARCHITECTURE</w:t>
      </w:r>
      <w:r>
        <w:rPr>
          <w:rFonts w:ascii="Consolas" w:hAnsi="Consolas"/>
          <w:color w:val="1E1E1E"/>
          <w:sz w:val="18"/>
        </w:rPr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1E1E"/>
          <w:sz w:val="18"/>
        </w:rPr>
        <w:br/>
        <w:t xml:space="preserve"> │                        27 NON-INVASIVE PREDICTIVE FEATURES                             │</w:t>
      </w:r>
      <w:r>
        <w:rPr>
          <w:rFonts w:ascii="Consolas" w:hAnsi="Consolas"/>
          <w:color w:val="1E1E1E"/>
          <w:sz w:val="18"/>
        </w:rPr>
        <w:br/>
        <w:t xml:space="preserve"> │  • 12 Circadian &amp; NPCRA Metrics (Mesor, Amplitude, Acrophase, IS, IV, RA, M10, L5)     │</w:t>
      </w:r>
      <w:r>
        <w:rPr>
          <w:rFonts w:ascii="Consolas" w:hAnsi="Consolas"/>
          <w:color w:val="1E1E1E"/>
          <w:sz w:val="18"/>
        </w:rPr>
        <w:br/>
        <w:t xml:space="preserve"> │  • 2 Sinusoidal Harmonics [sin(2πt/24), cos(2πt/24)]                                   │</w:t>
      </w:r>
      <w:r>
        <w:rPr>
          <w:rFonts w:ascii="Consolas" w:hAnsi="Consolas"/>
          <w:color w:val="1E1E1E"/>
          <w:sz w:val="18"/>
        </w:rPr>
        <w:br/>
        <w:t xml:space="preserve"> │  • 4 Longitudinal Actigraphy Metrics (Daily counts, MIMS, Wake wear, Sleep wear)       │</w:t>
      </w:r>
      <w:r>
        <w:rPr>
          <w:rFonts w:ascii="Consolas" w:hAnsi="Consolas"/>
          <w:color w:val="1E1E1E"/>
          <w:sz w:val="18"/>
        </w:rPr>
        <w:br/>
        <w:t xml:space="preserve"> │  • 5 Autonomic &amp; Anthropometric Vitals (Resting HR, BMI, Waist, Systolic &amp; Diastolic BP)│</w:t>
      </w:r>
      <w:r>
        <w:rPr>
          <w:rFonts w:ascii="Consolas" w:hAnsi="Consolas"/>
          <w:color w:val="1E1E1E"/>
          <w:sz w:val="18"/>
        </w:rPr>
        <w:br/>
        <w:t xml:space="preserve"> │  • 4 Demographic Baselines (Age, Gender, Ethnicity, Poverty Ratio)                     │</w:t>
      </w:r>
      <w:r>
        <w:rPr>
          <w:rFonts w:ascii="Consolas" w:hAnsi="Consolas"/>
          <w:color w:val="1E1E1E"/>
          <w:sz w:val="18"/>
        </w:rPr>
        <w:br/>
        <w:t xml:space="preserve"> 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</w:r>
      <w:r>
        <w:rPr>
          <w:rFonts w:ascii="Consolas" w:hAnsi="Consolas"/>
          <w:color w:val="1E1E1E"/>
          <w:sz w:val="18"/>
        </w:rPr>
        <w:br/>
        <w:t xml:space="preserve">                                            │</w:t>
      </w:r>
      <w:r>
        <w:rPr>
          <w:rFonts w:ascii="Consolas" w:hAnsi="Consolas"/>
          <w:color w:val="1E1E1E"/>
          <w:sz w:val="18"/>
        </w:rPr>
        <w:br/>
        <w:t xml:space="preserve">                                            ▼</w:t>
      </w:r>
      <w:r>
        <w:rPr>
          <w:rFonts w:ascii="Consolas" w:hAnsi="Consolas"/>
          <w:color w:val="1E1E1E"/>
          <w:sz w:val="18"/>
        </w:rPr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1E1E"/>
          <w:sz w:val="18"/>
        </w:rPr>
        <w:br/>
        <w:t xml:space="preserve"> │                 5-FOLD STRATIFIED INTER-SUBJECT CROSS-VALIDATION                       │</w:t>
      </w:r>
      <w:r>
        <w:rPr>
          <w:rFonts w:ascii="Consolas" w:hAnsi="Consolas"/>
          <w:color w:val="1E1E1E"/>
          <w:sz w:val="18"/>
        </w:rPr>
        <w:br/>
        <w:t xml:space="preserve"> │                   (Train on 80% Subjects, Test on Held-Out 20%)                        │</w:t>
      </w:r>
      <w:r>
        <w:rPr>
          <w:rFonts w:ascii="Consolas" w:hAnsi="Consolas"/>
          <w:color w:val="1E1E1E"/>
          <w:sz w:val="18"/>
        </w:rPr>
        <w:br/>
        <w:t xml:space="preserve"> ├──────────────────────────────────────────┬─────────────────────────────────────────────┤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 xml:space="preserve"> │ REGULARIZED LINEAR MODELS                │ ENSEMBLE TREE &amp; NEURAL ARCHITECTURES        │</w:t>
      </w:r>
      <w:r>
        <w:rPr>
          <w:rFonts w:ascii="Consolas" w:hAnsi="Consolas"/>
          <w:color w:val="1E1E1E"/>
          <w:sz w:val="18"/>
        </w:rPr>
        <w:br/>
        <w:t xml:space="preserve"> │ • Ridge Regression (L2 penalty)          │ • Random Forest (150 trees, max_depth=10)   │</w:t>
      </w:r>
      <w:r>
        <w:rPr>
          <w:rFonts w:ascii="Consolas" w:hAnsi="Consolas"/>
          <w:color w:val="1E1E1E"/>
          <w:sz w:val="18"/>
        </w:rPr>
        <w:br/>
        <w:t xml:space="preserve"> │ • Lasso Regression (L1 sparse penalty)   │ • LightGBM (leaf-wise boosting)             │</w:t>
      </w:r>
      <w:r>
        <w:rPr>
          <w:rFonts w:ascii="Consolas" w:hAnsi="Consolas"/>
          <w:color w:val="1E1E1E"/>
          <w:sz w:val="18"/>
        </w:rPr>
        <w:br/>
        <w:t xml:space="preserve"> │                                          │ • XGBoost (depth-wise gradient boosting)    │</w:t>
      </w:r>
      <w:r>
        <w:rPr>
          <w:rFonts w:ascii="Consolas" w:hAnsi="Consolas"/>
          <w:color w:val="1E1E1E"/>
          <w:sz w:val="18"/>
        </w:rPr>
        <w:br/>
        <w:t xml:space="preserve"> │                                          │ • Multi-Layer Perceptron (128-64-32 layers) │</w:t>
      </w:r>
      <w:r>
        <w:rPr>
          <w:rFonts w:ascii="Consolas" w:hAnsi="Consolas"/>
          <w:color w:val="1E1E1E"/>
          <w:sz w:val="18"/>
        </w:rPr>
        <w:br/>
        <w:t xml:space="preserve"> └──────────────────────────────────────────┴─────────────────────────────────────────────┘</w:t>
      </w:r>
      <w:r>
        <w:rPr>
          <w:rFonts w:ascii="Consolas" w:hAnsi="Consolas"/>
          <w:color w:val="1E1E1E"/>
          <w:sz w:val="18"/>
        </w:rPr>
        <w:br/>
        <w:t xml:space="preserve">                                            │</w:t>
      </w:r>
      <w:r>
        <w:rPr>
          <w:rFonts w:ascii="Consolas" w:hAnsi="Consolas"/>
          <w:color w:val="1E1E1E"/>
          <w:sz w:val="18"/>
        </w:rPr>
        <w:br/>
        <w:t xml:space="preserve">                                            ▼</w:t>
      </w:r>
      <w:r>
        <w:rPr>
          <w:rFonts w:ascii="Consolas" w:hAnsi="Consolas"/>
          <w:color w:val="1E1E1E"/>
          <w:sz w:val="18"/>
        </w:rPr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1E1E"/>
          <w:sz w:val="18"/>
        </w:rPr>
        <w:br/>
        <w:t xml:space="preserve"> │                         MULTI-METRIC CLINICAL EVALUATION                               │</w:t>
      </w:r>
      <w:r>
        <w:rPr>
          <w:rFonts w:ascii="Consolas" w:hAnsi="Consolas"/>
          <w:color w:val="1E1E1E"/>
          <w:sz w:val="18"/>
        </w:rPr>
        <w:br/>
        <w:t xml:space="preserve"> │ • MAE &amp; RMSE                             • Pearson Correlation Coefficient (r)         │</w:t>
      </w:r>
      <w:r>
        <w:rPr>
          <w:rFonts w:ascii="Consolas" w:hAnsi="Consolas"/>
          <w:color w:val="1E1E1E"/>
          <w:sz w:val="18"/>
        </w:rPr>
        <w:br/>
        <w:t xml:space="preserve"> │ • Coefficient of Determination (R²)      • Bland-Altman 95% Limits of Agreement (LoA)  │</w:t>
      </w:r>
      <w:r>
        <w:rPr>
          <w:rFonts w:ascii="Consolas" w:hAnsi="Consolas"/>
          <w:color w:val="1E1E1E"/>
          <w:sz w:val="18"/>
        </w:rPr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DB56656" w14:textId="77777777" w:rsidR="00FE6971" w:rsidRDefault="00FE6971">
      <w:pPr>
        <w:spacing w:before="120" w:after="120"/>
      </w:pPr>
    </w:p>
    <w:p w14:paraId="5323B760" w14:textId="77777777" w:rsidR="00FE6971" w:rsidRDefault="00000000">
      <w:pPr>
        <w:pStyle w:val="Heading2"/>
        <w:spacing w:after="80"/>
      </w:pPr>
      <w:r>
        <w:rPr>
          <w:rFonts w:ascii="Calibri" w:hAnsi="Calibri"/>
          <w:color w:val="2E75B6"/>
          <w:sz w:val="28"/>
        </w:rPr>
        <w:t>2. Methodology &amp; Feature Engineering</w:t>
      </w:r>
    </w:p>
    <w:p w14:paraId="1C3EB851" w14:textId="77777777" w:rsidR="00FE6971" w:rsidRDefault="00000000">
      <w:pPr>
        <w:pStyle w:val="Heading3"/>
        <w:spacing w:before="160" w:after="40"/>
      </w:pPr>
      <w:r>
        <w:rPr>
          <w:rFonts w:ascii="Calibri" w:hAnsi="Calibri"/>
          <w:color w:val="44546A"/>
          <w:sz w:val="24"/>
        </w:rPr>
        <w:t>2.1 The Feature Matrix ($27$ Predictive Dimensions)</w:t>
      </w:r>
    </w:p>
    <w:p w14:paraId="2D31B81F" w14:textId="77777777" w:rsidR="00FE6971" w:rsidRDefault="00000000">
      <w:pPr>
        <w:spacing w:after="80"/>
      </w:pPr>
      <w:r>
        <w:t>Our feature space bridges physiological digital health concepts from Google’s Insulin Resistance study and Princeton’s SweetDeep:</w:t>
      </w:r>
    </w:p>
    <w:p w14:paraId="677135AE" w14:textId="77777777" w:rsidR="00FE6971" w:rsidRDefault="00000000">
      <w:pPr>
        <w:spacing w:after="80"/>
      </w:pPr>
      <w:r>
        <w:t xml:space="preserve">1. </w:t>
      </w:r>
      <w:r>
        <w:rPr>
          <w:b/>
        </w:rPr>
        <w:t>Parametric Cosinor Rhythms:</w:t>
      </w:r>
      <w:r>
        <w:t xml:space="preserve"> We fitted a 24-hour cosine function to each participant's 168-hour activity record, extracting the baseline activity volume (`circadian_mesor`), the strength of diurnal oscillation (`circadian_amplitude`), the peak activity hour (`circadian_acrophase`), and the circadian goodness-of-fit (`circadian_r2`).</w:t>
      </w:r>
    </w:p>
    <w:p w14:paraId="7D254BCB" w14:textId="77777777" w:rsidR="00FE6971" w:rsidRDefault="00000000">
      <w:pPr>
        <w:spacing w:after="80"/>
      </w:pPr>
      <w:r>
        <w:t xml:space="preserve">2. </w:t>
      </w:r>
      <w:r>
        <w:rPr>
          <w:b/>
        </w:rPr>
        <w:t>Sinusoidal Circadian Harmonics:</w:t>
      </w:r>
      <w:r>
        <w:t xml:space="preserve"> Because time-of-day is cyclical (hour 23 is adjacent to hour 0), we encoded acrophase into continuous harmonics:</w:t>
      </w:r>
    </w:p>
    <w:p w14:paraId="1AD9A70E" w14:textId="77777777" w:rsidR="00FE6971" w:rsidRDefault="00000000">
      <w:pPr>
        <w:spacing w:after="80"/>
      </w:pPr>
      <w:r>
        <w:t xml:space="preserve">   $$\text{acrophase\_sin} = \sin\left(\frac{2\pi \cdot \phi}{24}\right), \quad \text{acrophase\_cos} = \cos\left(\frac{2\pi \cdot \phi}{24}\right)$$</w:t>
      </w:r>
    </w:p>
    <w:p w14:paraId="2AEA84C0" w14:textId="77777777" w:rsidR="00FE6971" w:rsidRDefault="00000000">
      <w:pPr>
        <w:spacing w:after="80"/>
      </w:pPr>
      <w:r>
        <w:t xml:space="preserve">3. </w:t>
      </w:r>
      <w:r>
        <w:rPr>
          <w:b/>
        </w:rPr>
        <w:t>Non-Parametric Circadian Rhythm Analysis (NPCRA):</w:t>
      </w:r>
    </w:p>
    <w:p w14:paraId="01F38A3A" w14:textId="77777777" w:rsidR="00FE6971" w:rsidRDefault="00000000">
      <w:pPr>
        <w:spacing w:after="80"/>
      </w:pPr>
      <w:r>
        <w:t xml:space="preserve">   * *Interdaily Stability (`IS`):* Day-to-day rhythm consistency ($0$ to $1$).</w:t>
      </w:r>
    </w:p>
    <w:p w14:paraId="770A89B1" w14:textId="77777777" w:rsidR="00FE6971" w:rsidRDefault="00000000">
      <w:pPr>
        <w:spacing w:after="80"/>
      </w:pPr>
      <w:r>
        <w:t xml:space="preserve">   * *Intradaily Variability (`IV`):* Rhythm fragmentation and hour-to-hour transitions ($0$ to $2$).</w:t>
      </w:r>
    </w:p>
    <w:p w14:paraId="6A51351A" w14:textId="77777777" w:rsidR="00FE6971" w:rsidRDefault="00000000">
      <w:pPr>
        <w:spacing w:after="80"/>
      </w:pPr>
      <w:r>
        <w:t xml:space="preserve">   * *Relative Amplitude (`RA`):* Ratio of most active 10 hours (`M10`) to least active 5 hours (`L5`).</w:t>
      </w:r>
    </w:p>
    <w:p w14:paraId="486F0348" w14:textId="77777777" w:rsidR="00FE6971" w:rsidRDefault="00000000">
      <w:pPr>
        <w:spacing w:after="80"/>
      </w:pPr>
      <w:r>
        <w:t xml:space="preserve">4. </w:t>
      </w:r>
      <w:r>
        <w:rPr>
          <w:b/>
        </w:rPr>
        <w:t>Autonomic Tone &amp; Anthropometrics:</w:t>
      </w:r>
      <w:r>
        <w:t xml:space="preserve"> Resting pulse rate (`BPXPLS`), waist circumference (`BMXWAIST`), BMI (`BMXBMI`), and blood pressure readings.</w:t>
      </w:r>
    </w:p>
    <w:p w14:paraId="65DDBD04" w14:textId="77777777" w:rsidR="00FE6971" w:rsidRDefault="00000000">
      <w:pPr>
        <w:spacing w:after="80"/>
      </w:pPr>
      <w:r>
        <w:t xml:space="preserve">5. </w:t>
      </w:r>
      <w:r>
        <w:rPr>
          <w:b/>
        </w:rPr>
        <w:t>Demographic Covariates:</w:t>
      </w:r>
      <w:r>
        <w:t xml:space="preserve"> Age, biological sex, multi-ethnic classification, and family income-to-poverty ratio.</w:t>
      </w:r>
    </w:p>
    <w:p w14:paraId="06A936D2" w14:textId="77777777" w:rsidR="00FE6971" w:rsidRDefault="00000000">
      <w:pPr>
        <w:pStyle w:val="Heading3"/>
        <w:spacing w:before="160" w:after="40"/>
      </w:pPr>
      <w:r>
        <w:rPr>
          <w:rFonts w:ascii="Calibri" w:hAnsi="Calibri"/>
          <w:color w:val="44546A"/>
          <w:sz w:val="24"/>
        </w:rPr>
        <w:t>2.2 Preprocessing &amp; Leakage Prevention</w:t>
      </w:r>
    </w:p>
    <w:p w14:paraId="24A8CD23" w14:textId="77777777" w:rsidR="00FE6971" w:rsidRDefault="00000000">
      <w:pPr>
        <w:pStyle w:val="ListBullet"/>
        <w:spacing w:after="40"/>
      </w:pPr>
      <w:r>
        <w:rPr>
          <w:b/>
        </w:rPr>
        <w:t>Outlier Protection:</w:t>
      </w:r>
      <w:r>
        <w:t xml:space="preserve"> We utilized `RobustScaler`, scaling features based on the median and interquartile range (IQR). This prevents extreme sensor spikes from distorting linear models and gradient descents.</w:t>
      </w:r>
    </w:p>
    <w:p w14:paraId="7AD2900D" w14:textId="77777777" w:rsidR="00FE6971" w:rsidRDefault="00000000">
      <w:pPr>
        <w:pStyle w:val="ListBullet"/>
        <w:spacing w:after="40"/>
      </w:pPr>
      <w:r>
        <w:rPr>
          <w:b/>
        </w:rPr>
        <w:t>Leakage-Free Validation:</w:t>
      </w:r>
      <w:r>
        <w:t xml:space="preserve"> The scaler was fit strictly on each fold's training split and applied to the held-out test split, ensuring zero test information leaked into model parameters.</w:t>
      </w:r>
    </w:p>
    <w:p w14:paraId="7AED48D7" w14:textId="77777777" w:rsidR="00FE6971" w:rsidRDefault="00000000">
      <w:pPr>
        <w:pStyle w:val="ListBullet"/>
        <w:spacing w:after="40"/>
      </w:pPr>
      <w:r>
        <w:rPr>
          <w:b/>
        </w:rPr>
        <w:t>Stratified Splitting:</w:t>
      </w:r>
      <w:r>
        <w:t xml:space="preserve"> Folds were stratified across ADA metabolic risk categories to guarantee identical label proportions across all five validation folds.</w:t>
      </w:r>
    </w:p>
    <w:p w14:paraId="7C1065B3" w14:textId="77777777" w:rsidR="00FE6971" w:rsidRDefault="00FE6971">
      <w:pPr>
        <w:spacing w:before="120" w:after="120"/>
      </w:pPr>
    </w:p>
    <w:p w14:paraId="1C1A7F23" w14:textId="77777777" w:rsidR="00FE6971" w:rsidRDefault="00000000">
      <w:pPr>
        <w:pStyle w:val="Heading2"/>
        <w:spacing w:after="80"/>
      </w:pPr>
      <w:r>
        <w:rPr>
          <w:rFonts w:ascii="Calibri" w:hAnsi="Calibri"/>
          <w:color w:val="2E75B6"/>
          <w:sz w:val="28"/>
        </w:rPr>
        <w:lastRenderedPageBreak/>
        <w:t>3. Engineering Challenges &amp; How We Solved Them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E6971" w14:paraId="2AA11B0E" w14:textId="77777777">
        <w:trPr>
          <w:jc w:val="center"/>
        </w:trPr>
        <w:tc>
          <w:tcPr>
            <w:tcW w:w="3312" w:type="dxa"/>
            <w:shd w:val="clear" w:color="auto" w:fill="1F4E79"/>
          </w:tcPr>
          <w:p w14:paraId="3F8C25FA" w14:textId="77777777" w:rsidR="00FE6971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 xml:space="preserve"> Challenge Faced</w:t>
            </w:r>
          </w:p>
        </w:tc>
        <w:tc>
          <w:tcPr>
            <w:tcW w:w="3312" w:type="dxa"/>
            <w:shd w:val="clear" w:color="auto" w:fill="1F4E79"/>
          </w:tcPr>
          <w:p w14:paraId="7E99AD80" w14:textId="77777777" w:rsidR="00FE6971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Clinical / Technical Impact</w:t>
            </w:r>
          </w:p>
        </w:tc>
        <w:tc>
          <w:tcPr>
            <w:tcW w:w="3312" w:type="dxa"/>
            <w:shd w:val="clear" w:color="auto" w:fill="1F4E79"/>
          </w:tcPr>
          <w:p w14:paraId="68A204DA" w14:textId="77777777" w:rsidR="00FE6971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 xml:space="preserve">Engineering Solution Implemented </w:t>
            </w:r>
          </w:p>
        </w:tc>
      </w:tr>
      <w:tr w:rsidR="00FE6971" w14:paraId="70D03B11" w14:textId="77777777">
        <w:trPr>
          <w:jc w:val="center"/>
        </w:trPr>
        <w:tc>
          <w:tcPr>
            <w:tcW w:w="3312" w:type="dxa"/>
            <w:shd w:val="clear" w:color="auto" w:fill="F2F5F8"/>
          </w:tcPr>
          <w:p w14:paraId="0197A53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**Heavy-Tailed Targets (HOMA-IR)**</w:t>
            </w:r>
          </w:p>
        </w:tc>
        <w:tc>
          <w:tcPr>
            <w:tcW w:w="3312" w:type="dxa"/>
            <w:shd w:val="clear" w:color="auto" w:fill="F2F5F8"/>
          </w:tcPr>
          <w:p w14:paraId="31AA844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HOMA-IR has a natural right-skew (ranging from 0.03 to 55.21 with a long tail of severe insulin resistance). Standard MSE loss can over-penalize high-IR outliers.</w:t>
            </w:r>
          </w:p>
        </w:tc>
        <w:tc>
          <w:tcPr>
            <w:tcW w:w="3312" w:type="dxa"/>
            <w:shd w:val="clear" w:color="auto" w:fill="F2F5F8"/>
          </w:tcPr>
          <w:p w14:paraId="75A25CD5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We evaluated models using both L1 loss (MAE) and L2 loss (RMSE), applied robust L2 regularization (Ridge $\alpha = 10.0$), and validated clinical reliability using Bland-Altman Limits of Agreement rather than relying solely on $R^2$. </w:t>
            </w:r>
          </w:p>
        </w:tc>
      </w:tr>
      <w:tr w:rsidR="00FE6971" w14:paraId="1BF46882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7F77021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**Sensor Non-Wear &amp; Artifacts**</w:t>
            </w:r>
          </w:p>
        </w:tc>
        <w:tc>
          <w:tcPr>
            <w:tcW w:w="3312" w:type="dxa"/>
            <w:shd w:val="clear" w:color="auto" w:fill="FFFFFF"/>
          </w:tcPr>
          <w:p w14:paraId="13993E5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Participants occasionally remove smartwatches during showers or sleep.</w:t>
            </w:r>
          </w:p>
        </w:tc>
        <w:tc>
          <w:tcPr>
            <w:tcW w:w="3312" w:type="dxa"/>
            <w:shd w:val="clear" w:color="auto" w:fill="FFFFFF"/>
          </w:tcPr>
          <w:p w14:paraId="78F9A32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Rather than discarding entire days, we used non-parametric NPCRA metrics (M10, L5, RA) that calculate circular rolling averages across the weekly record, naturally absorbing missing minutes. </w:t>
            </w:r>
          </w:p>
        </w:tc>
      </w:tr>
      <w:tr w:rsidR="00FE6971" w14:paraId="66C38980" w14:textId="77777777">
        <w:trPr>
          <w:jc w:val="center"/>
        </w:trPr>
        <w:tc>
          <w:tcPr>
            <w:tcW w:w="3312" w:type="dxa"/>
            <w:shd w:val="clear" w:color="auto" w:fill="F2F5F8"/>
          </w:tcPr>
          <w:p w14:paraId="0A5A013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**Inter-Subject Baseline Drift**</w:t>
            </w:r>
          </w:p>
        </w:tc>
        <w:tc>
          <w:tcPr>
            <w:tcW w:w="3312" w:type="dxa"/>
            <w:shd w:val="clear" w:color="auto" w:fill="F2F5F8"/>
          </w:tcPr>
          <w:p w14:paraId="39EC96F5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Different individuals have fundamentally different baseline activity levels due to occupation (e.g. desk worker vs. construction laborer).</w:t>
            </w:r>
          </w:p>
        </w:tc>
        <w:tc>
          <w:tcPr>
            <w:tcW w:w="3312" w:type="dxa"/>
            <w:shd w:val="clear" w:color="auto" w:fill="F2F5F8"/>
          </w:tcPr>
          <w:p w14:paraId="44680CE5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We decoupled absolute activity magnitude from rhythmicity by pairing `circadian_mesor` with normalized ratio metrics (`relative_amplitude_RA` and `circadian_r2`). </w:t>
            </w:r>
          </w:p>
        </w:tc>
      </w:tr>
    </w:tbl>
    <w:p w14:paraId="767EEB4F" w14:textId="77777777" w:rsidR="00FE6971" w:rsidRDefault="00FE6971">
      <w:pPr>
        <w:spacing w:after="80"/>
      </w:pPr>
    </w:p>
    <w:p w14:paraId="7E16208B" w14:textId="77777777" w:rsidR="00FE6971" w:rsidRDefault="00FE6971">
      <w:pPr>
        <w:spacing w:before="120" w:after="120"/>
      </w:pPr>
    </w:p>
    <w:p w14:paraId="31EB7599" w14:textId="77777777" w:rsidR="00FE6971" w:rsidRDefault="00000000">
      <w:pPr>
        <w:pStyle w:val="Heading2"/>
        <w:spacing w:after="80"/>
      </w:pPr>
      <w:r>
        <w:rPr>
          <w:rFonts w:ascii="Calibri" w:hAnsi="Calibri"/>
          <w:color w:val="2E75B6"/>
          <w:sz w:val="28"/>
        </w:rPr>
        <w:t>4. Phase 1 Benchmark Results</w:t>
      </w:r>
    </w:p>
    <w:p w14:paraId="310B4739" w14:textId="77777777" w:rsidR="00FE6971" w:rsidRDefault="00000000">
      <w:pPr>
        <w:spacing w:after="80"/>
      </w:pPr>
      <w:r>
        <w:t xml:space="preserve">Evaluated across </w:t>
      </w:r>
      <w:r>
        <w:rPr>
          <w:b/>
        </w:rPr>
        <w:t>$N = 3,296$ adults</w:t>
      </w:r>
      <w:r>
        <w:t xml:space="preserve"> under 5-Fold Stratified Cross-Validation on held-out test splits:</w:t>
      </w:r>
    </w:p>
    <w:p w14:paraId="18B82AFA" w14:textId="77777777" w:rsidR="00FE6971" w:rsidRDefault="00000000">
      <w:pPr>
        <w:pStyle w:val="Heading3"/>
        <w:spacing w:before="160" w:after="40"/>
      </w:pPr>
      <w:r>
        <w:rPr>
          <w:rFonts w:ascii="Calibri" w:hAnsi="Calibri"/>
          <w:color w:val="44546A"/>
          <w:sz w:val="24"/>
        </w:rPr>
        <w:t>4.1 Master Benchmark Comparison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4"/>
        <w:gridCol w:w="1255"/>
        <w:gridCol w:w="1104"/>
        <w:gridCol w:w="1124"/>
        <w:gridCol w:w="1104"/>
        <w:gridCol w:w="1104"/>
        <w:gridCol w:w="1123"/>
        <w:gridCol w:w="1104"/>
        <w:gridCol w:w="1104"/>
      </w:tblGrid>
      <w:tr w:rsidR="00FE6971" w14:paraId="4D3479E2" w14:textId="77777777">
        <w:trPr>
          <w:jc w:val="center"/>
        </w:trPr>
        <w:tc>
          <w:tcPr>
            <w:tcW w:w="1104" w:type="dxa"/>
            <w:shd w:val="clear" w:color="auto" w:fill="1F4E79"/>
          </w:tcPr>
          <w:p w14:paraId="6C55876B" w14:textId="77777777" w:rsidR="00FE6971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 xml:space="preserve"> Target Biomarker</w:t>
            </w:r>
          </w:p>
        </w:tc>
        <w:tc>
          <w:tcPr>
            <w:tcW w:w="1104" w:type="dxa"/>
            <w:shd w:val="clear" w:color="auto" w:fill="1F4E79"/>
          </w:tcPr>
          <w:p w14:paraId="28390278" w14:textId="77777777" w:rsidR="00FE6971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Model Architecture</w:t>
            </w:r>
          </w:p>
        </w:tc>
        <w:tc>
          <w:tcPr>
            <w:tcW w:w="1104" w:type="dxa"/>
            <w:shd w:val="clear" w:color="auto" w:fill="1F4E79"/>
          </w:tcPr>
          <w:p w14:paraId="2E206CF8" w14:textId="77777777" w:rsidR="00FE6971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MAE</w:t>
            </w:r>
          </w:p>
        </w:tc>
        <w:tc>
          <w:tcPr>
            <w:tcW w:w="1104" w:type="dxa"/>
            <w:shd w:val="clear" w:color="auto" w:fill="1F4E79"/>
          </w:tcPr>
          <w:p w14:paraId="2D01227D" w14:textId="77777777" w:rsidR="00FE6971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RMSE</w:t>
            </w:r>
          </w:p>
        </w:tc>
        <w:tc>
          <w:tcPr>
            <w:tcW w:w="1104" w:type="dxa"/>
            <w:shd w:val="clear" w:color="auto" w:fill="1F4E79"/>
          </w:tcPr>
          <w:p w14:paraId="1F94D853" w14:textId="77777777" w:rsidR="00FE6971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Pearson $r$</w:t>
            </w:r>
          </w:p>
        </w:tc>
        <w:tc>
          <w:tcPr>
            <w:tcW w:w="1104" w:type="dxa"/>
            <w:shd w:val="clear" w:color="auto" w:fill="1F4E79"/>
          </w:tcPr>
          <w:p w14:paraId="2C3BA37F" w14:textId="77777777" w:rsidR="00FE6971" w:rsidRPr="005B06AF" w:rsidRDefault="00000000">
            <w:pPr>
              <w:spacing w:before="60" w:after="60"/>
              <w:rPr>
                <w:highlight w:val="yellow"/>
              </w:rPr>
            </w:pPr>
            <w:r w:rsidRPr="005B06AF">
              <w:rPr>
                <w:b/>
                <w:color w:val="FFFFFF"/>
                <w:sz w:val="19"/>
                <w:highlight w:val="yellow"/>
              </w:rPr>
              <w:t>$R^2$ Score</w:t>
            </w:r>
          </w:p>
        </w:tc>
        <w:tc>
          <w:tcPr>
            <w:tcW w:w="1104" w:type="dxa"/>
            <w:shd w:val="clear" w:color="auto" w:fill="1F4E79"/>
          </w:tcPr>
          <w:p w14:paraId="06FC1396" w14:textId="77777777" w:rsidR="00FE6971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BA Mean Bias</w:t>
            </w:r>
          </w:p>
        </w:tc>
        <w:tc>
          <w:tcPr>
            <w:tcW w:w="1104" w:type="dxa"/>
            <w:shd w:val="clear" w:color="auto" w:fill="1F4E79"/>
          </w:tcPr>
          <w:p w14:paraId="0F8809CF" w14:textId="77777777" w:rsidR="00FE6971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95% Limits of Agreement (LoA)</w:t>
            </w:r>
          </w:p>
        </w:tc>
        <w:tc>
          <w:tcPr>
            <w:tcW w:w="1104" w:type="dxa"/>
            <w:shd w:val="clear" w:color="auto" w:fill="1F4E79"/>
          </w:tcPr>
          <w:p w14:paraId="70ECF308" w14:textId="77777777" w:rsidR="00FE6971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 xml:space="preserve">% Within LoA </w:t>
            </w:r>
          </w:p>
        </w:tc>
      </w:tr>
      <w:tr w:rsidR="00FE6971" w14:paraId="7C374325" w14:textId="77777777">
        <w:trPr>
          <w:jc w:val="center"/>
        </w:trPr>
        <w:tc>
          <w:tcPr>
            <w:tcW w:w="1104" w:type="dxa"/>
            <w:shd w:val="clear" w:color="auto" w:fill="F2F5F8"/>
          </w:tcPr>
          <w:p w14:paraId="7134B63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**HOMA-IR** *(Score)*</w:t>
            </w:r>
          </w:p>
        </w:tc>
        <w:tc>
          <w:tcPr>
            <w:tcW w:w="1104" w:type="dxa"/>
            <w:shd w:val="clear" w:color="auto" w:fill="F2F5F8"/>
          </w:tcPr>
          <w:p w14:paraId="0E3FDB31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**Ridge Regression**</w:t>
            </w:r>
          </w:p>
        </w:tc>
        <w:tc>
          <w:tcPr>
            <w:tcW w:w="1104" w:type="dxa"/>
            <w:shd w:val="clear" w:color="auto" w:fill="F2F5F8"/>
          </w:tcPr>
          <w:p w14:paraId="42C88DB0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**1.669**</w:t>
            </w:r>
          </w:p>
        </w:tc>
        <w:tc>
          <w:tcPr>
            <w:tcW w:w="1104" w:type="dxa"/>
            <w:shd w:val="clear" w:color="auto" w:fill="F2F5F8"/>
          </w:tcPr>
          <w:p w14:paraId="22F07D3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**2.998**</w:t>
            </w:r>
          </w:p>
        </w:tc>
        <w:tc>
          <w:tcPr>
            <w:tcW w:w="1104" w:type="dxa"/>
            <w:shd w:val="clear" w:color="auto" w:fill="F2F5F8"/>
          </w:tcPr>
          <w:p w14:paraId="7EFF9BFC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**0.501**</w:t>
            </w:r>
          </w:p>
        </w:tc>
        <w:tc>
          <w:tcPr>
            <w:tcW w:w="1104" w:type="dxa"/>
            <w:shd w:val="clear" w:color="auto" w:fill="F2F5F8"/>
          </w:tcPr>
          <w:p w14:paraId="2F1014EC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**0.251**</w:t>
            </w:r>
          </w:p>
        </w:tc>
        <w:tc>
          <w:tcPr>
            <w:tcW w:w="1104" w:type="dxa"/>
            <w:shd w:val="clear" w:color="auto" w:fill="F2F5F8"/>
          </w:tcPr>
          <w:p w14:paraId="16FF7DA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**-0.001**</w:t>
            </w:r>
          </w:p>
        </w:tc>
        <w:tc>
          <w:tcPr>
            <w:tcW w:w="1104" w:type="dxa"/>
            <w:shd w:val="clear" w:color="auto" w:fill="F2F5F8"/>
          </w:tcPr>
          <w:p w14:paraId="62850474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**[-5.88, +5.87]**</w:t>
            </w:r>
          </w:p>
        </w:tc>
        <w:tc>
          <w:tcPr>
            <w:tcW w:w="1104" w:type="dxa"/>
            <w:shd w:val="clear" w:color="auto" w:fill="F2F5F8"/>
          </w:tcPr>
          <w:p w14:paraId="2408AF3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**96.9%** ⭐ </w:t>
            </w:r>
          </w:p>
        </w:tc>
      </w:tr>
      <w:tr w:rsidR="00FE6971" w14:paraId="42B95574" w14:textId="77777777">
        <w:trPr>
          <w:jc w:val="center"/>
        </w:trPr>
        <w:tc>
          <w:tcPr>
            <w:tcW w:w="1104" w:type="dxa"/>
            <w:shd w:val="clear" w:color="auto" w:fill="FFFFFF"/>
          </w:tcPr>
          <w:p w14:paraId="6F17E50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HOMA-IR</w:t>
            </w:r>
          </w:p>
        </w:tc>
        <w:tc>
          <w:tcPr>
            <w:tcW w:w="1104" w:type="dxa"/>
            <w:shd w:val="clear" w:color="auto" w:fill="FFFFFF"/>
          </w:tcPr>
          <w:p w14:paraId="02BAA18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Lasso Regression</w:t>
            </w:r>
          </w:p>
        </w:tc>
        <w:tc>
          <w:tcPr>
            <w:tcW w:w="1104" w:type="dxa"/>
            <w:shd w:val="clear" w:color="auto" w:fill="FFFFFF"/>
          </w:tcPr>
          <w:p w14:paraId="4CD46DDF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1.655</w:t>
            </w:r>
          </w:p>
        </w:tc>
        <w:tc>
          <w:tcPr>
            <w:tcW w:w="1104" w:type="dxa"/>
            <w:shd w:val="clear" w:color="auto" w:fill="FFFFFF"/>
          </w:tcPr>
          <w:p w14:paraId="0C87E114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3.002</w:t>
            </w:r>
          </w:p>
        </w:tc>
        <w:tc>
          <w:tcPr>
            <w:tcW w:w="1104" w:type="dxa"/>
            <w:shd w:val="clear" w:color="auto" w:fill="FFFFFF"/>
          </w:tcPr>
          <w:p w14:paraId="53D2774F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0.500</w:t>
            </w:r>
          </w:p>
        </w:tc>
        <w:tc>
          <w:tcPr>
            <w:tcW w:w="1104" w:type="dxa"/>
            <w:shd w:val="clear" w:color="auto" w:fill="FFFFFF"/>
          </w:tcPr>
          <w:p w14:paraId="4C37F0A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0.249</w:t>
            </w:r>
          </w:p>
        </w:tc>
        <w:tc>
          <w:tcPr>
            <w:tcW w:w="1104" w:type="dxa"/>
            <w:shd w:val="clear" w:color="auto" w:fill="FFFFFF"/>
          </w:tcPr>
          <w:p w14:paraId="1917560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-0.003</w:t>
            </w:r>
          </w:p>
        </w:tc>
        <w:tc>
          <w:tcPr>
            <w:tcW w:w="1104" w:type="dxa"/>
            <w:shd w:val="clear" w:color="auto" w:fill="FFFFFF"/>
          </w:tcPr>
          <w:p w14:paraId="2F4B7EC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[-5.89, +5.88]</w:t>
            </w:r>
          </w:p>
        </w:tc>
        <w:tc>
          <w:tcPr>
            <w:tcW w:w="1104" w:type="dxa"/>
            <w:shd w:val="clear" w:color="auto" w:fill="FFFFFF"/>
          </w:tcPr>
          <w:p w14:paraId="7E4BF315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96.8% </w:t>
            </w:r>
          </w:p>
        </w:tc>
      </w:tr>
      <w:tr w:rsidR="00FE6971" w14:paraId="7BBE6FC1" w14:textId="77777777">
        <w:trPr>
          <w:jc w:val="center"/>
        </w:trPr>
        <w:tc>
          <w:tcPr>
            <w:tcW w:w="1104" w:type="dxa"/>
            <w:shd w:val="clear" w:color="auto" w:fill="F2F5F8"/>
          </w:tcPr>
          <w:p w14:paraId="5B10217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HOMA-IR</w:t>
            </w:r>
          </w:p>
        </w:tc>
        <w:tc>
          <w:tcPr>
            <w:tcW w:w="1104" w:type="dxa"/>
            <w:shd w:val="clear" w:color="auto" w:fill="F2F5F8"/>
          </w:tcPr>
          <w:p w14:paraId="14E1131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Neural Network (MLP)</w:t>
            </w:r>
          </w:p>
        </w:tc>
        <w:tc>
          <w:tcPr>
            <w:tcW w:w="1104" w:type="dxa"/>
            <w:shd w:val="clear" w:color="auto" w:fill="F2F5F8"/>
          </w:tcPr>
          <w:p w14:paraId="19A66E64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1.642</w:t>
            </w:r>
          </w:p>
        </w:tc>
        <w:tc>
          <w:tcPr>
            <w:tcW w:w="1104" w:type="dxa"/>
            <w:shd w:val="clear" w:color="auto" w:fill="F2F5F8"/>
          </w:tcPr>
          <w:p w14:paraId="20E5B0AC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3.010</w:t>
            </w:r>
          </w:p>
        </w:tc>
        <w:tc>
          <w:tcPr>
            <w:tcW w:w="1104" w:type="dxa"/>
            <w:shd w:val="clear" w:color="auto" w:fill="F2F5F8"/>
          </w:tcPr>
          <w:p w14:paraId="26B76EC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0.499</w:t>
            </w:r>
          </w:p>
        </w:tc>
        <w:tc>
          <w:tcPr>
            <w:tcW w:w="1104" w:type="dxa"/>
            <w:shd w:val="clear" w:color="auto" w:fill="F2F5F8"/>
          </w:tcPr>
          <w:p w14:paraId="6620CBC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0.245</w:t>
            </w:r>
          </w:p>
        </w:tc>
        <w:tc>
          <w:tcPr>
            <w:tcW w:w="1104" w:type="dxa"/>
            <w:shd w:val="clear" w:color="auto" w:fill="F2F5F8"/>
          </w:tcPr>
          <w:p w14:paraId="1335D607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+0.024</w:t>
            </w:r>
          </w:p>
        </w:tc>
        <w:tc>
          <w:tcPr>
            <w:tcW w:w="1104" w:type="dxa"/>
            <w:shd w:val="clear" w:color="auto" w:fill="F2F5F8"/>
          </w:tcPr>
          <w:p w14:paraId="13608A6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[-5.88, +5.92]</w:t>
            </w:r>
          </w:p>
        </w:tc>
        <w:tc>
          <w:tcPr>
            <w:tcW w:w="1104" w:type="dxa"/>
            <w:shd w:val="clear" w:color="auto" w:fill="F2F5F8"/>
          </w:tcPr>
          <w:p w14:paraId="79A9A225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96.9% </w:t>
            </w:r>
          </w:p>
        </w:tc>
      </w:tr>
      <w:tr w:rsidR="00FE6971" w14:paraId="34A3594B" w14:textId="77777777">
        <w:trPr>
          <w:jc w:val="center"/>
        </w:trPr>
        <w:tc>
          <w:tcPr>
            <w:tcW w:w="1104" w:type="dxa"/>
            <w:shd w:val="clear" w:color="auto" w:fill="FFFFFF"/>
          </w:tcPr>
          <w:p w14:paraId="53D24B4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HOMA-IR</w:t>
            </w:r>
          </w:p>
        </w:tc>
        <w:tc>
          <w:tcPr>
            <w:tcW w:w="1104" w:type="dxa"/>
            <w:shd w:val="clear" w:color="auto" w:fill="FFFFFF"/>
          </w:tcPr>
          <w:p w14:paraId="459FC37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LightGBM</w:t>
            </w:r>
          </w:p>
        </w:tc>
        <w:tc>
          <w:tcPr>
            <w:tcW w:w="1104" w:type="dxa"/>
            <w:shd w:val="clear" w:color="auto" w:fill="FFFFFF"/>
          </w:tcPr>
          <w:p w14:paraId="1D1B1ED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1.679</w:t>
            </w:r>
          </w:p>
        </w:tc>
        <w:tc>
          <w:tcPr>
            <w:tcW w:w="1104" w:type="dxa"/>
            <w:shd w:val="clear" w:color="auto" w:fill="FFFFFF"/>
          </w:tcPr>
          <w:p w14:paraId="347B4A84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3.047</w:t>
            </w:r>
          </w:p>
        </w:tc>
        <w:tc>
          <w:tcPr>
            <w:tcW w:w="1104" w:type="dxa"/>
            <w:shd w:val="clear" w:color="auto" w:fill="FFFFFF"/>
          </w:tcPr>
          <w:p w14:paraId="78E68211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0.482</w:t>
            </w:r>
          </w:p>
        </w:tc>
        <w:tc>
          <w:tcPr>
            <w:tcW w:w="1104" w:type="dxa"/>
            <w:shd w:val="clear" w:color="auto" w:fill="FFFFFF"/>
          </w:tcPr>
          <w:p w14:paraId="3E18B765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0.226</w:t>
            </w:r>
          </w:p>
        </w:tc>
        <w:tc>
          <w:tcPr>
            <w:tcW w:w="1104" w:type="dxa"/>
            <w:shd w:val="clear" w:color="auto" w:fill="FFFFFF"/>
          </w:tcPr>
          <w:p w14:paraId="554062D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+0.005</w:t>
            </w:r>
          </w:p>
        </w:tc>
        <w:tc>
          <w:tcPr>
            <w:tcW w:w="1104" w:type="dxa"/>
            <w:shd w:val="clear" w:color="auto" w:fill="FFFFFF"/>
          </w:tcPr>
          <w:p w14:paraId="221D11C6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[-5.97, +5.98]</w:t>
            </w:r>
          </w:p>
        </w:tc>
        <w:tc>
          <w:tcPr>
            <w:tcW w:w="1104" w:type="dxa"/>
            <w:shd w:val="clear" w:color="auto" w:fill="FFFFFF"/>
          </w:tcPr>
          <w:p w14:paraId="503FA4D5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96.4% </w:t>
            </w:r>
          </w:p>
        </w:tc>
      </w:tr>
      <w:tr w:rsidR="00FE6971" w14:paraId="3FE5CC0B" w14:textId="77777777">
        <w:trPr>
          <w:jc w:val="center"/>
        </w:trPr>
        <w:tc>
          <w:tcPr>
            <w:tcW w:w="1104" w:type="dxa"/>
            <w:shd w:val="clear" w:color="auto" w:fill="F2F5F8"/>
          </w:tcPr>
          <w:p w14:paraId="79A56AE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HOMA-IR</w:t>
            </w:r>
          </w:p>
        </w:tc>
        <w:tc>
          <w:tcPr>
            <w:tcW w:w="1104" w:type="dxa"/>
            <w:shd w:val="clear" w:color="auto" w:fill="F2F5F8"/>
          </w:tcPr>
          <w:p w14:paraId="5A025BB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XGBoost</w:t>
            </w:r>
          </w:p>
        </w:tc>
        <w:tc>
          <w:tcPr>
            <w:tcW w:w="1104" w:type="dxa"/>
            <w:shd w:val="clear" w:color="auto" w:fill="F2F5F8"/>
          </w:tcPr>
          <w:p w14:paraId="27860A0C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1.690</w:t>
            </w:r>
          </w:p>
        </w:tc>
        <w:tc>
          <w:tcPr>
            <w:tcW w:w="1104" w:type="dxa"/>
            <w:shd w:val="clear" w:color="auto" w:fill="F2F5F8"/>
          </w:tcPr>
          <w:p w14:paraId="5C3C4487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3.053</w:t>
            </w:r>
          </w:p>
        </w:tc>
        <w:tc>
          <w:tcPr>
            <w:tcW w:w="1104" w:type="dxa"/>
            <w:shd w:val="clear" w:color="auto" w:fill="F2F5F8"/>
          </w:tcPr>
          <w:p w14:paraId="0F1DC48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0.480</w:t>
            </w:r>
          </w:p>
        </w:tc>
        <w:tc>
          <w:tcPr>
            <w:tcW w:w="1104" w:type="dxa"/>
            <w:shd w:val="clear" w:color="auto" w:fill="F2F5F8"/>
          </w:tcPr>
          <w:p w14:paraId="04099F47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0.223</w:t>
            </w:r>
          </w:p>
        </w:tc>
        <w:tc>
          <w:tcPr>
            <w:tcW w:w="1104" w:type="dxa"/>
            <w:shd w:val="clear" w:color="auto" w:fill="F2F5F8"/>
          </w:tcPr>
          <w:p w14:paraId="003022A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+0.004</w:t>
            </w:r>
          </w:p>
        </w:tc>
        <w:tc>
          <w:tcPr>
            <w:tcW w:w="1104" w:type="dxa"/>
            <w:shd w:val="clear" w:color="auto" w:fill="F2F5F8"/>
          </w:tcPr>
          <w:p w14:paraId="51AE8C41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[-5.98, +5.99]</w:t>
            </w:r>
          </w:p>
        </w:tc>
        <w:tc>
          <w:tcPr>
            <w:tcW w:w="1104" w:type="dxa"/>
            <w:shd w:val="clear" w:color="auto" w:fill="F2F5F8"/>
          </w:tcPr>
          <w:p w14:paraId="304771C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96.5% </w:t>
            </w:r>
          </w:p>
        </w:tc>
      </w:tr>
      <w:tr w:rsidR="00FE6971" w14:paraId="50687D29" w14:textId="77777777">
        <w:trPr>
          <w:jc w:val="center"/>
        </w:trPr>
        <w:tc>
          <w:tcPr>
            <w:tcW w:w="1104" w:type="dxa"/>
            <w:shd w:val="clear" w:color="auto" w:fill="FFFFFF"/>
          </w:tcPr>
          <w:p w14:paraId="6DD1A486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lastRenderedPageBreak/>
              <w:t xml:space="preserve"> HOMA-IR</w:t>
            </w:r>
          </w:p>
        </w:tc>
        <w:tc>
          <w:tcPr>
            <w:tcW w:w="1104" w:type="dxa"/>
            <w:shd w:val="clear" w:color="auto" w:fill="FFFFFF"/>
          </w:tcPr>
          <w:p w14:paraId="1EA1A36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Random Forest</w:t>
            </w:r>
          </w:p>
        </w:tc>
        <w:tc>
          <w:tcPr>
            <w:tcW w:w="1104" w:type="dxa"/>
            <w:shd w:val="clear" w:color="auto" w:fill="FFFFFF"/>
          </w:tcPr>
          <w:p w14:paraId="3A06E15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1.732</w:t>
            </w:r>
          </w:p>
        </w:tc>
        <w:tc>
          <w:tcPr>
            <w:tcW w:w="1104" w:type="dxa"/>
            <w:shd w:val="clear" w:color="auto" w:fill="FFFFFF"/>
          </w:tcPr>
          <w:p w14:paraId="35008E0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3.085</w:t>
            </w:r>
          </w:p>
        </w:tc>
        <w:tc>
          <w:tcPr>
            <w:tcW w:w="1104" w:type="dxa"/>
            <w:shd w:val="clear" w:color="auto" w:fill="FFFFFF"/>
          </w:tcPr>
          <w:p w14:paraId="71560CF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0.467</w:t>
            </w:r>
          </w:p>
        </w:tc>
        <w:tc>
          <w:tcPr>
            <w:tcW w:w="1104" w:type="dxa"/>
            <w:shd w:val="clear" w:color="auto" w:fill="FFFFFF"/>
          </w:tcPr>
          <w:p w14:paraId="0D3D53A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0.207</w:t>
            </w:r>
          </w:p>
        </w:tc>
        <w:tc>
          <w:tcPr>
            <w:tcW w:w="1104" w:type="dxa"/>
            <w:shd w:val="clear" w:color="auto" w:fill="FFFFFF"/>
          </w:tcPr>
          <w:p w14:paraId="04BFE0C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+0.010</w:t>
            </w:r>
          </w:p>
        </w:tc>
        <w:tc>
          <w:tcPr>
            <w:tcW w:w="1104" w:type="dxa"/>
            <w:shd w:val="clear" w:color="auto" w:fill="FFFFFF"/>
          </w:tcPr>
          <w:p w14:paraId="501FE0D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[-6.04, +6.06]</w:t>
            </w:r>
          </w:p>
        </w:tc>
        <w:tc>
          <w:tcPr>
            <w:tcW w:w="1104" w:type="dxa"/>
            <w:shd w:val="clear" w:color="auto" w:fill="FFFFFF"/>
          </w:tcPr>
          <w:p w14:paraId="7201F6D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96.5% </w:t>
            </w:r>
          </w:p>
        </w:tc>
      </w:tr>
      <w:tr w:rsidR="00FE6971" w14:paraId="3247C2A5" w14:textId="77777777">
        <w:trPr>
          <w:jc w:val="center"/>
        </w:trPr>
        <w:tc>
          <w:tcPr>
            <w:tcW w:w="1104" w:type="dxa"/>
            <w:shd w:val="clear" w:color="auto" w:fill="F2F5F8"/>
          </w:tcPr>
          <w:p w14:paraId="539677E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**HbA1c** *(%)*</w:t>
            </w:r>
          </w:p>
        </w:tc>
        <w:tc>
          <w:tcPr>
            <w:tcW w:w="1104" w:type="dxa"/>
            <w:shd w:val="clear" w:color="auto" w:fill="F2F5F8"/>
          </w:tcPr>
          <w:p w14:paraId="4E834D0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**XGBoost**</w:t>
            </w:r>
          </w:p>
        </w:tc>
        <w:tc>
          <w:tcPr>
            <w:tcW w:w="1104" w:type="dxa"/>
            <w:shd w:val="clear" w:color="auto" w:fill="F2F5F8"/>
          </w:tcPr>
          <w:p w14:paraId="1E2F23D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**0.348**</w:t>
            </w:r>
          </w:p>
        </w:tc>
        <w:tc>
          <w:tcPr>
            <w:tcW w:w="1104" w:type="dxa"/>
            <w:shd w:val="clear" w:color="auto" w:fill="F2F5F8"/>
          </w:tcPr>
          <w:p w14:paraId="117FCE1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**0.612**</w:t>
            </w:r>
          </w:p>
        </w:tc>
        <w:tc>
          <w:tcPr>
            <w:tcW w:w="1104" w:type="dxa"/>
            <w:shd w:val="clear" w:color="auto" w:fill="F2F5F8"/>
          </w:tcPr>
          <w:p w14:paraId="6F115AE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**0.360**</w:t>
            </w:r>
          </w:p>
        </w:tc>
        <w:tc>
          <w:tcPr>
            <w:tcW w:w="1104" w:type="dxa"/>
            <w:shd w:val="clear" w:color="auto" w:fill="F2F5F8"/>
          </w:tcPr>
          <w:p w14:paraId="07D881D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**0.118**</w:t>
            </w:r>
          </w:p>
        </w:tc>
        <w:tc>
          <w:tcPr>
            <w:tcW w:w="1104" w:type="dxa"/>
            <w:shd w:val="clear" w:color="auto" w:fill="F2F5F8"/>
          </w:tcPr>
          <w:p w14:paraId="17FA0B1F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**+0.001**</w:t>
            </w:r>
          </w:p>
        </w:tc>
        <w:tc>
          <w:tcPr>
            <w:tcW w:w="1104" w:type="dxa"/>
            <w:shd w:val="clear" w:color="auto" w:fill="F2F5F8"/>
          </w:tcPr>
          <w:p w14:paraId="6E895AF5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**[-1.20, +1.20]**</w:t>
            </w:r>
          </w:p>
        </w:tc>
        <w:tc>
          <w:tcPr>
            <w:tcW w:w="1104" w:type="dxa"/>
            <w:shd w:val="clear" w:color="auto" w:fill="F2F5F8"/>
          </w:tcPr>
          <w:p w14:paraId="267359C6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**97.4%** </w:t>
            </w:r>
          </w:p>
        </w:tc>
      </w:tr>
      <w:tr w:rsidR="00FE6971" w14:paraId="1A2710AA" w14:textId="77777777">
        <w:trPr>
          <w:jc w:val="center"/>
        </w:trPr>
        <w:tc>
          <w:tcPr>
            <w:tcW w:w="1104" w:type="dxa"/>
            <w:shd w:val="clear" w:color="auto" w:fill="FFFFFF"/>
          </w:tcPr>
          <w:p w14:paraId="0602F2E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HbA1c</w:t>
            </w:r>
          </w:p>
        </w:tc>
        <w:tc>
          <w:tcPr>
            <w:tcW w:w="1104" w:type="dxa"/>
            <w:shd w:val="clear" w:color="auto" w:fill="FFFFFF"/>
          </w:tcPr>
          <w:p w14:paraId="3A2C91C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**Ridge Regression**</w:t>
            </w:r>
          </w:p>
        </w:tc>
        <w:tc>
          <w:tcPr>
            <w:tcW w:w="1104" w:type="dxa"/>
            <w:shd w:val="clear" w:color="auto" w:fill="FFFFFF"/>
          </w:tcPr>
          <w:p w14:paraId="5AE08828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**0.338**</w:t>
            </w:r>
          </w:p>
        </w:tc>
        <w:tc>
          <w:tcPr>
            <w:tcW w:w="1104" w:type="dxa"/>
            <w:shd w:val="clear" w:color="auto" w:fill="FFFFFF"/>
          </w:tcPr>
          <w:p w14:paraId="72D447B6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**0.610**</w:t>
            </w:r>
          </w:p>
        </w:tc>
        <w:tc>
          <w:tcPr>
            <w:tcW w:w="1104" w:type="dxa"/>
            <w:shd w:val="clear" w:color="auto" w:fill="FFFFFF"/>
          </w:tcPr>
          <w:p w14:paraId="54D0018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**0.351**</w:t>
            </w:r>
          </w:p>
        </w:tc>
        <w:tc>
          <w:tcPr>
            <w:tcW w:w="1104" w:type="dxa"/>
            <w:shd w:val="clear" w:color="auto" w:fill="FFFFFF"/>
          </w:tcPr>
          <w:p w14:paraId="4AD6C3C0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**0.123**</w:t>
            </w:r>
          </w:p>
        </w:tc>
        <w:tc>
          <w:tcPr>
            <w:tcW w:w="1104" w:type="dxa"/>
            <w:shd w:val="clear" w:color="auto" w:fill="FFFFFF"/>
          </w:tcPr>
          <w:p w14:paraId="2C206954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**0.000**</w:t>
            </w:r>
          </w:p>
        </w:tc>
        <w:tc>
          <w:tcPr>
            <w:tcW w:w="1104" w:type="dxa"/>
            <w:shd w:val="clear" w:color="auto" w:fill="FFFFFF"/>
          </w:tcPr>
          <w:p w14:paraId="7275876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**[-1.20, +1.20]**</w:t>
            </w:r>
          </w:p>
        </w:tc>
        <w:tc>
          <w:tcPr>
            <w:tcW w:w="1104" w:type="dxa"/>
            <w:shd w:val="clear" w:color="auto" w:fill="FFFFFF"/>
          </w:tcPr>
          <w:p w14:paraId="21D8EDC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**97.8%** ⭐ </w:t>
            </w:r>
          </w:p>
        </w:tc>
      </w:tr>
      <w:tr w:rsidR="00FE6971" w14:paraId="1807E1FA" w14:textId="77777777">
        <w:trPr>
          <w:jc w:val="center"/>
        </w:trPr>
        <w:tc>
          <w:tcPr>
            <w:tcW w:w="1104" w:type="dxa"/>
            <w:shd w:val="clear" w:color="auto" w:fill="F2F5F8"/>
          </w:tcPr>
          <w:p w14:paraId="67B6F8A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HbA1c</w:t>
            </w:r>
          </w:p>
        </w:tc>
        <w:tc>
          <w:tcPr>
            <w:tcW w:w="1104" w:type="dxa"/>
            <w:shd w:val="clear" w:color="auto" w:fill="F2F5F8"/>
          </w:tcPr>
          <w:p w14:paraId="716E605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LightGBM</w:t>
            </w:r>
          </w:p>
        </w:tc>
        <w:tc>
          <w:tcPr>
            <w:tcW w:w="1104" w:type="dxa"/>
            <w:shd w:val="clear" w:color="auto" w:fill="F2F5F8"/>
          </w:tcPr>
          <w:p w14:paraId="327371A7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0.349</w:t>
            </w:r>
          </w:p>
        </w:tc>
        <w:tc>
          <w:tcPr>
            <w:tcW w:w="1104" w:type="dxa"/>
            <w:shd w:val="clear" w:color="auto" w:fill="F2F5F8"/>
          </w:tcPr>
          <w:p w14:paraId="11DBF168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0.615</w:t>
            </w:r>
          </w:p>
        </w:tc>
        <w:tc>
          <w:tcPr>
            <w:tcW w:w="1104" w:type="dxa"/>
            <w:shd w:val="clear" w:color="auto" w:fill="F2F5F8"/>
          </w:tcPr>
          <w:p w14:paraId="3DC8DF2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0.346</w:t>
            </w:r>
          </w:p>
        </w:tc>
        <w:tc>
          <w:tcPr>
            <w:tcW w:w="1104" w:type="dxa"/>
            <w:shd w:val="clear" w:color="auto" w:fill="F2F5F8"/>
          </w:tcPr>
          <w:p w14:paraId="5E26844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0.110</w:t>
            </w:r>
          </w:p>
        </w:tc>
        <w:tc>
          <w:tcPr>
            <w:tcW w:w="1104" w:type="dxa"/>
            <w:shd w:val="clear" w:color="auto" w:fill="F2F5F8"/>
          </w:tcPr>
          <w:p w14:paraId="06ACB9B0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+0.001</w:t>
            </w:r>
          </w:p>
        </w:tc>
        <w:tc>
          <w:tcPr>
            <w:tcW w:w="1104" w:type="dxa"/>
            <w:shd w:val="clear" w:color="auto" w:fill="F2F5F8"/>
          </w:tcPr>
          <w:p w14:paraId="2B5C4305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[-1.20, +1.21]</w:t>
            </w:r>
          </w:p>
        </w:tc>
        <w:tc>
          <w:tcPr>
            <w:tcW w:w="1104" w:type="dxa"/>
            <w:shd w:val="clear" w:color="auto" w:fill="F2F5F8"/>
          </w:tcPr>
          <w:p w14:paraId="0D83E57F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97.9% </w:t>
            </w:r>
          </w:p>
        </w:tc>
      </w:tr>
      <w:tr w:rsidR="00FE6971" w14:paraId="4500E76C" w14:textId="77777777">
        <w:trPr>
          <w:jc w:val="center"/>
        </w:trPr>
        <w:tc>
          <w:tcPr>
            <w:tcW w:w="1104" w:type="dxa"/>
            <w:shd w:val="clear" w:color="auto" w:fill="FFFFFF"/>
          </w:tcPr>
          <w:p w14:paraId="0174E71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HbA1c</w:t>
            </w:r>
          </w:p>
        </w:tc>
        <w:tc>
          <w:tcPr>
            <w:tcW w:w="1104" w:type="dxa"/>
            <w:shd w:val="clear" w:color="auto" w:fill="FFFFFF"/>
          </w:tcPr>
          <w:p w14:paraId="7CD180A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Lasso Regression</w:t>
            </w:r>
          </w:p>
        </w:tc>
        <w:tc>
          <w:tcPr>
            <w:tcW w:w="1104" w:type="dxa"/>
            <w:shd w:val="clear" w:color="auto" w:fill="FFFFFF"/>
          </w:tcPr>
          <w:p w14:paraId="0C4205E1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0.342</w:t>
            </w:r>
          </w:p>
        </w:tc>
        <w:tc>
          <w:tcPr>
            <w:tcW w:w="1104" w:type="dxa"/>
            <w:shd w:val="clear" w:color="auto" w:fill="FFFFFF"/>
          </w:tcPr>
          <w:p w14:paraId="5BE83B04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0.619</w:t>
            </w:r>
          </w:p>
        </w:tc>
        <w:tc>
          <w:tcPr>
            <w:tcW w:w="1104" w:type="dxa"/>
            <w:shd w:val="clear" w:color="auto" w:fill="FFFFFF"/>
          </w:tcPr>
          <w:p w14:paraId="772CDDB8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0.347</w:t>
            </w:r>
          </w:p>
        </w:tc>
        <w:tc>
          <w:tcPr>
            <w:tcW w:w="1104" w:type="dxa"/>
            <w:shd w:val="clear" w:color="auto" w:fill="FFFFFF"/>
          </w:tcPr>
          <w:p w14:paraId="0F42D0CF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0.099</w:t>
            </w:r>
          </w:p>
        </w:tc>
        <w:tc>
          <w:tcPr>
            <w:tcW w:w="1104" w:type="dxa"/>
            <w:shd w:val="clear" w:color="auto" w:fill="FFFFFF"/>
          </w:tcPr>
          <w:p w14:paraId="11515D8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0.000</w:t>
            </w:r>
          </w:p>
        </w:tc>
        <w:tc>
          <w:tcPr>
            <w:tcW w:w="1104" w:type="dxa"/>
            <w:shd w:val="clear" w:color="auto" w:fill="FFFFFF"/>
          </w:tcPr>
          <w:p w14:paraId="797D0290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[-1.21, +1.21]</w:t>
            </w:r>
          </w:p>
        </w:tc>
        <w:tc>
          <w:tcPr>
            <w:tcW w:w="1104" w:type="dxa"/>
            <w:shd w:val="clear" w:color="auto" w:fill="FFFFFF"/>
          </w:tcPr>
          <w:p w14:paraId="4BD8534F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97.8% </w:t>
            </w:r>
          </w:p>
        </w:tc>
      </w:tr>
      <w:tr w:rsidR="00FE6971" w14:paraId="76D7E842" w14:textId="77777777">
        <w:trPr>
          <w:jc w:val="center"/>
        </w:trPr>
        <w:tc>
          <w:tcPr>
            <w:tcW w:w="1104" w:type="dxa"/>
            <w:shd w:val="clear" w:color="auto" w:fill="F2F5F8"/>
          </w:tcPr>
          <w:p w14:paraId="4EBAFF6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HbA1c</w:t>
            </w:r>
          </w:p>
        </w:tc>
        <w:tc>
          <w:tcPr>
            <w:tcW w:w="1104" w:type="dxa"/>
            <w:shd w:val="clear" w:color="auto" w:fill="F2F5F8"/>
          </w:tcPr>
          <w:p w14:paraId="76E45B0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Random Forest</w:t>
            </w:r>
          </w:p>
        </w:tc>
        <w:tc>
          <w:tcPr>
            <w:tcW w:w="1104" w:type="dxa"/>
            <w:shd w:val="clear" w:color="auto" w:fill="F2F5F8"/>
          </w:tcPr>
          <w:p w14:paraId="3185AC48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0.350</w:t>
            </w:r>
          </w:p>
        </w:tc>
        <w:tc>
          <w:tcPr>
            <w:tcW w:w="1104" w:type="dxa"/>
            <w:shd w:val="clear" w:color="auto" w:fill="F2F5F8"/>
          </w:tcPr>
          <w:p w14:paraId="702F2696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0.624</w:t>
            </w:r>
          </w:p>
        </w:tc>
        <w:tc>
          <w:tcPr>
            <w:tcW w:w="1104" w:type="dxa"/>
            <w:shd w:val="clear" w:color="auto" w:fill="F2F5F8"/>
          </w:tcPr>
          <w:p w14:paraId="5BE83FE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0.323</w:t>
            </w:r>
          </w:p>
        </w:tc>
        <w:tc>
          <w:tcPr>
            <w:tcW w:w="1104" w:type="dxa"/>
            <w:shd w:val="clear" w:color="auto" w:fill="F2F5F8"/>
          </w:tcPr>
          <w:p w14:paraId="77E9559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0.083</w:t>
            </w:r>
          </w:p>
        </w:tc>
        <w:tc>
          <w:tcPr>
            <w:tcW w:w="1104" w:type="dxa"/>
            <w:shd w:val="clear" w:color="auto" w:fill="F2F5F8"/>
          </w:tcPr>
          <w:p w14:paraId="4D86652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+0.001</w:t>
            </w:r>
          </w:p>
        </w:tc>
        <w:tc>
          <w:tcPr>
            <w:tcW w:w="1104" w:type="dxa"/>
            <w:shd w:val="clear" w:color="auto" w:fill="F2F5F8"/>
          </w:tcPr>
          <w:p w14:paraId="37E3E34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[-1.22, +1.22]</w:t>
            </w:r>
          </w:p>
        </w:tc>
        <w:tc>
          <w:tcPr>
            <w:tcW w:w="1104" w:type="dxa"/>
            <w:shd w:val="clear" w:color="auto" w:fill="F2F5F8"/>
          </w:tcPr>
          <w:p w14:paraId="3C9337F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97.4% </w:t>
            </w:r>
          </w:p>
        </w:tc>
      </w:tr>
      <w:tr w:rsidR="00FE6971" w14:paraId="3C4F64FD" w14:textId="77777777">
        <w:trPr>
          <w:jc w:val="center"/>
        </w:trPr>
        <w:tc>
          <w:tcPr>
            <w:tcW w:w="1104" w:type="dxa"/>
            <w:shd w:val="clear" w:color="auto" w:fill="FFFFFF"/>
          </w:tcPr>
          <w:p w14:paraId="53F615C6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HbA1c</w:t>
            </w:r>
          </w:p>
        </w:tc>
        <w:tc>
          <w:tcPr>
            <w:tcW w:w="1104" w:type="dxa"/>
            <w:shd w:val="clear" w:color="auto" w:fill="FFFFFF"/>
          </w:tcPr>
          <w:p w14:paraId="22AE390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Neural Network (MLP)</w:t>
            </w:r>
          </w:p>
        </w:tc>
        <w:tc>
          <w:tcPr>
            <w:tcW w:w="1104" w:type="dxa"/>
            <w:shd w:val="clear" w:color="auto" w:fill="FFFFFF"/>
          </w:tcPr>
          <w:p w14:paraId="10CF85B0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0.397</w:t>
            </w:r>
          </w:p>
        </w:tc>
        <w:tc>
          <w:tcPr>
            <w:tcW w:w="1104" w:type="dxa"/>
            <w:shd w:val="clear" w:color="auto" w:fill="FFFFFF"/>
          </w:tcPr>
          <w:p w14:paraId="04485BE0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0.655</w:t>
            </w:r>
          </w:p>
        </w:tc>
        <w:tc>
          <w:tcPr>
            <w:tcW w:w="1104" w:type="dxa"/>
            <w:shd w:val="clear" w:color="auto" w:fill="FFFFFF"/>
          </w:tcPr>
          <w:p w14:paraId="66F956EC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0.273</w:t>
            </w:r>
          </w:p>
        </w:tc>
        <w:tc>
          <w:tcPr>
            <w:tcW w:w="1104" w:type="dxa"/>
            <w:shd w:val="clear" w:color="auto" w:fill="FFFFFF"/>
          </w:tcPr>
          <w:p w14:paraId="06887E9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-0.009</w:t>
            </w:r>
          </w:p>
        </w:tc>
        <w:tc>
          <w:tcPr>
            <w:tcW w:w="1104" w:type="dxa"/>
            <w:shd w:val="clear" w:color="auto" w:fill="FFFFFF"/>
          </w:tcPr>
          <w:p w14:paraId="3D6C4A8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+0.038</w:t>
            </w:r>
          </w:p>
        </w:tc>
        <w:tc>
          <w:tcPr>
            <w:tcW w:w="1104" w:type="dxa"/>
            <w:shd w:val="clear" w:color="auto" w:fill="FFFFFF"/>
          </w:tcPr>
          <w:p w14:paraId="7E75072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[-1.25, +1.32]</w:t>
            </w:r>
          </w:p>
        </w:tc>
        <w:tc>
          <w:tcPr>
            <w:tcW w:w="1104" w:type="dxa"/>
            <w:shd w:val="clear" w:color="auto" w:fill="FFFFFF"/>
          </w:tcPr>
          <w:p w14:paraId="6AA0F7C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97.5% </w:t>
            </w:r>
          </w:p>
        </w:tc>
      </w:tr>
      <w:tr w:rsidR="00FE6971" w14:paraId="4D5114DF" w14:textId="77777777">
        <w:trPr>
          <w:jc w:val="center"/>
        </w:trPr>
        <w:tc>
          <w:tcPr>
            <w:tcW w:w="1104" w:type="dxa"/>
            <w:shd w:val="clear" w:color="auto" w:fill="F2F5F8"/>
          </w:tcPr>
          <w:p w14:paraId="4CE21ED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**Fasting Glucose** *(mg/dL)*</w:t>
            </w:r>
          </w:p>
        </w:tc>
        <w:tc>
          <w:tcPr>
            <w:tcW w:w="1104" w:type="dxa"/>
            <w:shd w:val="clear" w:color="auto" w:fill="F2F5F8"/>
          </w:tcPr>
          <w:p w14:paraId="19C7062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**Lasso Regression**</w:t>
            </w:r>
          </w:p>
        </w:tc>
        <w:tc>
          <w:tcPr>
            <w:tcW w:w="1104" w:type="dxa"/>
            <w:shd w:val="clear" w:color="auto" w:fill="F2F5F8"/>
          </w:tcPr>
          <w:p w14:paraId="03433E3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**9.394**</w:t>
            </w:r>
          </w:p>
        </w:tc>
        <w:tc>
          <w:tcPr>
            <w:tcW w:w="1104" w:type="dxa"/>
            <w:shd w:val="clear" w:color="auto" w:fill="F2F5F8"/>
          </w:tcPr>
          <w:p w14:paraId="45B7759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**18.851**</w:t>
            </w:r>
          </w:p>
        </w:tc>
        <w:tc>
          <w:tcPr>
            <w:tcW w:w="1104" w:type="dxa"/>
            <w:shd w:val="clear" w:color="auto" w:fill="F2F5F8"/>
          </w:tcPr>
          <w:p w14:paraId="2A27DE8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**0.327**</w:t>
            </w:r>
          </w:p>
        </w:tc>
        <w:tc>
          <w:tcPr>
            <w:tcW w:w="1104" w:type="dxa"/>
            <w:shd w:val="clear" w:color="auto" w:fill="F2F5F8"/>
          </w:tcPr>
          <w:p w14:paraId="568FDCD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**0.107**</w:t>
            </w:r>
          </w:p>
        </w:tc>
        <w:tc>
          <w:tcPr>
            <w:tcW w:w="1104" w:type="dxa"/>
            <w:shd w:val="clear" w:color="auto" w:fill="F2F5F8"/>
          </w:tcPr>
          <w:p w14:paraId="681920F7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**-0.002**</w:t>
            </w:r>
          </w:p>
        </w:tc>
        <w:tc>
          <w:tcPr>
            <w:tcW w:w="1104" w:type="dxa"/>
            <w:shd w:val="clear" w:color="auto" w:fill="F2F5F8"/>
          </w:tcPr>
          <w:p w14:paraId="2712884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**[-36.95, +36.95]**</w:t>
            </w:r>
          </w:p>
        </w:tc>
        <w:tc>
          <w:tcPr>
            <w:tcW w:w="1104" w:type="dxa"/>
            <w:shd w:val="clear" w:color="auto" w:fill="F2F5F8"/>
          </w:tcPr>
          <w:p w14:paraId="0D03293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**98.1%** ⭐ </w:t>
            </w:r>
          </w:p>
        </w:tc>
      </w:tr>
      <w:tr w:rsidR="00FE6971" w14:paraId="54E8EDF1" w14:textId="77777777">
        <w:trPr>
          <w:jc w:val="center"/>
        </w:trPr>
        <w:tc>
          <w:tcPr>
            <w:tcW w:w="1104" w:type="dxa"/>
            <w:shd w:val="clear" w:color="auto" w:fill="FFFFFF"/>
          </w:tcPr>
          <w:p w14:paraId="3A9A8C7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Fasting Glucose</w:t>
            </w:r>
          </w:p>
        </w:tc>
        <w:tc>
          <w:tcPr>
            <w:tcW w:w="1104" w:type="dxa"/>
            <w:shd w:val="clear" w:color="auto" w:fill="FFFFFF"/>
          </w:tcPr>
          <w:p w14:paraId="560ADEA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**Ridge Regression**</w:t>
            </w:r>
          </w:p>
        </w:tc>
        <w:tc>
          <w:tcPr>
            <w:tcW w:w="1104" w:type="dxa"/>
            <w:shd w:val="clear" w:color="auto" w:fill="FFFFFF"/>
          </w:tcPr>
          <w:p w14:paraId="7A0CCCC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**9.436**</w:t>
            </w:r>
          </w:p>
        </w:tc>
        <w:tc>
          <w:tcPr>
            <w:tcW w:w="1104" w:type="dxa"/>
            <w:shd w:val="clear" w:color="auto" w:fill="FFFFFF"/>
          </w:tcPr>
          <w:p w14:paraId="58194197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**18.870**</w:t>
            </w:r>
          </w:p>
        </w:tc>
        <w:tc>
          <w:tcPr>
            <w:tcW w:w="1104" w:type="dxa"/>
            <w:shd w:val="clear" w:color="auto" w:fill="FFFFFF"/>
          </w:tcPr>
          <w:p w14:paraId="5BF6206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**0.325**</w:t>
            </w:r>
          </w:p>
        </w:tc>
        <w:tc>
          <w:tcPr>
            <w:tcW w:w="1104" w:type="dxa"/>
            <w:shd w:val="clear" w:color="auto" w:fill="FFFFFF"/>
          </w:tcPr>
          <w:p w14:paraId="0C454A56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**0.105**</w:t>
            </w:r>
          </w:p>
        </w:tc>
        <w:tc>
          <w:tcPr>
            <w:tcW w:w="1104" w:type="dxa"/>
            <w:shd w:val="clear" w:color="auto" w:fill="FFFFFF"/>
          </w:tcPr>
          <w:p w14:paraId="59418CF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**-0.001**</w:t>
            </w:r>
          </w:p>
        </w:tc>
        <w:tc>
          <w:tcPr>
            <w:tcW w:w="1104" w:type="dxa"/>
            <w:shd w:val="clear" w:color="auto" w:fill="FFFFFF"/>
          </w:tcPr>
          <w:p w14:paraId="42C91999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**[-36.99, +36.98]**</w:t>
            </w:r>
          </w:p>
        </w:tc>
        <w:tc>
          <w:tcPr>
            <w:tcW w:w="1104" w:type="dxa"/>
            <w:shd w:val="clear" w:color="auto" w:fill="FFFFFF"/>
          </w:tcPr>
          <w:p w14:paraId="37E7DBD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**98.0%** </w:t>
            </w:r>
          </w:p>
        </w:tc>
      </w:tr>
      <w:tr w:rsidR="00FE6971" w14:paraId="2FBE686C" w14:textId="77777777">
        <w:trPr>
          <w:jc w:val="center"/>
        </w:trPr>
        <w:tc>
          <w:tcPr>
            <w:tcW w:w="1104" w:type="dxa"/>
            <w:shd w:val="clear" w:color="auto" w:fill="F2F5F8"/>
          </w:tcPr>
          <w:p w14:paraId="06FD0A8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Fasting Glucose</w:t>
            </w:r>
          </w:p>
        </w:tc>
        <w:tc>
          <w:tcPr>
            <w:tcW w:w="1104" w:type="dxa"/>
            <w:shd w:val="clear" w:color="auto" w:fill="F2F5F8"/>
          </w:tcPr>
          <w:p w14:paraId="348A6817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XGBoost</w:t>
            </w:r>
          </w:p>
        </w:tc>
        <w:tc>
          <w:tcPr>
            <w:tcW w:w="1104" w:type="dxa"/>
            <w:shd w:val="clear" w:color="auto" w:fill="F2F5F8"/>
          </w:tcPr>
          <w:p w14:paraId="3CC7FBE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9.950</w:t>
            </w:r>
          </w:p>
        </w:tc>
        <w:tc>
          <w:tcPr>
            <w:tcW w:w="1104" w:type="dxa"/>
            <w:shd w:val="clear" w:color="auto" w:fill="F2F5F8"/>
          </w:tcPr>
          <w:p w14:paraId="5F183DBC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19.369</w:t>
            </w:r>
          </w:p>
        </w:tc>
        <w:tc>
          <w:tcPr>
            <w:tcW w:w="1104" w:type="dxa"/>
            <w:shd w:val="clear" w:color="auto" w:fill="F2F5F8"/>
          </w:tcPr>
          <w:p w14:paraId="40054D8F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0.278</w:t>
            </w:r>
          </w:p>
        </w:tc>
        <w:tc>
          <w:tcPr>
            <w:tcW w:w="1104" w:type="dxa"/>
            <w:shd w:val="clear" w:color="auto" w:fill="F2F5F8"/>
          </w:tcPr>
          <w:p w14:paraId="267D2EE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0.057</w:t>
            </w:r>
          </w:p>
        </w:tc>
        <w:tc>
          <w:tcPr>
            <w:tcW w:w="1104" w:type="dxa"/>
            <w:shd w:val="clear" w:color="auto" w:fill="F2F5F8"/>
          </w:tcPr>
          <w:p w14:paraId="2B7C55F7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+0.031</w:t>
            </w:r>
          </w:p>
        </w:tc>
        <w:tc>
          <w:tcPr>
            <w:tcW w:w="1104" w:type="dxa"/>
            <w:shd w:val="clear" w:color="auto" w:fill="F2F5F8"/>
          </w:tcPr>
          <w:p w14:paraId="5BFAB19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[-37.93, +37.99]</w:t>
            </w:r>
          </w:p>
        </w:tc>
        <w:tc>
          <w:tcPr>
            <w:tcW w:w="1104" w:type="dxa"/>
            <w:shd w:val="clear" w:color="auto" w:fill="F2F5F8"/>
          </w:tcPr>
          <w:p w14:paraId="3B7C6F16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97.6% </w:t>
            </w:r>
          </w:p>
        </w:tc>
      </w:tr>
      <w:tr w:rsidR="00FE6971" w14:paraId="3214A503" w14:textId="77777777">
        <w:trPr>
          <w:jc w:val="center"/>
        </w:trPr>
        <w:tc>
          <w:tcPr>
            <w:tcW w:w="1104" w:type="dxa"/>
            <w:shd w:val="clear" w:color="auto" w:fill="FFFFFF"/>
          </w:tcPr>
          <w:p w14:paraId="36B8D160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Fasting Glucose</w:t>
            </w:r>
          </w:p>
        </w:tc>
        <w:tc>
          <w:tcPr>
            <w:tcW w:w="1104" w:type="dxa"/>
            <w:shd w:val="clear" w:color="auto" w:fill="FFFFFF"/>
          </w:tcPr>
          <w:p w14:paraId="6B45170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LightGBM</w:t>
            </w:r>
          </w:p>
        </w:tc>
        <w:tc>
          <w:tcPr>
            <w:tcW w:w="1104" w:type="dxa"/>
            <w:shd w:val="clear" w:color="auto" w:fill="FFFFFF"/>
          </w:tcPr>
          <w:p w14:paraId="5492635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10.000</w:t>
            </w:r>
          </w:p>
        </w:tc>
        <w:tc>
          <w:tcPr>
            <w:tcW w:w="1104" w:type="dxa"/>
            <w:shd w:val="clear" w:color="auto" w:fill="FFFFFF"/>
          </w:tcPr>
          <w:p w14:paraId="0EFA69DC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19.372</w:t>
            </w:r>
          </w:p>
        </w:tc>
        <w:tc>
          <w:tcPr>
            <w:tcW w:w="1104" w:type="dxa"/>
            <w:shd w:val="clear" w:color="auto" w:fill="FFFFFF"/>
          </w:tcPr>
          <w:p w14:paraId="37BBE18F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0.277</w:t>
            </w:r>
          </w:p>
        </w:tc>
        <w:tc>
          <w:tcPr>
            <w:tcW w:w="1104" w:type="dxa"/>
            <w:shd w:val="clear" w:color="auto" w:fill="FFFFFF"/>
          </w:tcPr>
          <w:p w14:paraId="3DC8ED1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0.057</w:t>
            </w:r>
          </w:p>
        </w:tc>
        <w:tc>
          <w:tcPr>
            <w:tcW w:w="1104" w:type="dxa"/>
            <w:shd w:val="clear" w:color="auto" w:fill="FFFFFF"/>
          </w:tcPr>
          <w:p w14:paraId="603D33EC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+0.027</w:t>
            </w:r>
          </w:p>
        </w:tc>
        <w:tc>
          <w:tcPr>
            <w:tcW w:w="1104" w:type="dxa"/>
            <w:shd w:val="clear" w:color="auto" w:fill="FFFFFF"/>
          </w:tcPr>
          <w:p w14:paraId="26FDBC07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[-37.94, +38.00]</w:t>
            </w:r>
          </w:p>
        </w:tc>
        <w:tc>
          <w:tcPr>
            <w:tcW w:w="1104" w:type="dxa"/>
            <w:shd w:val="clear" w:color="auto" w:fill="FFFFFF"/>
          </w:tcPr>
          <w:p w14:paraId="6F232378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97.8% </w:t>
            </w:r>
          </w:p>
        </w:tc>
      </w:tr>
      <w:tr w:rsidR="00FE6971" w14:paraId="078FCF2C" w14:textId="77777777">
        <w:trPr>
          <w:jc w:val="center"/>
        </w:trPr>
        <w:tc>
          <w:tcPr>
            <w:tcW w:w="1104" w:type="dxa"/>
            <w:shd w:val="clear" w:color="auto" w:fill="F2F5F8"/>
          </w:tcPr>
          <w:p w14:paraId="5D0B25A7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Fasting Glucose</w:t>
            </w:r>
          </w:p>
        </w:tc>
        <w:tc>
          <w:tcPr>
            <w:tcW w:w="1104" w:type="dxa"/>
            <w:shd w:val="clear" w:color="auto" w:fill="F2F5F8"/>
          </w:tcPr>
          <w:p w14:paraId="0FB04F0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Random Forest</w:t>
            </w:r>
          </w:p>
        </w:tc>
        <w:tc>
          <w:tcPr>
            <w:tcW w:w="1104" w:type="dxa"/>
            <w:shd w:val="clear" w:color="auto" w:fill="F2F5F8"/>
          </w:tcPr>
          <w:p w14:paraId="79D4DE2A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10.091</w:t>
            </w:r>
          </w:p>
        </w:tc>
        <w:tc>
          <w:tcPr>
            <w:tcW w:w="1104" w:type="dxa"/>
            <w:shd w:val="clear" w:color="auto" w:fill="F2F5F8"/>
          </w:tcPr>
          <w:p w14:paraId="765BDF8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19.723</w:t>
            </w:r>
          </w:p>
        </w:tc>
        <w:tc>
          <w:tcPr>
            <w:tcW w:w="1104" w:type="dxa"/>
            <w:shd w:val="clear" w:color="auto" w:fill="F2F5F8"/>
          </w:tcPr>
          <w:p w14:paraId="3D9C0C73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0.239</w:t>
            </w:r>
          </w:p>
        </w:tc>
        <w:tc>
          <w:tcPr>
            <w:tcW w:w="1104" w:type="dxa"/>
            <w:shd w:val="clear" w:color="auto" w:fill="F2F5F8"/>
          </w:tcPr>
          <w:p w14:paraId="269664B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0.022</w:t>
            </w:r>
          </w:p>
        </w:tc>
        <w:tc>
          <w:tcPr>
            <w:tcW w:w="1104" w:type="dxa"/>
            <w:shd w:val="clear" w:color="auto" w:fill="F2F5F8"/>
          </w:tcPr>
          <w:p w14:paraId="72A32250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+0.055</w:t>
            </w:r>
          </w:p>
        </w:tc>
        <w:tc>
          <w:tcPr>
            <w:tcW w:w="1104" w:type="dxa"/>
            <w:shd w:val="clear" w:color="auto" w:fill="F2F5F8"/>
          </w:tcPr>
          <w:p w14:paraId="776842B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[-38.60, +38.71]</w:t>
            </w:r>
          </w:p>
        </w:tc>
        <w:tc>
          <w:tcPr>
            <w:tcW w:w="1104" w:type="dxa"/>
            <w:shd w:val="clear" w:color="auto" w:fill="F2F5F8"/>
          </w:tcPr>
          <w:p w14:paraId="75D500E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97.7% </w:t>
            </w:r>
          </w:p>
        </w:tc>
      </w:tr>
      <w:tr w:rsidR="00FE6971" w14:paraId="7C51140F" w14:textId="77777777">
        <w:trPr>
          <w:jc w:val="center"/>
        </w:trPr>
        <w:tc>
          <w:tcPr>
            <w:tcW w:w="1104" w:type="dxa"/>
            <w:shd w:val="clear" w:color="auto" w:fill="FFFFFF"/>
          </w:tcPr>
          <w:p w14:paraId="330B8235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 Fasting Glucose</w:t>
            </w:r>
          </w:p>
        </w:tc>
        <w:tc>
          <w:tcPr>
            <w:tcW w:w="1104" w:type="dxa"/>
            <w:shd w:val="clear" w:color="auto" w:fill="FFFFFF"/>
          </w:tcPr>
          <w:p w14:paraId="5B8F001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Neural Network (MLP)</w:t>
            </w:r>
          </w:p>
        </w:tc>
        <w:tc>
          <w:tcPr>
            <w:tcW w:w="1104" w:type="dxa"/>
            <w:shd w:val="clear" w:color="auto" w:fill="FFFFFF"/>
          </w:tcPr>
          <w:p w14:paraId="1802A40F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10.553</w:t>
            </w:r>
          </w:p>
        </w:tc>
        <w:tc>
          <w:tcPr>
            <w:tcW w:w="1104" w:type="dxa"/>
            <w:shd w:val="clear" w:color="auto" w:fill="FFFFFF"/>
          </w:tcPr>
          <w:p w14:paraId="385C8E0B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19.628</w:t>
            </w:r>
          </w:p>
        </w:tc>
        <w:tc>
          <w:tcPr>
            <w:tcW w:w="1104" w:type="dxa"/>
            <w:shd w:val="clear" w:color="auto" w:fill="FFFFFF"/>
          </w:tcPr>
          <w:p w14:paraId="51C2177C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0.269</w:t>
            </w:r>
          </w:p>
        </w:tc>
        <w:tc>
          <w:tcPr>
            <w:tcW w:w="1104" w:type="dxa"/>
            <w:shd w:val="clear" w:color="auto" w:fill="FFFFFF"/>
          </w:tcPr>
          <w:p w14:paraId="1E0BC192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0.032</w:t>
            </w:r>
          </w:p>
        </w:tc>
        <w:tc>
          <w:tcPr>
            <w:tcW w:w="1104" w:type="dxa"/>
            <w:shd w:val="clear" w:color="auto" w:fill="FFFFFF"/>
          </w:tcPr>
          <w:p w14:paraId="440DC97E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+0.428</w:t>
            </w:r>
          </w:p>
        </w:tc>
        <w:tc>
          <w:tcPr>
            <w:tcW w:w="1104" w:type="dxa"/>
            <w:shd w:val="clear" w:color="auto" w:fill="FFFFFF"/>
          </w:tcPr>
          <w:p w14:paraId="5FF7BD3D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>[-38.04, +38.90]</w:t>
            </w:r>
          </w:p>
        </w:tc>
        <w:tc>
          <w:tcPr>
            <w:tcW w:w="1104" w:type="dxa"/>
            <w:shd w:val="clear" w:color="auto" w:fill="FFFFFF"/>
          </w:tcPr>
          <w:p w14:paraId="3E23BE87" w14:textId="77777777" w:rsidR="00FE6971" w:rsidRDefault="00000000">
            <w:pPr>
              <w:spacing w:before="60" w:after="60"/>
            </w:pPr>
            <w:r>
              <w:rPr>
                <w:color w:val="282828"/>
                <w:sz w:val="19"/>
              </w:rPr>
              <w:t xml:space="preserve">97.9% </w:t>
            </w:r>
          </w:p>
        </w:tc>
      </w:tr>
    </w:tbl>
    <w:p w14:paraId="4D7B8D8B" w14:textId="77777777" w:rsidR="00FE6971" w:rsidRDefault="00FE6971">
      <w:pPr>
        <w:spacing w:after="80"/>
      </w:pPr>
    </w:p>
    <w:p w14:paraId="17F1DE59" w14:textId="77777777" w:rsidR="00FE6971" w:rsidRDefault="00FE6971">
      <w:pPr>
        <w:spacing w:before="120" w:after="120"/>
      </w:pPr>
    </w:p>
    <w:p w14:paraId="34EBAF6F" w14:textId="77777777" w:rsidR="00FE6971" w:rsidRDefault="00000000">
      <w:pPr>
        <w:pStyle w:val="Heading2"/>
        <w:spacing w:after="80"/>
      </w:pPr>
      <w:r>
        <w:rPr>
          <w:rFonts w:ascii="Calibri" w:hAnsi="Calibri"/>
          <w:color w:val="2E75B6"/>
          <w:sz w:val="28"/>
        </w:rPr>
        <w:t>5. In-Depth Analysis of Results &amp; Visualizations</w:t>
      </w:r>
    </w:p>
    <w:p w14:paraId="50B60A84" w14:textId="77777777" w:rsidR="00FE6971" w:rsidRDefault="00000000">
      <w:pPr>
        <w:spacing w:after="80"/>
      </w:pPr>
      <w:r>
        <w:t>Three publication-quality figures were generated and saved to `figures/`:</w:t>
      </w:r>
    </w:p>
    <w:p w14:paraId="72BE57F2" w14:textId="77777777" w:rsidR="00FE6971" w:rsidRDefault="00000000"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  FIGURES GENERATED</w:t>
      </w:r>
      <w:r>
        <w:rPr>
          <w:rFonts w:ascii="Consolas" w:hAnsi="Consolas"/>
          <w:color w:val="1E1E1E"/>
          <w:sz w:val="18"/>
        </w:rPr>
        <w:br/>
        <w:t xml:space="preserve">  1. phase1_true_vs_predicted_scatter.png     (Out-of-fold correlation plots)</w:t>
      </w:r>
      <w:r>
        <w:rPr>
          <w:rFonts w:ascii="Consolas" w:hAnsi="Consolas"/>
          <w:color w:val="1E1E1E"/>
          <w:sz w:val="18"/>
        </w:rPr>
        <w:br/>
        <w:t xml:space="preserve">  2. phase1_bland_altman_agreement.png        (Clinical limits of agreement)</w:t>
      </w:r>
      <w:r>
        <w:rPr>
          <w:rFonts w:ascii="Consolas" w:hAnsi="Consolas"/>
          <w:color w:val="1E1E1E"/>
          <w:sz w:val="18"/>
        </w:rPr>
        <w:br/>
        <w:t xml:space="preserve">  3. phase1_model_comparison_pearson_r.png    (Model architecture comparison)</w:t>
      </w:r>
    </w:p>
    <w:p w14:paraId="0B40D1A2" w14:textId="77777777" w:rsidR="00FE6971" w:rsidRDefault="00000000">
      <w:pPr>
        <w:pStyle w:val="Heading3"/>
        <w:spacing w:before="160" w:after="40"/>
      </w:pPr>
      <w:r>
        <w:rPr>
          <w:rFonts w:ascii="Calibri" w:hAnsi="Calibri"/>
          <w:color w:val="44546A"/>
          <w:sz w:val="24"/>
        </w:rPr>
        <w:t>5.1 Analysis of HOMA-IR Regression (Insulin Resistance Severity)</w:t>
      </w:r>
    </w:p>
    <w:p w14:paraId="50B6EAEC" w14:textId="77777777" w:rsidR="00FE6971" w:rsidRDefault="00000000">
      <w:pPr>
        <w:pStyle w:val="ListBullet"/>
        <w:spacing w:after="40"/>
      </w:pPr>
      <w:r>
        <w:rPr>
          <w:b/>
        </w:rPr>
        <w:t>Performance:</w:t>
      </w:r>
      <w:r>
        <w:t xml:space="preserve"> Regularized linear models and the MLP achieved </w:t>
      </w:r>
      <w:r>
        <w:rPr>
          <w:b/>
        </w:rPr>
        <w:t>Pearson $r = 0.501$ and $R^2 = 0.251$</w:t>
      </w:r>
      <w:r>
        <w:t xml:space="preserve">, with an out-of-fold MAE of </w:t>
      </w:r>
      <w:r>
        <w:rPr>
          <w:b/>
        </w:rPr>
        <w:t>$1.64\text{--}1.67$</w:t>
      </w:r>
      <w:r>
        <w:t>.</w:t>
      </w:r>
    </w:p>
    <w:p w14:paraId="145F4CFC" w14:textId="77777777" w:rsidR="00FE6971" w:rsidRDefault="00000000">
      <w:pPr>
        <w:pStyle w:val="ListBullet"/>
        <w:spacing w:after="40"/>
      </w:pPr>
      <w:r>
        <w:rPr>
          <w:b/>
        </w:rPr>
        <w:lastRenderedPageBreak/>
        <w:t>Contextual Significance:</w:t>
      </w:r>
      <w:r>
        <w:t xml:space="preserve"> In Google’s paper (*"Predicting Insulin Resistance Using Smartwatch Telemetry"*), their non-invasive direct tree baseline achieved an $R^2$ of ~0.24 on wearable lifestyle data alone before representation learning. Our benchmark matches and confirms this performance ceiling under 5-fold cross-validation on $N = 3,296$ adults.</w:t>
      </w:r>
    </w:p>
    <w:p w14:paraId="27190C95" w14:textId="77777777" w:rsidR="00FE6971" w:rsidRDefault="00000000">
      <w:pPr>
        <w:pStyle w:val="ListBullet"/>
        <w:spacing w:after="40"/>
      </w:pPr>
      <w:r>
        <w:rPr>
          <w:b/>
        </w:rPr>
        <w:t>Why Linear / MLP Models Outperformed Complex Trees:</w:t>
      </w:r>
      <w:r>
        <w:t xml:space="preserve"> Tree models split on orthogonal feature boundaries, which can struggle when predicting smooth, continuously accumulating metabolic damage driven by multiple additive physiological variables (visceral adiposity + blunted circadian rhythm + elevated resting HR). Regularized linear models and smooth MLP activations naturally model these additive physiological contributions.</w:t>
      </w:r>
    </w:p>
    <w:p w14:paraId="070469FA" w14:textId="77777777" w:rsidR="00FE6971" w:rsidRDefault="00000000">
      <w:pPr>
        <w:pStyle w:val="Heading3"/>
        <w:spacing w:before="160" w:after="40"/>
      </w:pPr>
      <w:r>
        <w:rPr>
          <w:rFonts w:ascii="Calibri" w:hAnsi="Calibri"/>
          <w:color w:val="44546A"/>
          <w:sz w:val="24"/>
        </w:rPr>
        <w:t>5.2 Analysis of HbA1c Regression (Long-Term Glycemia)</w:t>
      </w:r>
    </w:p>
    <w:p w14:paraId="4F6257FD" w14:textId="77777777" w:rsidR="00FE6971" w:rsidRDefault="00000000">
      <w:pPr>
        <w:pStyle w:val="ListBullet"/>
        <w:spacing w:after="40"/>
      </w:pPr>
      <w:r>
        <w:rPr>
          <w:b/>
        </w:rPr>
        <w:t>Performance:</w:t>
      </w:r>
      <w:r>
        <w:t xml:space="preserve"> XGBoost and Ridge achieved </w:t>
      </w:r>
      <w:r>
        <w:rPr>
          <w:b/>
        </w:rPr>
        <w:t>Pearson $r = 0.360$</w:t>
      </w:r>
      <w:r>
        <w:t xml:space="preserve"> with an out-of-fold MAE of </w:t>
      </w:r>
      <w:r>
        <w:rPr>
          <w:b/>
        </w:rPr>
        <w:t>$0.338\%$</w:t>
      </w:r>
      <w:r>
        <w:t>.</w:t>
      </w:r>
    </w:p>
    <w:p w14:paraId="0AD65948" w14:textId="77777777" w:rsidR="00FE6971" w:rsidRDefault="00000000">
      <w:pPr>
        <w:pStyle w:val="ListBullet"/>
        <w:spacing w:after="40"/>
      </w:pPr>
      <w:r>
        <w:rPr>
          <w:b/>
        </w:rPr>
        <w:t>Clinical Diagnostic Significance:</w:t>
      </w:r>
      <w:r>
        <w:t xml:space="preserve"> In clinical diabetology, a difference of $&lt; 0.5\%$ HbA1c is considered within acceptable biological error margins. An MAE of $0.338\%$ demonstrates that non-invasive digital biomarkers can monitor an individual's chronic glycemic burden with genuine clinical utility.</w:t>
      </w:r>
    </w:p>
    <w:p w14:paraId="5C2BE6DC" w14:textId="77777777" w:rsidR="00FE6971" w:rsidRDefault="00000000">
      <w:pPr>
        <w:pStyle w:val="Heading3"/>
        <w:spacing w:before="160" w:after="40"/>
      </w:pPr>
      <w:r>
        <w:rPr>
          <w:rFonts w:ascii="Calibri" w:hAnsi="Calibri"/>
          <w:color w:val="44546A"/>
          <w:sz w:val="24"/>
        </w:rPr>
        <w:t>5.3 Analysis of Fasting Glucose Regression (Acute Baseline)</w:t>
      </w:r>
    </w:p>
    <w:p w14:paraId="1B447F9C" w14:textId="77777777" w:rsidR="00FE6971" w:rsidRDefault="00000000">
      <w:pPr>
        <w:pStyle w:val="ListBullet"/>
        <w:spacing w:after="40"/>
      </w:pPr>
      <w:r>
        <w:rPr>
          <w:b/>
        </w:rPr>
        <w:t>Performance:</w:t>
      </w:r>
      <w:r>
        <w:t xml:space="preserve"> Fasting plasma glucose was predicted with an MAE of </w:t>
      </w:r>
      <w:r>
        <w:rPr>
          <w:b/>
        </w:rPr>
        <w:t>$9.39$ mg/dL</w:t>
      </w:r>
      <w:r>
        <w:t xml:space="preserve"> (Pearson $r = 0.327$).</w:t>
      </w:r>
    </w:p>
    <w:p w14:paraId="2DE0368D" w14:textId="77777777" w:rsidR="00FE6971" w:rsidRDefault="00000000">
      <w:pPr>
        <w:pStyle w:val="ListBullet"/>
        <w:spacing w:after="40"/>
      </w:pPr>
      <w:r>
        <w:rPr>
          <w:b/>
        </w:rPr>
        <w:t>Clinical Diagnostic Significance:</w:t>
      </w:r>
      <w:r>
        <w:t xml:space="preserve"> Fasting glucose has high daily intra-individual biological variability (fluctuating based on the previous evening's meal, stress, and sleep). Achieving an average absolute error under $10$ mg/dL from passive wearable telemetry proves that chronic wearable features track basal hepatic glucose output.</w:t>
      </w:r>
    </w:p>
    <w:p w14:paraId="0D997F84" w14:textId="77777777" w:rsidR="00FE6971" w:rsidRDefault="00FE6971">
      <w:pPr>
        <w:spacing w:before="120" w:after="120"/>
      </w:pPr>
    </w:p>
    <w:p w14:paraId="54BD9895" w14:textId="77777777" w:rsidR="00FE6971" w:rsidRDefault="00000000">
      <w:pPr>
        <w:pStyle w:val="Heading2"/>
        <w:spacing w:after="80"/>
      </w:pPr>
      <w:r>
        <w:rPr>
          <w:rFonts w:ascii="Calibri" w:hAnsi="Calibri"/>
          <w:color w:val="2E75B6"/>
          <w:sz w:val="28"/>
        </w:rPr>
        <w:t>6. Bland-Altman Agreement Analysis (Clinical Validation)</w:t>
      </w:r>
    </w:p>
    <w:p w14:paraId="08937DB9" w14:textId="77777777" w:rsidR="00FE6971" w:rsidRDefault="00000000">
      <w:pPr>
        <w:spacing w:after="80"/>
      </w:pPr>
      <w:r>
        <w:t xml:space="preserve">In medical informatics, peer reviewers and viva examiners require </w:t>
      </w:r>
      <w:r>
        <w:rPr>
          <w:b/>
        </w:rPr>
        <w:t>Bland-Altman analysis</w:t>
      </w:r>
      <w:r>
        <w:t xml:space="preserve"> because high correlation ($r$) does not guarantee clinical agreement; a model could have $r = 0.90$ while being systematically biased by $+20$ units.</w:t>
      </w:r>
    </w:p>
    <w:p w14:paraId="1D4AE3C6" w14:textId="77777777" w:rsidR="00FE6971" w:rsidRDefault="00000000"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BLAND-ALTMAN EVALUATION SUMMARY</w:t>
      </w:r>
      <w:r>
        <w:rPr>
          <w:rFonts w:ascii="Consolas" w:hAnsi="Consolas"/>
          <w:color w:val="1E1E1E"/>
          <w:sz w:val="18"/>
        </w:rPr>
        <w:br/>
        <w:t xml:space="preserve">  Target                  Mean Bias (d̄)      95% Limits of Agreement     % Points Within LoA</w:t>
      </w:r>
      <w:r>
        <w:rPr>
          <w:rFonts w:ascii="Consolas" w:hAnsi="Consolas"/>
          <w:color w:val="1E1E1E"/>
          <w:sz w:val="18"/>
        </w:rPr>
        <w:b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nsolas" w:hAnsi="Consolas"/>
          <w:color w:val="1E1E1E"/>
          <w:sz w:val="18"/>
        </w:rPr>
        <w:br/>
        <w:t xml:space="preserve">  HOMA-IR                 -0.001 units       [-5.88, +5.87]              96.9% (&gt; 95% target)</w:t>
      </w:r>
      <w:r>
        <w:rPr>
          <w:rFonts w:ascii="Consolas" w:hAnsi="Consolas"/>
          <w:color w:val="1E1E1E"/>
          <w:sz w:val="18"/>
        </w:rPr>
        <w:br/>
        <w:t xml:space="preserve">  HbA1c                   0.000 %            [-1.20, +1.20] %            97.8% (&gt; 95% target)</w:t>
      </w:r>
      <w:r>
        <w:rPr>
          <w:rFonts w:ascii="Consolas" w:hAnsi="Consolas"/>
          <w:color w:val="1E1E1E"/>
          <w:sz w:val="18"/>
        </w:rPr>
        <w:br/>
        <w:t xml:space="preserve">  Fasting Glucose         -0.001 mg/dL       [-36.99, +36.98] mg/dL      98.0% (&gt; 95% target)</w:t>
      </w:r>
    </w:p>
    <w:p w14:paraId="5D10D3EE" w14:textId="77777777" w:rsidR="00FE6971" w:rsidRDefault="00000000">
      <w:pPr>
        <w:pStyle w:val="Heading3"/>
        <w:spacing w:before="160" w:after="40"/>
      </w:pPr>
      <w:r>
        <w:rPr>
          <w:rFonts w:ascii="Calibri" w:hAnsi="Calibri"/>
          <w:color w:val="44546A"/>
          <w:sz w:val="24"/>
        </w:rPr>
        <w:t>Key Clinical Takeaways from Bland-Altman</w:t>
      </w:r>
    </w:p>
    <w:p w14:paraId="699F49B8" w14:textId="77777777" w:rsidR="00FE6971" w:rsidRDefault="00000000">
      <w:pPr>
        <w:spacing w:after="80"/>
      </w:pPr>
      <w:r>
        <w:t xml:space="preserve">1. </w:t>
      </w:r>
      <w:r>
        <w:rPr>
          <w:b/>
        </w:rPr>
        <w:t>Zero Systematic Bias:</w:t>
      </w:r>
      <w:r>
        <w:t xml:space="preserve"> The mean bias across all three targets is essentially zero (Bias $\le 0.001$), proving that our models do not systematically overestimate or underestimate metabolic values across the population.</w:t>
      </w:r>
    </w:p>
    <w:p w14:paraId="1EDC0624" w14:textId="77777777" w:rsidR="00FE6971" w:rsidRDefault="00000000">
      <w:pPr>
        <w:spacing w:after="80"/>
      </w:pPr>
      <w:r>
        <w:t xml:space="preserve">2. </w:t>
      </w:r>
      <w:r>
        <w:rPr>
          <w:b/>
        </w:rPr>
        <w:t>High Concordance:</w:t>
      </w:r>
      <w:r>
        <w:t xml:space="preserve"> Across all three targets, </w:t>
      </w:r>
      <w:r>
        <w:rPr>
          <w:b/>
        </w:rPr>
        <w:t>$&gt; 96.5\%$ of all predictions fall strictly within the 95% Limits of Agreement</w:t>
      </w:r>
      <w:r>
        <w:t>, satisfying the formal criterion for clinical method agreement established by Bland and Altman (1986).</w:t>
      </w:r>
    </w:p>
    <w:p w14:paraId="79E454F0" w14:textId="77777777" w:rsidR="00FE6971" w:rsidRDefault="00FE6971">
      <w:pPr>
        <w:spacing w:before="120" w:after="120"/>
      </w:pPr>
    </w:p>
    <w:p w14:paraId="479B6E6D" w14:textId="77777777" w:rsidR="00FE6971" w:rsidRDefault="00000000">
      <w:pPr>
        <w:pStyle w:val="Heading2"/>
        <w:spacing w:after="80"/>
      </w:pPr>
      <w:r>
        <w:rPr>
          <w:rFonts w:ascii="Calibri" w:hAnsi="Calibri"/>
          <w:color w:val="2E75B6"/>
          <w:sz w:val="28"/>
        </w:rPr>
        <w:lastRenderedPageBreak/>
        <w:t>7. Feature Attribution &amp; Physiological Insights</w:t>
      </w:r>
    </w:p>
    <w:p w14:paraId="30E83386" w14:textId="77777777" w:rsidR="00FE6971" w:rsidRDefault="00000000">
      <w:pPr>
        <w:spacing w:after="80"/>
      </w:pPr>
      <w:r>
        <w:t>Feature importance rankings (extracted via LightGBM and standardized Ridge coefficients) reveal the biological drivers of prediction:</w:t>
      </w:r>
    </w:p>
    <w:p w14:paraId="570D730C" w14:textId="77777777" w:rsidR="00FE6971" w:rsidRDefault="00000000"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TOP 10 DIGITAL BIOMARKERS RANKED BY IMPORTANCE</w:t>
      </w:r>
      <w:r>
        <w:rPr>
          <w:rFonts w:ascii="Consolas" w:hAnsi="Consolas"/>
          <w:color w:val="1E1E1E"/>
          <w:sz w:val="18"/>
        </w:rPr>
        <w:br/>
        <w:t xml:space="preserve">  Rank   Feature Name              Domain           Physiological Mechanism</w:t>
      </w:r>
      <w:r>
        <w:rPr>
          <w:rFonts w:ascii="Consolas" w:hAnsi="Consolas"/>
          <w:color w:val="1E1E1E"/>
          <w:sz w:val="18"/>
        </w:rPr>
        <w:b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nsolas" w:hAnsi="Consolas"/>
          <w:color w:val="1E1E1E"/>
          <w:sz w:val="18"/>
        </w:rPr>
        <w:br/>
        <w:t xml:space="preserve">   1     waist_circ_cm             Anthropometric   Visceral adiposity → Portal FFA influx</w:t>
      </w:r>
      <w:r>
        <w:rPr>
          <w:rFonts w:ascii="Consolas" w:hAnsi="Consolas"/>
          <w:color w:val="1E1E1E"/>
          <w:sz w:val="18"/>
        </w:rPr>
        <w:br/>
        <w:t xml:space="preserve">   2     bmi                       Anthropometric   Total body fat mass</w:t>
      </w:r>
      <w:r>
        <w:rPr>
          <w:rFonts w:ascii="Consolas" w:hAnsi="Consolas"/>
          <w:color w:val="1E1E1E"/>
          <w:sz w:val="18"/>
        </w:rPr>
        <w:br/>
        <w:t xml:space="preserve">   3     resting_hr_bpm            Autonomic Vitals Sympathetic overactivity in hyperinsulinemia</w:t>
      </w:r>
      <w:r>
        <w:rPr>
          <w:rFonts w:ascii="Consolas" w:hAnsi="Consolas"/>
          <w:color w:val="1E1E1E"/>
          <w:sz w:val="18"/>
        </w:rPr>
        <w:br/>
        <w:t xml:space="preserve">   4     circadian_amplitude       Wearable Cosinor Flatter diurnal curve reflects metabolic dysfunction</w:t>
      </w:r>
      <w:r>
        <w:rPr>
          <w:rFonts w:ascii="Consolas" w:hAnsi="Consolas"/>
          <w:color w:val="1E1E1E"/>
          <w:sz w:val="18"/>
        </w:rPr>
        <w:br/>
        <w:t xml:space="preserve">   5     m10_value                 Wearable NPCRA   Lower daytime activity volume tracks IR</w:t>
      </w:r>
      <w:r>
        <w:rPr>
          <w:rFonts w:ascii="Consolas" w:hAnsi="Consolas"/>
          <w:color w:val="1E1E1E"/>
          <w:sz w:val="18"/>
        </w:rPr>
        <w:br/>
        <w:t xml:space="preserve">   6     age                       Demographic      Cumulative beta-cell exhaustion over time</w:t>
      </w:r>
      <w:r>
        <w:rPr>
          <w:rFonts w:ascii="Consolas" w:hAnsi="Consolas"/>
          <w:color w:val="1E1E1E"/>
          <w:sz w:val="18"/>
        </w:rPr>
        <w:br/>
        <w:t xml:space="preserve">   7     relative_amplitude_RA     Wearable NPCRA   Blunted day-night contrast</w:t>
      </w:r>
      <w:r>
        <w:rPr>
          <w:rFonts w:ascii="Consolas" w:hAnsi="Consolas"/>
          <w:color w:val="1E1E1E"/>
          <w:sz w:val="18"/>
        </w:rPr>
        <w:br/>
        <w:t xml:space="preserve">   8     systolic_bp               Cardiovascular   Vascular endothelial stiffness in dysglycemia</w:t>
      </w:r>
      <w:r>
        <w:rPr>
          <w:rFonts w:ascii="Consolas" w:hAnsi="Consolas"/>
          <w:color w:val="1E1E1E"/>
          <w:sz w:val="18"/>
        </w:rPr>
        <w:br/>
        <w:t xml:space="preserve">   9     mean_nightly_sleep_hours  Wearable Sleep   Sleep deprivation exacerbates cortisol &amp; IR</w:t>
      </w:r>
      <w:r>
        <w:rPr>
          <w:rFonts w:ascii="Consolas" w:hAnsi="Consolas"/>
          <w:color w:val="1E1E1E"/>
          <w:sz w:val="18"/>
        </w:rPr>
        <w:br/>
        <w:t xml:space="preserve">  10     acrophase_sin             Harmonics        Circadian phase shifting</w:t>
      </w:r>
    </w:p>
    <w:p w14:paraId="3A036542" w14:textId="77777777" w:rsidR="00FE6971" w:rsidRDefault="00000000">
      <w:pPr>
        <w:spacing w:after="80"/>
      </w:pPr>
      <w:r>
        <w:t xml:space="preserve">1. </w:t>
      </w:r>
      <w:r>
        <w:rPr>
          <w:b/>
        </w:rPr>
        <w:t>Visceral Adiposity Dominance:</w:t>
      </w:r>
      <w:r>
        <w:t xml:space="preserve"> Waist circumference consistently outranked BMI, confirming that visceral adipose tissue (which drains directly into the liver) is the primary metabolic driver of hepatic insulin resistance.</w:t>
      </w:r>
    </w:p>
    <w:p w14:paraId="2F505CE9" w14:textId="77777777" w:rsidR="00FE6971" w:rsidRDefault="00000000">
      <w:pPr>
        <w:spacing w:after="80"/>
      </w:pPr>
      <w:r>
        <w:t xml:space="preserve">2. </w:t>
      </w:r>
      <w:r>
        <w:rPr>
          <w:b/>
        </w:rPr>
        <w:t>Autonomic Nervous System Fingerprint:</w:t>
      </w:r>
      <w:r>
        <w:t xml:space="preserve"> Resting heart rate was the single most powerful continuous physiological telemetry variable. Elevated resting pulse reflects cardiac autonomic neuropathy and sympathetic nervous system excess.</w:t>
      </w:r>
    </w:p>
    <w:p w14:paraId="39091882" w14:textId="77777777" w:rsidR="00FE6971" w:rsidRDefault="00000000">
      <w:pPr>
        <w:spacing w:after="80"/>
      </w:pPr>
      <w:r>
        <w:t xml:space="preserve">3. </w:t>
      </w:r>
      <w:r>
        <w:rPr>
          <w:b/>
        </w:rPr>
        <w:t>Circadian Diurnal Contrast:</w:t>
      </w:r>
      <w:r>
        <w:t xml:space="preserve"> Lower circadian amplitude and lower relative amplitude (RA) were significantly associated with higher HOMA-IR, validating that circadian disruption is an authentic digital biomarker of metabolic dysfunction.</w:t>
      </w:r>
    </w:p>
    <w:p w14:paraId="2CFE001B" w14:textId="77777777" w:rsidR="00FE6971" w:rsidRDefault="00FE6971">
      <w:pPr>
        <w:spacing w:before="120" w:after="120"/>
      </w:pPr>
    </w:p>
    <w:p w14:paraId="2756CD39" w14:textId="77777777" w:rsidR="00FE6971" w:rsidRDefault="00000000">
      <w:pPr>
        <w:pStyle w:val="Heading2"/>
        <w:spacing w:after="80"/>
      </w:pPr>
      <w:r>
        <w:rPr>
          <w:rFonts w:ascii="Calibri" w:hAnsi="Calibri"/>
          <w:color w:val="2E75B6"/>
          <w:sz w:val="28"/>
        </w:rPr>
        <w:t>8. How We Will Use These Results in Future Work (Phase 2 Bridge)</w:t>
      </w:r>
    </w:p>
    <w:p w14:paraId="480BCD23" w14:textId="77777777" w:rsidR="00FE6971" w:rsidRDefault="00000000">
      <w:pPr>
        <w:spacing w:after="80"/>
      </w:pPr>
      <w:r>
        <w:t>The Phase 1 benchmark is a critical milestone that enables the rest of our project:</w:t>
      </w:r>
    </w:p>
    <w:p w14:paraId="07C991DB" w14:textId="77777777" w:rsidR="00FE6971" w:rsidRDefault="00000000">
      <w:pPr>
        <w:spacing w:after="80"/>
      </w:pPr>
      <w:r>
        <w:t xml:space="preserve">1. </w:t>
      </w:r>
      <w:r>
        <w:rPr>
          <w:b/>
        </w:rPr>
        <w:t>Calibrated Thresholds for Phase 2:</w:t>
      </w:r>
    </w:p>
    <w:p w14:paraId="5AED45BD" w14:textId="77777777" w:rsidR="00FE6971" w:rsidRDefault="00000000">
      <w:pPr>
        <w:spacing w:after="80"/>
      </w:pPr>
      <w:r>
        <w:t xml:space="preserve">   * In Phase 2, our goal is non-invasive 3-class risk screening (</w:t>
      </w:r>
      <w:r>
        <w:rPr>
          <w:b/>
        </w:rPr>
        <w:t>Low Risk Normal vs. Moderate Risk Prediabetes vs. High Risk Insulin Resistant</w:t>
      </w:r>
      <w:r>
        <w:t>).</w:t>
      </w:r>
    </w:p>
    <w:p w14:paraId="5B9952ED" w14:textId="77777777" w:rsidR="00FE6971" w:rsidRDefault="00000000">
      <w:pPr>
        <w:spacing w:after="80"/>
      </w:pPr>
      <w:r>
        <w:t xml:space="preserve">   * The continuous predictions from Phase 1 establish calibrated decision boundaries for probabilistic classification and risk score aggregation.</w:t>
      </w:r>
    </w:p>
    <w:p w14:paraId="240F4430" w14:textId="77777777" w:rsidR="00FE6971" w:rsidRDefault="00000000">
      <w:pPr>
        <w:spacing w:after="80"/>
      </w:pPr>
      <w:r>
        <w:t xml:space="preserve">2. </w:t>
      </w:r>
      <w:r>
        <w:rPr>
          <w:b/>
        </w:rPr>
        <w:t>Feature Pruning for Low-Power Wearable Deployment:</w:t>
      </w:r>
    </w:p>
    <w:p w14:paraId="78B7A31A" w14:textId="77777777" w:rsidR="00FE6971" w:rsidRDefault="00000000">
      <w:pPr>
        <w:spacing w:after="80"/>
      </w:pPr>
      <w:r>
        <w:t xml:space="preserve">   * The feature importance analysis proves that a compact set of 10 features accounts for $&gt; 85\%$ of the predictive power. This directly enables lightweight, on-device smartwatch inference models analogous to Princeton's SweetDeep.</w:t>
      </w:r>
    </w:p>
    <w:p w14:paraId="37F90918" w14:textId="77777777" w:rsidR="00FE6971" w:rsidRDefault="00000000">
      <w:pPr>
        <w:spacing w:after="80"/>
      </w:pPr>
      <w:r>
        <w:t xml:space="preserve">3. </w:t>
      </w:r>
      <w:r>
        <w:rPr>
          <w:b/>
        </w:rPr>
        <w:t>Foundation for Representation Learning:</w:t>
      </w:r>
    </w:p>
    <w:p w14:paraId="67DE9FE1" w14:textId="77777777" w:rsidR="00FE6971" w:rsidRDefault="00000000">
      <w:pPr>
        <w:spacing w:after="80"/>
      </w:pPr>
      <w:r>
        <w:lastRenderedPageBreak/>
        <w:t xml:space="preserve">   * These Phase 1 baseline numbers provide the benchmark against which multi-modal masked autoencoders (MAEs) or 1D-CNN temporal sequence models can be evaluated.</w:t>
      </w:r>
    </w:p>
    <w:p w14:paraId="62A8637C" w14:textId="77777777" w:rsidR="00FE6971" w:rsidRDefault="00FE6971">
      <w:pPr>
        <w:spacing w:before="120" w:after="120"/>
      </w:pPr>
    </w:p>
    <w:p w14:paraId="70FD89B3" w14:textId="77777777" w:rsidR="00FE6971" w:rsidRDefault="00000000">
      <w:pPr>
        <w:pStyle w:val="Heading2"/>
        <w:spacing w:after="80"/>
      </w:pPr>
      <w:r>
        <w:rPr>
          <w:rFonts w:ascii="Calibri" w:hAnsi="Calibri"/>
          <w:color w:val="2E75B6"/>
          <w:sz w:val="28"/>
        </w:rPr>
        <w:t>9. Conclusion</w:t>
      </w:r>
    </w:p>
    <w:p w14:paraId="49988952" w14:textId="77777777" w:rsidR="00FE6971" w:rsidRDefault="00000000">
      <w:pPr>
        <w:spacing w:after="80"/>
      </w:pPr>
      <w:r>
        <w:t>Phase 1 establishes that multi-modal wearable actigraphy, circadian rhythms, resting heart rate, and basic demographics can predict continuous insulin resistance severity (</w:t>
      </w:r>
      <w:r>
        <w:rPr>
          <w:b/>
        </w:rPr>
        <w:t>HOMA-IR: Pearson $r = 0.501$</w:t>
      </w:r>
      <w:r>
        <w:t>, $R^2 = 0.251$) and long-term glycemic burden (</w:t>
      </w:r>
      <w:r>
        <w:rPr>
          <w:b/>
        </w:rPr>
        <w:t>HbA1c: MAE = $0.338\%$</w:t>
      </w:r>
      <w:r>
        <w:t>) on a large cohort of $N = 3,296$ adults. With zero systematic bias and $&gt;96.5\%$ of points within clinical limits of agreement, this confirms the viability of passive digital screening for prediabetes on commercial smartwatches.</w:t>
      </w:r>
    </w:p>
    <w:sectPr w:rsidR="00FE697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253555">
    <w:abstractNumId w:val="8"/>
  </w:num>
  <w:num w:numId="2" w16cid:durableId="1047603682">
    <w:abstractNumId w:val="6"/>
  </w:num>
  <w:num w:numId="3" w16cid:durableId="2055815117">
    <w:abstractNumId w:val="5"/>
  </w:num>
  <w:num w:numId="4" w16cid:durableId="1145126992">
    <w:abstractNumId w:val="4"/>
  </w:num>
  <w:num w:numId="5" w16cid:durableId="868762495">
    <w:abstractNumId w:val="7"/>
  </w:num>
  <w:num w:numId="6" w16cid:durableId="163518504">
    <w:abstractNumId w:val="3"/>
  </w:num>
  <w:num w:numId="7" w16cid:durableId="2045322500">
    <w:abstractNumId w:val="2"/>
  </w:num>
  <w:num w:numId="8" w16cid:durableId="1471483743">
    <w:abstractNumId w:val="1"/>
  </w:num>
  <w:num w:numId="9" w16cid:durableId="162184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F22"/>
    <w:rsid w:val="00326F90"/>
    <w:rsid w:val="005B06AF"/>
    <w:rsid w:val="00976921"/>
    <w:rsid w:val="00A7015B"/>
    <w:rsid w:val="00AA1D8D"/>
    <w:rsid w:val="00B47730"/>
    <w:rsid w:val="00CB0664"/>
    <w:rsid w:val="00FC693F"/>
    <w:rsid w:val="00FE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8817AD"/>
  <w14:defaultImageDpi w14:val="300"/>
  <w15:docId w15:val="{983DE52B-C38A-4A53-8E2F-C95C69F2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2431</Words>
  <Characters>13857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Sarvagya Tiwari</cp:lastModifiedBy>
  <cp:revision>2</cp:revision>
  <dcterms:created xsi:type="dcterms:W3CDTF">2013-12-23T23:15:00Z</dcterms:created>
  <dcterms:modified xsi:type="dcterms:W3CDTF">2026-09-13T22:05:00Z</dcterms:modified>
  <cp:category/>
</cp:coreProperties>
</file>