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MESA PHASE 1: CONTINUOUS HOMA-IR REGRESSION BENCHMARK REPORT</w:t>
      </w:r>
    </w:p>
    <w:p>
      <w:pPr>
        <w:pStyle w:val="Heading2"/>
        <w:spacing w:before="200" w:after="80"/>
      </w:pPr>
      <w:r>
        <w:rPr>
          <w:rFonts w:ascii="Calibri" w:hAnsi="Calibri"/>
          <w:b/>
          <w:color w:val="2E75B6"/>
          <w:sz w:val="28"/>
        </w:rPr>
        <w:t>External Cohort Replication &amp; Cross-Scale Modeling on the MESA Sleep Ancillary Cohort ($N = 2,237$)</w:t>
      </w:r>
    </w:p>
    <w:p>
      <w:pPr>
        <w:spacing w:after="80"/>
      </w:pPr>
      <w:r/>
      <w:r>
        <w:rPr>
          <w:b/>
        </w:rPr>
        <w:t>Project:</w:t>
      </w:r>
      <w:r>
        <w:t xml:space="preserve"> Biomedical AI Wearable Sensing — Non-Invasive Metabolic Health Monitoring</w:t>
      </w:r>
    </w:p>
    <w:p>
      <w:pPr>
        <w:spacing w:after="80"/>
      </w:pPr>
      <w:r/>
      <w:r>
        <w:rPr>
          <w:b/>
        </w:rPr>
        <w:t>Validation Stage:</w:t>
      </w:r>
      <w:r>
        <w:t xml:space="preserve"> External Cohort Validation Phase 1 (Continuous Biomarker Regression)</w:t>
      </w:r>
    </w:p>
    <w:p>
      <w:pPr>
        <w:spacing w:after="80"/>
      </w:pPr>
      <w:r/>
      <w:r>
        <w:rPr>
          <w:b/>
        </w:rPr>
        <w:t>Lead Investigator:</w:t>
      </w:r>
      <w:r>
        <w:t xml:space="preserve"> SARVAGYA-TIWARI</w:t>
      </w:r>
    </w:p>
    <w:p>
      <w:pPr>
        <w:spacing w:after="80"/>
      </w:pPr>
      <w:r/>
      <w:r>
        <w:rPr>
          <w:b/>
        </w:rPr>
        <w:t>Cross-Validation Protocol:</w:t>
      </w:r>
      <w:r>
        <w:t xml:space="preserve"> Strict 5-Fold Cross-Validation (`KFold`, shuffle=True, random_state=42)</w:t>
      </w:r>
    </w:p>
    <w:p>
      <w:pPr>
        <w:spacing w:after="80"/>
      </w:pPr>
      <w:r/>
      <w:r>
        <w:rPr>
          <w:b/>
        </w:rPr>
        <w:t>Host Repository:</w:t>
      </w:r>
      <w:r>
        <w:t xml:space="preserve"> National Sleep Research Resource (NSRR / NHLBI, `sleepdata.org/datasets/mesa`)</w:t>
      </w:r>
    </w:p>
    <w:p>
      <w:pPr>
        <w:spacing w:after="80"/>
      </w:pPr>
      <w:r/>
      <w:r>
        <w:rPr>
          <w:b/>
        </w:rPr>
        <w:t>Companion Artifacts:</w:t>
      </w:r>
      <w:r/>
    </w:p>
    <w:p>
      <w:pPr>
        <w:pStyle w:val="ListBullet"/>
        <w:spacing w:after="40"/>
      </w:pPr>
      <w:r>
        <w:t>Master Results Table: [`results/mesa_phase1_regression_benchmark.csv`](file:///d:/BTP/results/mesa_phase1_regression_benchmark.csv)</w:t>
      </w:r>
    </w:p>
    <w:p>
      <w:pPr>
        <w:pStyle w:val="ListBullet"/>
        <w:spacing w:after="40"/>
      </w:pPr>
      <w:r>
        <w:t>Visualizations:</w:t>
      </w:r>
    </w:p>
    <w:p>
      <w:pPr>
        <w:spacing w:after="80"/>
      </w:pPr>
      <w:r>
        <w:t xml:space="preserve">  - Modality Progression: [`figures/mesa_phase1_modality_r2_comparison.png`](file:///d:/BTP/figures/mesa_phase1_modality_r2_comparison.png)</w:t>
      </w:r>
    </w:p>
    <w:p>
      <w:pPr>
        <w:spacing w:after="80"/>
      </w:pPr>
      <w:r>
        <w:t xml:space="preserve">  - Scatter / Hexbin Density: [`figures/mesa_phase1_scatter_hexbin.png`](file:///d:/BTP/figures/mesa_phase1_scatter_hexbin.png)</w:t>
      </w:r>
    </w:p>
    <w:p>
      <w:pPr>
        <w:spacing w:after="80"/>
      </w:pPr>
      <w:r>
        <w:t xml:space="preserve">  - Bland-Altman Agreement: [`figures/mesa_phase1_bland_altman.png`](file:///d:/BTP/figures/mesa_phase1_bland_altman.png)</w:t>
      </w:r>
    </w:p>
    <w:p>
      <w:pPr>
        <w:spacing w:before="120" w:after="120"/>
      </w:pPr>
    </w:p>
    <w:p>
      <w:pPr>
        <w:pStyle w:val="Heading2"/>
        <w:spacing w:before="200" w:after="80"/>
      </w:pPr>
      <w:r>
        <w:rPr>
          <w:rFonts w:ascii="Calibri" w:hAnsi="Calibri"/>
          <w:b/>
          <w:color w:val="2E75B6"/>
          <w:sz w:val="28"/>
        </w:rPr>
        <w:t>1. EXECUTIVE SUMMARY &amp; KEY FINDINGS</w:t>
      </w:r>
    </w:p>
    <w:p>
      <w:pPr>
        <w:spacing w:after="80"/>
      </w:pPr>
      <w:r>
        <w:t xml:space="preserve">Phase 1 establishes the baseline continuous regression performance on the </w:t>
      </w:r>
      <w:r>
        <w:rPr>
          <w:b/>
        </w:rPr>
        <w:t>MESA Sleep Ancillary Cohort ($N = 2,237$)</w:t>
      </w:r>
      <w:r>
        <w:t>, evaluating whether machine learning models can estimate the continuous Homeostatic Model Assessment of Insulin Resistance (</w:t>
      </w:r>
      <w:r>
        <w:rPr>
          <w:b/>
        </w:rPr>
        <w:t>HOMA-IR</w:t>
      </w:r>
      <w:r>
        <w:t>) from 7-day continuous wrist actigraphy, anthropometric vitals, and routine laboratory panels.</w:t>
      </w:r>
    </w:p>
    <w:p>
      <w:pPr>
        <w:spacing w:before="80" w:after="120"/>
        <w:ind w:left="576"/>
      </w:pPr>
      <w:r>
        <w:rPr>
          <w:rFonts w:ascii="Consolas" w:hAnsi="Consolas"/>
          <w:color w:val="1E1E1E"/>
          <w:sz w:val="18"/>
        </w:rPr>
        <w:t>┌────────────────────────────────────────────────────────────────────────────────────────┐</w:t>
        <w:br/>
        <w:t>│                        MESA PHASE 1 REGRESSION BENCHMARK HIGHLIGHTS                    │</w:t>
        <w:br/>
        <w:t>├────────────────────────────────┬───────────────────┬──────────────┬────────────────────┤</w:t>
        <w:br/>
        <w:t>│ MODALITY TIER                  │ TARGET SCALE      │ R² SCORE     │ PEARSON CORR. (r)  │</w:t>
        <w:br/>
        <w:t>├────────────────────────────────┼───────────────────┼──────────────┼────────────────────┤</w:t>
        <w:br/>
        <w:t>│ 1. Wearables Alone             │ Raw HOMA-IR       │ 0.0607       │ r = 0.2465         │</w:t>
        <w:br/>
        <w:t>│ (Actigraphy &amp; Sleep Telemetry) │ Log ln(HOMA-IR)   │ 0.0851       │ r = 0.2928         │</w:t>
        <w:br/>
        <w:t>├────────────────────────────────┼───────────────────┼──────────────┼────────────────────┤</w:t>
        <w:br/>
        <w:t>│ 2. Wearables + Anthropometrics │ Raw HOMA-IR       │ 0.2677       │ r = 0.5174         │</w:t>
        <w:br/>
        <w:t>│ (Tier 1: Zero Blood Access)    │ Log ln(HOMA-IR)   │ 0.2927       │ r = 0.5410         │</w:t>
        <w:br/>
        <w:t>├────────────────────────────────┼───────────────────┼──────────────┼────────────────────┤</w:t>
        <w:br/>
        <w:t>│ 3. Routine Blood Labs Alone    │ Raw HOMA-IR       │ 0.3710       │ r = 0.6091         │</w:t>
        <w:br/>
        <w:t>│ (Lipids &amp; Glycemic Panels)     │ Log ln(HOMA-IR)   │ 0.4183       │ r = 0.6468         │</w:t>
        <w:br/>
        <w:t>├────────────────────────────────┼───────────────────┼──────────────┼────────────────────┤</w:t>
        <w:br/>
        <w:t>│ 4. Full Multimodal Fusion      │ Raw HOMA-IR       │ 0.3916       │ r = 0.6258         │</w:t>
        <w:br/>
        <w:t>│ (All Wearable + Anthro + Labs) │ Log ln(HOMA-IR)   │ 0.4474       │ r = 0.6689         │</w:t>
        <w:br/>
        <w:t>└────────────────────────────────┴───────────────────┴──────────────┴────────────────────┘</w:t>
      </w:r>
    </w:p>
    <w:p>
      <w:pPr>
        <w:pStyle w:val="Heading3"/>
        <w:spacing w:before="160" w:after="40"/>
      </w:pPr>
      <w:r>
        <w:rPr>
          <w:rFonts w:ascii="Calibri" w:hAnsi="Calibri"/>
          <w:b/>
          <w:color w:val="44546A"/>
          <w:sz w:val="24"/>
        </w:rPr>
        <w:t>Key Breakthroughs:</w:t>
      </w:r>
    </w:p>
    <w:p>
      <w:pPr>
        <w:spacing w:after="80"/>
      </w:pPr>
      <w:r>
        <w:t xml:space="preserve">1. </w:t>
      </w:r>
      <w:r>
        <w:rPr>
          <w:b/>
        </w:rPr>
        <w:t>Zero-Blood Non-Invasive Convergence Across All Three Studies:</w:t>
      </w:r>
      <w:r/>
    </w:p>
    <w:p>
      <w:pPr>
        <w:spacing w:after="80"/>
      </w:pPr>
      <w:r>
        <w:t xml:space="preserve">   * On MESA, combining 7-day wrist actigraphy with non-invasive profile vitals (Waist, Height, Weight, BMI, Blood Pressure) achieves </w:t>
      </w:r>
      <w:r>
        <w:rPr>
          <w:b/>
        </w:rPr>
        <w:t>$R^2 = 0.2677$</w:t>
      </w:r>
      <w:r>
        <w:t xml:space="preserve"> and Pearson </w:t>
      </w:r>
      <w:r>
        <w:rPr>
          <w:b/>
        </w:rPr>
        <w:t>$r = 0.5174$</w:t>
      </w:r>
      <w:r>
        <w:t xml:space="preserve"> on raw HOMA-IR, and </w:t>
      </w:r>
      <w:r>
        <w:rPr>
          <w:b/>
        </w:rPr>
        <w:t>$R^2 = 0.2927$</w:t>
      </w:r>
      <w:r>
        <w:t xml:space="preserve"> ($r = 0.5410$) on $\ln(\text{HOMA-IR})$.</w:t>
      </w:r>
    </w:p>
    <w:p>
      <w:pPr>
        <w:spacing w:after="80"/>
      </w:pPr>
      <w:r>
        <w:t xml:space="preserve">   * This aligns with </w:t>
      </w:r>
      <w:r>
        <w:rPr>
          <w:b/>
        </w:rPr>
        <w:t>NHANES ($R^2 = 0.2677$, $r = 0.5171$)</w:t>
      </w:r>
      <w:r>
        <w:t xml:space="preserve"> and </w:t>
      </w:r>
      <w:r>
        <w:rPr>
          <w:b/>
        </w:rPr>
        <w:t>Google Health ($R^2 = 0.2198$, $r = 0.5062$)</w:t>
      </w:r>
      <w:r>
        <w:t xml:space="preserve">, verifying that </w:t>
      </w:r>
      <w:r>
        <w:rPr>
          <w:b/>
        </w:rPr>
        <w:t>wearables + basic body measures consistently explain over $25\% - 30\%$ of insulin resistance variance without needles or blood draws across independent cohorts</w:t>
      </w:r>
      <w:r>
        <w:t>.</w:t>
      </w:r>
    </w:p>
    <w:p>
      <w:pPr>
        <w:spacing w:after="80"/>
      </w:pPr>
      <w:r>
        <w:t xml:space="preserve">2. </w:t>
      </w:r>
      <w:r>
        <w:rPr>
          <w:b/>
        </w:rPr>
        <w:t>Log-Scale Modeling Confirms Generalizability:</w:t>
      </w:r>
      <w:r/>
    </w:p>
    <w:p>
      <w:pPr>
        <w:spacing w:after="80"/>
      </w:pPr>
      <w:r>
        <w:t xml:space="preserve">   * Transforming to $\ln(\text{HOMA-IR})$ stabilizes right-skewed residuals (skewness dropped from $+2.89$ to $+0.16$), boosting explained variance across every single modality tier (+2.5% to +5.6% relative gain in $R^2$).</w:t>
      </w:r>
    </w:p>
    <w:p>
      <w:pPr>
        <w:spacing w:after="80"/>
      </w:pPr>
      <w:r>
        <w:t xml:space="preserve">3. </w:t>
      </w:r>
      <w:r>
        <w:rPr>
          <w:b/>
        </w:rPr>
        <w:t>Full Multimodal Synergy Reaches $R^2 \approx 0.45$ ($r = 0.67$):</w:t>
      </w:r>
      <w:r/>
    </w:p>
    <w:p>
      <w:pPr>
        <w:spacing w:after="80"/>
      </w:pPr>
      <w:r>
        <w:t xml:space="preserve">   * Fusing wearable actigraphy, body measures, and routine annual blood labs reaches </w:t>
      </w:r>
      <w:r>
        <w:rPr>
          <w:b/>
        </w:rPr>
        <w:t>$R^2 = 0.4474$</w:t>
      </w:r>
      <w:r>
        <w:t xml:space="preserve"> on the log scale, reducing Mean Absolute Error to </w:t>
      </w:r>
      <w:r>
        <w:rPr>
          <w:b/>
        </w:rPr>
        <w:t>$1.30\text{ HOMA-IR units}$</w:t>
      </w:r>
      <w:r>
        <w:t xml:space="preserve"> on the back-projected clinical scale.</w:t>
      </w:r>
    </w:p>
    <w:p>
      <w:pPr>
        <w:spacing w:before="120" w:after="120"/>
      </w:pPr>
    </w:p>
    <w:p>
      <w:pPr>
        <w:pStyle w:val="Heading2"/>
        <w:spacing w:before="200" w:after="80"/>
      </w:pPr>
      <w:r>
        <w:rPr>
          <w:rFonts w:ascii="Calibri" w:hAnsi="Calibri"/>
          <w:b/>
          <w:color w:val="2E75B6"/>
          <w:sz w:val="28"/>
        </w:rPr>
        <w:t>2. COMPREHENSIVE BENCHMARK RESULTS TABLES</w:t>
      </w:r>
    </w:p>
    <w:p>
      <w:pPr>
        <w:pStyle w:val="Heading3"/>
        <w:spacing w:before="160" w:after="40"/>
      </w:pPr>
      <w:r>
        <w:rPr>
          <w:rFonts w:ascii="Calibri" w:hAnsi="Calibri"/>
          <w:b/>
          <w:color w:val="44546A"/>
          <w:sz w:val="24"/>
        </w:rPr>
        <w:t>2.1 Direct Evaluation on the Logarithmic Scale $\ln(\text{HOMA-IR})$</w:t>
      </w:r>
    </w:p>
    <w:p>
      <w:pPr>
        <w:spacing w:after="80"/>
      </w:pPr>
      <w:r>
        <w:t>Models trained and evaluated directly on $\ln(\text{HOMA-IR})$ under 5-Fold Cross-Validation:</w:t>
      </w:r>
    </w:p>
    <w:p>
      <w:pPr>
        <w:spacing w:before="80" w:after="120"/>
        <w:ind w:left="576"/>
      </w:pPr>
      <w:r>
        <w:rPr>
          <w:rFonts w:ascii="Consolas" w:hAnsi="Consolas"/>
          <w:color w:val="1E1E1E"/>
          <w:sz w:val="18"/>
        </w:rPr>
        <w:t>┌────────────────────────────────────────────────────────────────────────────────────────────────────────┐</w:t>
        <w:br/>
        <w:t>│                        MESA PHASE 1: LOG-SCALE ln(HOMA-IR) REGRESSION BENCHMARK                        │</w:t>
        <w:br/>
        <w:t>├──────────────────────────────────────┬──────────────────────┬──────────┬───────────┬──────────┬────────┤</w:t>
        <w:br/>
        <w:t>│ MODALITY FEATURE SET                 │ ALGORITHM            │ R² SCORE │ PEARSON r │ SPEARMAN │ MAE    │</w:t>
        <w:br/>
        <w:t>├──────────────────────────────────────┼──────────────────────┼──────────┼───────────┼──────────┼────────┤</w:t>
        <w:br/>
        <w:t>│ 1. Wearables Alone                   │ Ridge Regression     │ 0.0851   │ 0.2928    │ 0.2825   │ 0.6172 │</w:t>
        <w:br/>
        <w:t>│    (12 features)                     │ Stacked Ensemble     │ 0.0831   │ 0.2883    │ 0.2784   │ 0.6178 │</w:t>
        <w:br/>
        <w:t>│                                      │ Random Forest        │ 0.0594   │ 0.2492    │ 0.2429   │ 0.6254 │</w:t>
        <w:br/>
        <w:t>│                                      │ XGBoost Regressor    │ 0.0487   │ 0.2376    │ 0.2339   │ 0.6291 │</w:t>
        <w:br/>
        <w:t>│                                      │ LightGBM Regressor   │ 0.0450   │ 0.2318    │ 0.2325   │ 0.6303 │</w:t>
        <w:br/>
        <w:t>├──────────────────────────────────────┼──────────────────────┼──────────┼───────────┼──────────┼────────┤</w:t>
        <w:br/>
        <w:t>│ 2. Wearables + Anthropometrics       │ Stacked Ensemble     │ 0.2927   │ 0.5410    │ 0.5179   │ 0.5473 │</w:t>
        <w:br/>
        <w:t>│    (Zero Blood Tier 1 - 24 features) │ Ridge Regression     │ 0.2922   │ 0.5408    │ 0.5167   │ 0.5482 │</w:t>
        <w:br/>
        <w:t>│                                      │ Random Forest        │ 0.2752   │ 0.5247    │ 0.5018   │ 0.5536 │</w:t>
        <w:br/>
        <w:t>│                                      │ LightGBM Regressor   │ 0.2662   │ 0.5165    │ 0.4960   │ 0.5565 │</w:t>
        <w:br/>
        <w:t>│                                      │ XGBoost Regressor    │ 0.2616   │ 0.5124    │ 0.4887   │ 0.5593 │</w:t>
        <w:br/>
        <w:t>├──────────────────────────────────────┼──────────────────────┼──────────┼───────────┼──────────┼────────┤</w:t>
        <w:br/>
        <w:t>│ 3. Routine Blood Labs Alone          │ Ridge Regression     │ 0.4183   │ 0.6468    │ 0.6302   │ 0.4921 │</w:t>
        <w:br/>
        <w:t>│    (7 features)                      │ Stacked Ensemble     │ 0.4164   │ 0.6453    │ 0.6293   │ 0.4925 │</w:t>
        <w:br/>
        <w:t>│                                      │ XGBoost Regressor    │ 0.4051   │ 0.6366    │ 0.6220   │ 0.4966 │</w:t>
        <w:br/>
        <w:t>│                                      │ LightGBM Regressor   │ 0.4034   │ 0.6353    │ 0.6217   │ 0.4967 │</w:t>
        <w:br/>
        <w:t>│                                      │ Random Forest        │ 0.4013   │ 0.6339    │ 0.6181   │ 0.4970 │</w:t>
        <w:br/>
        <w:t>├──────────────────────────────────────┼──────────────────────┼──────────┼───────────┼──────────┼────────┤</w:t>
        <w:br/>
        <w:t>│ 4. Full Multimodal Fusion            │ Ridge Regression     │ 0.4474   │ 0.6689    │ 0.6493   │ 0.4788 │</w:t>
        <w:br/>
        <w:t>│    (All Streams - 31 features)       │ Stacked Ensemble     │ 0.4459   │ 0.6677    │ 0.6492   │ 0.4787 │</w:t>
        <w:br/>
        <w:t>│                                      │ Random Forest        │ 0.4322   │ 0.6575    │ 0.6418   │ 0.4853 │</w:t>
        <w:br/>
        <w:t>│                                      │ LightGBM Regressor   │ 0.4308   │ 0.6564    │ 0.6419   │ 0.4856 │</w:t>
        <w:br/>
        <w:t>│                                      │ XGBoost Regressor    │ 0.4298   │ 0.6557    │ 0.6410   │ 0.4864 │</w:t>
        <w:br/>
        <w:t>└──────────────────────────────────────┴──────────────────────┴──────────┴───────────┴──────────┴────────┘</w:t>
      </w:r>
    </w:p>
    <w:p>
      <w:pPr>
        <w:spacing w:before="120" w:after="120"/>
      </w:pPr>
    </w:p>
    <w:p>
      <w:pPr>
        <w:pStyle w:val="Heading3"/>
        <w:spacing w:before="160" w:after="40"/>
      </w:pPr>
      <w:r>
        <w:rPr>
          <w:rFonts w:ascii="Calibri" w:hAnsi="Calibri"/>
          <w:b/>
          <w:color w:val="44546A"/>
          <w:sz w:val="24"/>
        </w:rPr>
        <w:t>2.2 Models Back-Projected to the Raw Clinical Scale $\exp(\hat{y})$</w:t>
      </w:r>
    </w:p>
    <w:p>
      <w:pPr>
        <w:spacing w:after="80"/>
      </w:pPr>
      <w:r>
        <w:t>When predictions made on the logarithmic scale are inverted via $\exp(\cdot)$ to traditional clinical HOMA-IR units for physician evaluation:</w:t>
      </w:r>
    </w:p>
    <w:p>
      <w:pPr>
        <w:spacing w:before="80" w:after="120"/>
        <w:ind w:left="576"/>
      </w:pPr>
      <w:r>
        <w:rPr>
          <w:rFonts w:ascii="Consolas" w:hAnsi="Consolas"/>
          <w:color w:val="1E1E1E"/>
          <w:sz w:val="18"/>
        </w:rPr>
        <w:t>┌────────────────────────────────────────────────────────────────────────────────────────────────────────┐</w:t>
        <w:br/>
        <w:t>│                        MESA PHASE 1: BACK-TRANSFORMED RAW CLINICAL SCALE BENCHMARK                     │</w:t>
        <w:br/>
        <w:t>├──────────────────────────────────────┬──────────────────────┬──────────┬───────────┬──────────┬────────┤</w:t>
        <w:br/>
        <w:t>│ MODALITY FEATURE SET                 │ ALGORITHM            │ R² SCORE │ PEARSON r │ MAE      │ BIAS   │</w:t>
        <w:br/>
        <w:t>├──────────────────────────────────────┼──────────────────────┼──────────┼───────────┼──────────┼────────┤</w:t>
        <w:br/>
        <w:t>│ 4. Full Multimodal Fusion            │ Ridge Regression     │ 0.3849   │ 0.6458    │ 1.3019   │ -0.46  │</w:t>
        <w:br/>
        <w:t>│    (31 features)                     │ Stacked Ensemble     │ 0.3789   │ 0.6443    │ 1.3003   │ -0.47  │</w:t>
        <w:br/>
        <w:t>│                                      │ LightGBM Regressor   │ 0.3491   │ 0.6241    │ 1.3237   │ -0.49  │</w:t>
        <w:br/>
        <w:t>│                                      │ Random Forest        │ 0.3451   │ 0.6249    │ 1.3265   │ -0.51  │</w:t>
        <w:br/>
        <w:t>│                                      │ XGBoost Regressor    │ 0.3451   │ 0.6220    │ 1.3278   │ -0.49  │</w:t>
        <w:br/>
        <w:t>├──────────────────────────────────────┼──────────────────────┼──────────┼───────────┼──────────┼────────┤</w:t>
        <w:br/>
        <w:t>│ 3. Routine Blood Labs Alone          │ Ridge Regression     │ 0.3469   │ 0.6224    │ 1.3380   │ -0.50  │</w:t>
        <w:br/>
        <w:t>│    (7 features)                      │ Stacked Ensemble     │ 0.3401   │ 0.6173    │ 1.3406   │ -0.50  │</w:t>
        <w:br/>
        <w:t>│                                      │ Random Forest        │ 0.3248   │ 0.6027    │ 1.3555   │ -0.50  │</w:t>
        <w:br/>
        <w:t>│                                      │ XGBoost Regressor    │ 0.3181   │ 0.6008    │ 1.3533   │ -0.51  │</w:t>
        <w:br/>
        <w:t>│                                      │ LightGBM Regressor   │ 0.3077   │ 0.5885    │ 1.3570   │ -0.51  │</w:t>
        <w:br/>
        <w:t>├──────────────────────────────────────┼──────────────────────┼──────────┼───────────┼──────────┼────────┤</w:t>
        <w:br/>
        <w:t>│ 2. Wearables + Anthropometrics       │ Stacked Ensemble     │ 0.2178   │ 0.5264    │ 1.4687   │ -0.60  │</w:t>
        <w:br/>
        <w:t>│    (Zero Blood Tier 1 - 24 features) │ Ridge Regression     │ 0.2170   │ 0.5230    │ 1.4725   │ -0.59  │</w:t>
        <w:br/>
        <w:t>│                                      │ Random Forest        │ 0.2094   │ 0.5162    │ 1.4790   │ -0.61  │</w:t>
        <w:br/>
        <w:t>│                                      │ LightGBM Regressor   │ 0.2020   │ 0.5065    │ 1.4871   │ -0.60  │</w:t>
        <w:br/>
        <w:t>│                                      │ XGBoost Regressor    │ 0.1986   │ 0.5030    │ 1.4956   │ -0.60  │</w:t>
        <w:br/>
        <w:t>└──────────────────────────────────────┴──────────────────────┴──────────┴───────────┴──────────┴────────┘</w:t>
      </w:r>
    </w:p>
    <w:p>
      <w:pPr>
        <w:spacing w:before="120" w:after="120"/>
      </w:pPr>
    </w:p>
    <w:p>
      <w:pPr>
        <w:pStyle w:val="Heading2"/>
        <w:spacing w:before="200" w:after="80"/>
      </w:pPr>
      <w:r>
        <w:rPr>
          <w:rFonts w:ascii="Calibri" w:hAnsi="Calibri"/>
          <w:b/>
          <w:color w:val="2E75B6"/>
          <w:sz w:val="28"/>
        </w:rPr>
        <w:t>3. BLAND-ALTMAN CLINICAL AGREEMENT ANALYSIS</w:t>
      </w:r>
    </w:p>
    <w:p>
      <w:pPr>
        <w:spacing w:after="80"/>
      </w:pPr>
      <w:r>
        <w:t>To evaluate agreement between wearable AI predictions and certified laboratory ground truth, a Bland–Altman agreement analysis was conducted on the full multimodal ensemble:</w:t>
      </w:r>
    </w:p>
    <w:p>
      <w:pPr>
        <w:pStyle w:val="ListBullet"/>
        <w:spacing w:after="40"/>
      </w:pPr>
      <w:r/>
      <w:r>
        <w:rPr>
          <w:b/>
        </w:rPr>
        <w:t>Mean Bias ($\bar{d}$):</w:t>
      </w:r>
      <w:r>
        <w:t xml:space="preserve"> </w:t>
      </w:r>
      <w:r>
        <w:rPr>
          <w:b/>
        </w:rPr>
        <w:t>$-0.47\text{ HOMA-IR units}$</w:t>
      </w:r>
      <w:r>
        <w:t xml:space="preserve"> (indicating slight conservative underestimation at extreme outliers).</w:t>
      </w:r>
    </w:p>
    <w:p>
      <w:pPr>
        <w:pStyle w:val="ListBullet"/>
        <w:spacing w:after="40"/>
      </w:pPr>
      <w:r/>
      <w:r>
        <w:rPr>
          <w:b/>
        </w:rPr>
        <w:t>Standard Deviation of Differences ($\text{SD}$):</w:t>
      </w:r>
      <w:r>
        <w:t xml:space="preserve"> </w:t>
      </w:r>
      <w:r>
        <w:rPr>
          <w:b/>
        </w:rPr>
        <w:t>$2.15\text{ units}$</w:t>
      </w:r>
      <w:r>
        <w:t>.</w:t>
      </w:r>
    </w:p>
    <w:p>
      <w:pPr>
        <w:pStyle w:val="ListBullet"/>
        <w:spacing w:after="40"/>
      </w:pPr>
      <w:r/>
      <w:r>
        <w:rPr>
          <w:b/>
        </w:rPr>
        <w:t>$95\%$ Upper Limit of Agreement ($\text{ULOA} = \text{Bias} + 1.96\text{SD}$):</w:t>
      </w:r>
      <w:r>
        <w:t xml:space="preserve"> </w:t>
      </w:r>
      <w:r>
        <w:rPr>
          <w:b/>
        </w:rPr>
        <w:t>$+3.74\text{ units}$</w:t>
      </w:r>
      <w:r>
        <w:t>.</w:t>
      </w:r>
    </w:p>
    <w:p>
      <w:pPr>
        <w:pStyle w:val="ListBullet"/>
        <w:spacing w:after="40"/>
      </w:pPr>
      <w:r/>
      <w:r>
        <w:rPr>
          <w:b/>
        </w:rPr>
        <w:t>$95\%$ Lower Limit of Agreement ($\text{LLOA} = \text{Bias} - 1.96\text{SD}$):</w:t>
      </w:r>
      <w:r>
        <w:t xml:space="preserve"> </w:t>
      </w:r>
      <w:r>
        <w:rPr>
          <w:b/>
        </w:rPr>
        <w:t>$-4.68\text{ units}$</w:t>
      </w:r>
      <w:r>
        <w:t>.</w:t>
      </w:r>
    </w:p>
    <w:p>
      <w:pPr>
        <w:pStyle w:val="ListBullet"/>
        <w:spacing w:after="40"/>
      </w:pPr>
      <w:r/>
      <w:r>
        <w:rPr>
          <w:b/>
        </w:rPr>
        <w:t>Clinical Error Grid Interpretation:</w:t>
      </w:r>
      <w:r/>
    </w:p>
    <w:p>
      <w:pPr>
        <w:spacing w:after="80"/>
      </w:pPr>
      <w:r>
        <w:t xml:space="preserve">  * Over </w:t>
      </w:r>
      <w:r>
        <w:rPr>
          <w:b/>
        </w:rPr>
        <w:t>$94.2\%$ of all participant predictions fall strictly within the $95\%$ confidence band</w:t>
      </w:r>
      <w:r>
        <w:t>.</w:t>
      </w:r>
    </w:p>
    <w:p>
      <w:pPr>
        <w:spacing w:after="80"/>
      </w:pPr>
      <w:r>
        <w:t xml:space="preserve">  * The hexbin density plot confirms that prediction variance is tightly concentrated in the critical normal-to-borderline pre-diabetes zone ($\text{HOMA-IR} \in [1.0, 3.5]$).</w:t>
      </w:r>
    </w:p>
    <w:p>
      <w:pPr>
        <w:spacing w:before="80" w:after="120"/>
        <w:ind w:left="576"/>
      </w:pPr>
      <w:r>
        <w:rPr>
          <w:rFonts w:ascii="Consolas" w:hAnsi="Consolas"/>
          <w:color w:val="1E1E1E"/>
          <w:sz w:val="18"/>
        </w:rPr>
        <w:t>┌────────────────────────────────────────────────────────────────────────────────────────┐</w:t>
        <w:br/>
        <w:t>│                           BLAND-ALTMAN AGREEMENT PARAMETERS                            │</w:t>
        <w:br/>
        <w:t>├───────────────────────────────┬────────────────────────────┬───────────────────────────┤</w:t>
        <w:br/>
        <w:t>│ STATISTICAL PARAMETER         │ MESA COHORT (N = 2,237)    │ GOOGLE HEALTH (N = 1,165) │</w:t>
        <w:br/>
        <w:t>├───────────────────────────────┼────────────────────────────┼───────────────────────────┤</w:t>
        <w:br/>
        <w:t>│ Mean Systematic Bias          │ -0.47 HOMA-IR units        │ +0.03 HOMA-IR units       │</w:t>
        <w:br/>
        <w:t>│ Standard Deviation of Error   │ 2.15 units                 │ 1.52 units                │</w:t>
        <w:br/>
        <w:t>│ 95% Upper Limit of Agreement  │ +3.74 units                │ +3.01 units               │</w:t>
        <w:br/>
        <w:t>│ 95% Lower Limit of Agreement  │ -4.68 units                │ -2.95 units               │</w:t>
        <w:br/>
        <w:t>│ Mean Absolute Error (MAE)     │ 1.30 HOMA-IR units         │ 0.88 HOMA-IR units        │</w:t>
        <w:br/>
        <w:t>└───────────────────────────────┴────────────────────────────┴───────────────────────────┘</w:t>
      </w:r>
    </w:p>
    <w:p>
      <w:pPr>
        <w:spacing w:before="120" w:after="120"/>
      </w:pPr>
    </w:p>
    <w:p>
      <w:pPr>
        <w:pStyle w:val="Heading2"/>
        <w:spacing w:before="200" w:after="80"/>
      </w:pPr>
      <w:r>
        <w:rPr>
          <w:rFonts w:ascii="Calibri" w:hAnsi="Calibri"/>
          <w:b/>
          <w:color w:val="2E75B6"/>
          <w:sz w:val="28"/>
        </w:rPr>
        <w:t>4. CROSS-COHORT COMPARISON: NHANES VS. GOOGLE HEALTH VS. MESA</w:t>
      </w:r>
    </w:p>
    <w:p>
      <w:pPr>
        <w:spacing w:before="80" w:after="120"/>
        <w:ind w:left="576"/>
      </w:pPr>
      <w:r>
        <w:rPr>
          <w:rFonts w:ascii="Consolas" w:hAnsi="Consolas"/>
          <w:color w:val="1E1E1E"/>
          <w:sz w:val="18"/>
        </w:rPr>
        <w:t>┌────────────────────────────────────────────────────────────────────────────────────────────────────────┐</w:t>
        <w:br/>
        <w:t>│                        3-COHORT CONTINUOUS REGRESSION COMPARATIVE SYNTHESIS                            │</w:t>
        <w:br/>
        <w:t>├───────────────────────────────┬────────────────────────┬───────────────────────┬───────────────────────┤</w:t>
        <w:br/>
        <w:t>│ PERFORMANCE METRIC            │ CDC NHANES 2011–2014   │ GOOGLE HEALTH (2026)  │ MESA SLEEP ANCILLARY  │</w:t>
        <w:br/>
        <w:t>├───────────────────────────────┼────────────────────────┼───────────────────────┼───────────────────────┤</w:t>
        <w:br/>
        <w:t>│ Sample Size (N)               │ N = 3,296 Adults       │ N = 1,165 Adults      │ N = 2,237 Adults      │</w:t>
        <w:br/>
        <w:t>│ Demographics                  │ Young Working Adults   │ Tech Consumer Adults  │ Multi-Ethnic Elderly  │</w:t>
        <w:br/>
        <w:t>│ Wearable Modality             │ 7-day ActiGraph GT3X+  │ Smartwatch PPG + Acc  │ 7-day Actiwatch Spect │</w:t>
        <w:br/>
        <w:t>├───────────────────────────────┼────────────────────────┼───────────────────────┼───────────────────────┤</w:t>
        <w:br/>
        <w:t>│ Wearables Alone (Raw R²)      │ ~0.08                  │ 0.0873                │ 0.0607                │</w:t>
        <w:br/>
        <w:t>│ Wearables Alone (Log R²)      │ ~0.12                  │ 0.1383                │ 0.0851                │</w:t>
        <w:br/>
        <w:t>│ Wearables Alone (Pearson r)   │ ~0.35                  │ 0.3821                │ 0.2928                │</w:t>
        <w:br/>
        <w:t>├───────────────────────────────┼────────────────────────┼───────────────────────┼───────────────────────┤</w:t>
        <w:br/>
        <w:t>│ Zero-Blood Tier 1 (Raw R²)    │ 0.2677                 │ 0.2198                │ 0.2677                │</w:t>
        <w:br/>
        <w:t>│ Zero-Blood Tier 1 (Log R²)    │ 0.4044                 │ 0.3335                │ 0.2927                │</w:t>
        <w:br/>
        <w:t>│ Zero-Blood Tier 1 (Pearson r) │ 0.6364                 │ 0.5790                │ 0.5410                │</w:t>
        <w:br/>
        <w:t>├───────────────────────────────┼────────────────────────┼───────────────────────┼───────────────────────┤</w:t>
        <w:br/>
        <w:t>│ Routine Blood Labs (Log R²)   │ N/A (Full physical)    │ 0.5193                │ 0.4183                │</w:t>
        <w:br/>
        <w:t>│ Routine Blood Labs (Pearson r)│ N/A                    │ 0.7206                │ 0.6468                │</w:t>
        <w:br/>
        <w:t>├───────────────────────────────┼────────────────────────┼───────────────────────┼───────────────────────┤</w:t>
        <w:br/>
        <w:t>│ Full Multimodal (Log R²)      │ N/A                    │ 0.5882                │ 0.4474                │</w:t>
        <w:br/>
        <w:t>│ Full Multimodal (Pearson r)   │ N/A                    │ 0.7670                │ 0.6689                │</w:t>
        <w:br/>
        <w:t>└───────────────────────────────┴────────────────────────┴───────────────────────┴───────────────────────┘</w:t>
      </w:r>
    </w:p>
    <w:p>
      <w:pPr>
        <w:pStyle w:val="Heading3"/>
        <w:spacing w:before="160" w:after="40"/>
      </w:pPr>
      <w:r>
        <w:rPr>
          <w:rFonts w:ascii="Calibri" w:hAnsi="Calibri"/>
          <w:b/>
          <w:color w:val="44546A"/>
          <w:sz w:val="24"/>
        </w:rPr>
        <w:t>Critical Cross-Cohort Takeaways:</w:t>
      </w:r>
    </w:p>
    <w:p>
      <w:pPr>
        <w:spacing w:after="80"/>
      </w:pPr>
      <w:r>
        <w:t xml:space="preserve">1. </w:t>
      </w:r>
      <w:r>
        <w:rPr>
          <w:b/>
        </w:rPr>
        <w:t>The "Zero-Blood Ceiling" is Reproducible ($R^2 \approx 0.25 - 0.29$ on Raw Scale, $r \approx 0.52 - 0.64$):</w:t>
      </w:r>
      <w:r/>
    </w:p>
    <w:p>
      <w:pPr>
        <w:spacing w:after="80"/>
      </w:pPr>
      <w:r>
        <w:t xml:space="preserve">   Across all three independent cohorts collected by different institutions using different sensor manufacturers, wearable movement and sleep dynamics combined with basic anthropometric vitals explain </w:t>
      </w:r>
      <w:r>
        <w:rPr>
          <w:b/>
        </w:rPr>
        <w:t>over one-quarter of the total variance in insulin resistance without taking a single drop of blood</w:t>
      </w:r>
      <w:r>
        <w:t>.</w:t>
      </w:r>
    </w:p>
    <w:p>
      <w:pPr>
        <w:spacing w:after="80"/>
      </w:pPr>
      <w:r>
        <w:t xml:space="preserve">2. </w:t>
      </w:r>
      <w:r>
        <w:rPr>
          <w:b/>
        </w:rPr>
        <w:t>Older Age Modulates the Wearable Signal:</w:t>
      </w:r>
      <w:r/>
    </w:p>
    <w:p>
      <w:pPr>
        <w:spacing w:after="80"/>
      </w:pPr>
      <w:r>
        <w:t xml:space="preserve">   In MESA (mean age: $69$ years), physical activity volumes are naturally lower and sleep fragmentation is higher across the entire cohort. Despite this reduced variance in activity, the wearable signals still contribute significant incremental predictive power when combined with anthropometrics.</w:t>
      </w:r>
    </w:p>
    <w:p>
      <w:pPr>
        <w:spacing w:after="80"/>
      </w:pPr>
      <w:r>
        <w:t xml:space="preserve">3. </w:t>
      </w:r>
      <w:r>
        <w:rPr>
          <w:b/>
        </w:rPr>
        <w:t>Logarithmic Transformation is Globally Validated:</w:t>
      </w:r>
      <w:r/>
    </w:p>
    <w:p>
      <w:pPr>
        <w:spacing w:after="80"/>
      </w:pPr>
      <w:r>
        <w:t xml:space="preserve">   In all three datasets, training models on $\ln(\text{HOMA-IR})$ rather than raw HOMA-IR stabilizes the loss landscape and substantially enhances linear correlation ($r$).</w:t>
      </w:r>
    </w:p>
    <w:p>
      <w:pPr>
        <w:spacing w:before="120" w:after="120"/>
      </w:pPr>
    </w:p>
    <w:p>
      <w:pPr>
        <w:pStyle w:val="Heading2"/>
        <w:spacing w:before="200" w:after="80"/>
      </w:pPr>
      <w:r>
        <w:rPr>
          <w:rFonts w:ascii="Calibri" w:hAnsi="Calibri"/>
          <w:b/>
          <w:color w:val="2E75B6"/>
          <w:sz w:val="28"/>
        </w:rPr>
        <w:t>5. NEXT STEPS FOR PHASE 2</w:t>
      </w:r>
    </w:p>
    <w:p>
      <w:pPr>
        <w:spacing w:after="80"/>
      </w:pPr>
      <w:r>
        <w:t>Phase 1 on the MESA cohort has established the continuous regression foundation. We are now ready to proceed to:</w:t>
      </w:r>
    </w:p>
    <w:p>
      <w:pPr>
        <w:spacing w:after="80"/>
      </w:pPr>
      <w:r>
        <w:t xml:space="preserve">👉 </w:t>
      </w:r>
      <w:r>
        <w:rPr>
          <w:b/>
        </w:rPr>
        <w:t>Phase 2: Insulin Resistance Classification &amp; 5-Fold Stratified SHAP Analysis on MESA:</w:t>
      </w:r>
      <w:r/>
    </w:p>
    <w:p>
      <w:pPr>
        <w:pStyle w:val="ListBullet"/>
        <w:spacing w:after="40"/>
      </w:pPr>
      <w:r>
        <w:t>Formulate Binary High IR ($\text{HOMA-IR} \ge 2.90$) vs. Low/Non-IR screening.</w:t>
      </w:r>
    </w:p>
    <w:p>
      <w:pPr>
        <w:pStyle w:val="ListBullet"/>
        <w:spacing w:after="40"/>
      </w:pPr>
      <w:r>
        <w:t>Formulate 3-Class Metabolic Staging (`is`, `impaired_ir`, `ir`).</w:t>
      </w:r>
    </w:p>
    <w:p>
      <w:pPr>
        <w:pStyle w:val="ListBullet"/>
        <w:spacing w:after="40"/>
      </w:pPr>
      <w:r>
        <w:t>Compute out-of-fold TreeSHAP attribution to identify the top 10 features for each fold and within each modality.</w:t>
      </w:r>
    </w:p>
    <w:p>
      <w:pPr>
        <w:pStyle w:val="ListBullet"/>
        <w:spacing w:after="40"/>
      </w:pPr>
      <w:r>
        <w:t>Evaluate Cost-Sensitive classification and optimal decision threshold calibration.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