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Meeting Briefing Document: Capstone Progress Presentation</w:t>
      </w:r>
    </w:p>
    <w:p>
      <w:pPr>
        <w:pStyle w:val="Heading2"/>
        <w:spacing w:before="200" w:after="80"/>
      </w:pPr>
      <w:r>
        <w:rPr>
          <w:rFonts w:ascii="Calibri" w:hAnsi="Calibri"/>
          <w:b/>
          <w:color w:val="2E75B6"/>
          <w:sz w:val="28"/>
        </w:rPr>
        <w:t>Part 1: Professor's Feedback &amp; Experimental Suite | Part 2: Phase 2 Non-Invasive Screening</w:t>
      </w:r>
    </w:p>
    <w:p>
      <w:pPr>
        <w:spacing w:after="80"/>
      </w:pPr>
      <w:r/>
      <w:r>
        <w:rPr>
          <w:b/>
        </w:rPr>
        <w:t>Project Title:</w:t>
      </w:r>
      <w:r>
        <w:t xml:space="preserve"> Wearable AI for Early Metabolic Risk Screening and Circadian Biomarker Estimation</w:t>
      </w:r>
    </w:p>
    <w:p>
      <w:pPr>
        <w:spacing w:after="80"/>
      </w:pPr>
      <w:r/>
      <w:r>
        <w:rPr>
          <w:b/>
        </w:rPr>
        <w:t>Student:</w:t>
      </w:r>
      <w:r>
        <w:t xml:space="preserve"> SARVAGYA-TIWARI</w:t>
      </w:r>
    </w:p>
    <w:p>
      <w:pPr>
        <w:spacing w:after="80"/>
      </w:pPr>
      <w:r/>
      <w:r>
        <w:rPr>
          <w:b/>
        </w:rPr>
        <w:t>Target Dataset:</w:t>
      </w:r>
      <w:r>
        <w:t xml:space="preserve"> CDC NHANES 2011–2014 (Cycles G &amp; H) — $N = 3,296$ Non-Diabetic Adults with 24/7 Wrist Actigraphy</w:t>
      </w:r>
    </w:p>
    <w:p>
      <w:pPr>
        <w:spacing w:after="80"/>
      </w:pPr>
      <w:r/>
      <w:r>
        <w:rPr>
          <w:b/>
        </w:rPr>
        <w:t>Meeting Date:</w:t>
      </w:r>
      <w:r>
        <w:t xml:space="preserve"> October 2026</w:t>
      </w:r>
    </w:p>
    <w:p>
      <w:pPr>
        <w:spacing w:before="120" w:after="120"/>
      </w:pPr>
    </w:p>
    <w:p>
      <w:pPr>
        <w:pStyle w:val="Heading1"/>
        <w:spacing w:before="240" w:after="120"/>
      </w:pPr>
      <w:r>
        <w:rPr>
          <w:rFonts w:ascii="Calibri" w:hAnsi="Calibri"/>
          <w:b/>
          <w:color w:val="1F4E79"/>
          <w:sz w:val="40"/>
        </w:rPr>
        <w:t>Executive Summary &amp; 60-Second Meeting Elevator Pitch</w:t>
      </w:r>
    </w:p>
    <w:p>
      <w:pPr>
        <w:spacing w:after="80"/>
      </w:pPr>
      <w:r>
        <w:t xml:space="preserve">&gt; </w:t>
      </w:r>
      <w:r>
        <w:rPr>
          <w:b/>
        </w:rPr>
        <w:t>What to Say to Ma'am in the First 60 Seconds:</w:t>
      </w:r>
      <w:r/>
    </w:p>
    <w:p>
      <w:pPr>
        <w:spacing w:after="80"/>
      </w:pPr>
      <w:r>
        <w:t>&gt; *"Ma'am, based on your guidance from our previous review, I completed all three experimental tasks you suggested:*</w:t>
      </w:r>
    </w:p>
    <w:p>
      <w:pPr>
        <w:spacing w:after="80"/>
      </w:pPr>
      <w:r>
        <w:t>&gt; 1. *I implemented repeated 80/20 train-test splits and ran an exhaustive single-feature ranking to see which variable impacts the prediction most. Waist circumference emerged as the single strongest physiological predictor ($R^2 = 0.2336$).*</w:t>
      </w:r>
    </w:p>
    <w:p>
      <w:pPr>
        <w:spacing w:after="80"/>
      </w:pPr>
      <w:r>
        <w:t>&gt; 2. *I performed a day-by-day wear duration sensitivity analysis ($1 \rightarrow 7$ days) to analyze sensor wear burden. We found physical activity volume stabilizes by Day 3, but 7 days remain essential for circadian rhythm stability.*</w:t>
      </w:r>
    </w:p>
    <w:p>
      <w:pPr>
        <w:spacing w:after="80"/>
      </w:pPr>
      <w:r>
        <w:t>&gt; 3. *I investigated how to improve our baseline $R^2$ of $0.25$. By applying clinical log-transformation $\ln(\text{HOMA-IR})$, cross-modal interaction terms, and a stacked ensemble, we pushed $R^2$ to $0.4044$ ($r = 0.6364$).*</w:t>
      </w:r>
    </w:p>
    <w:p>
      <w:pPr>
        <w:spacing w:after="80"/>
      </w:pPr>
      <w:r>
        <w:t>&gt;</w:t>
      </w:r>
    </w:p>
    <w:p>
      <w:pPr>
        <w:spacing w:after="80"/>
      </w:pPr>
      <w:r>
        <w:t xml:space="preserve">&gt; *Additionally, I completed </w:t>
      </w:r>
      <w:r>
        <w:rPr>
          <w:b/>
        </w:rPr>
        <w:t>Phase 2: Non-Invasive Metabolic Risk Screening</w:t>
      </w:r>
      <w:r>
        <w:t xml:space="preserve">, training 6 machine learning classifiers under strict zero-blood-access constraints. Our XGBoost model achieved a </w:t>
      </w:r>
      <w:r>
        <w:rPr>
          <w:b/>
        </w:rPr>
        <w:t>Balanced Accuracy of 54.85%</w:t>
      </w:r>
      <w:r>
        <w:t xml:space="preserve"> (+64.6% over chance) and an </w:t>
      </w:r>
      <w:r>
        <w:rPr>
          <w:b/>
        </w:rPr>
        <w:t>AUROC of 0.738</w:t>
      </w:r>
      <w:r>
        <w:t>, successfully identifying high-risk insulin-resistant individuals purely from wearable and non-invasive vitals."*</w:t>
      </w:r>
    </w:p>
    <w:p>
      <w:pPr>
        <w:spacing w:before="120" w:after="120"/>
      </w:pPr>
    </w:p>
    <w:p>
      <w:pPr>
        <w:pStyle w:val="Heading1"/>
        <w:spacing w:before="240" w:after="120"/>
      </w:pPr>
      <w:r>
        <w:rPr>
          <w:rFonts w:ascii="Calibri" w:hAnsi="Calibri"/>
          <w:b/>
          <w:color w:val="1F4E79"/>
          <w:sz w:val="40"/>
        </w:rPr>
        <w:t>SECTION 1: The Professor's Requested Experiments</w:t>
      </w:r>
    </w:p>
    <w:p>
      <w:pPr>
        <w:spacing w:before="80" w:after="120"/>
        <w:ind w:left="576"/>
      </w:pPr>
      <w:r>
        <w:rPr>
          <w:rFonts w:ascii="Consolas" w:hAnsi="Consolas"/>
          <w:color w:val="1E1E1E"/>
          <w:sz w:val="18"/>
        </w:rPr>
        <w:t>┌────────────────────────────────────────────────────────────────────────────────────────┐</w:t>
        <w:br/>
        <w:t>│                        PROFESSOR'S FEEDBACK EXPERIMENTAL SUITE                         │</w:t>
        <w:br/>
        <w:t>├───────────────────────────────┬───────────────────────────────┬────────────────────────┤</w:t>
        <w:br/>
        <w:t>│ 1. REPEATED SPLITS &amp; RANKING  │ 2. WEAR TIME SENSITIVITY      │ 3. R² MAXIMIZATION     │</w:t>
        <w:br/>
        <w:t>│ • 5 runs of 80/20 split       │ • Day 1 alone to Day 7 alone  │ • Raw HOMA-IR: 0.2519  │</w:t>
        <w:br/>
        <w:t>│ • R² = 0.2506 ± 0.0081        │ • Cumulative Day 1 to Day 7   │ • Stacked Raw: 0.2677  │</w:t>
        <w:br/>
        <w:t>│ • Single-Feature Ranking:     │ • Day 3 peaks volume (0.2618) │ • Log Baseline: 0.3913 │</w:t>
        <w:br/>
        <w:t>│   Waist is #1 (R² = 0.2336)   │ • Day 7 captures Circadian IS │ • Stacked Log: 0.4044  │</w:t>
        <w:br/>
        <w:t>└───────────────────────────────┴───────────────────────────────┴────────────────────────┘</w:t>
      </w:r>
    </w:p>
    <w:p>
      <w:pPr>
        <w:spacing w:before="120" w:after="120"/>
      </w:pPr>
    </w:p>
    <w:p>
      <w:pPr>
        <w:pStyle w:val="Heading2"/>
        <w:spacing w:before="200" w:after="80"/>
      </w:pPr>
      <w:r>
        <w:rPr>
          <w:rFonts w:ascii="Calibri" w:hAnsi="Calibri"/>
          <w:b/>
          <w:color w:val="2E75B6"/>
          <w:sz w:val="28"/>
        </w:rPr>
        <w:t>1.1 Task 1: Repeated 80/20 Splits &amp; Single-Feature Importance Ranking</w:t>
      </w:r>
    </w:p>
    <w:p>
      <w:pPr>
        <w:pStyle w:val="Heading3"/>
        <w:spacing w:before="160" w:after="40"/>
      </w:pPr>
      <w:r>
        <w:rPr>
          <w:rFonts w:ascii="Calibri" w:hAnsi="Calibri"/>
          <w:b/>
          <w:color w:val="44546A"/>
          <w:sz w:val="24"/>
        </w:rPr>
        <w:t>What Ma'am Asked:</w:t>
      </w:r>
    </w:p>
    <w:p>
      <w:pPr>
        <w:spacing w:after="80"/>
      </w:pPr>
      <w:r>
        <w:t>1. *Run 80/20 train-test splits multiple times (5 runs) to ensure results are stable and not a fluke.*</w:t>
      </w:r>
    </w:p>
    <w:p>
      <w:pPr>
        <w:spacing w:after="80"/>
      </w:pPr>
      <w:r>
        <w:t>2. *Train models using just one feature at a time to determine which feature affects the result the maximum.*</w:t>
      </w:r>
    </w:p>
    <w:p>
      <w:pPr>
        <w:pStyle w:val="Heading3"/>
        <w:spacing w:before="160" w:after="40"/>
      </w:pPr>
      <w:r>
        <w:rPr>
          <w:rFonts w:ascii="Calibri" w:hAnsi="Calibri"/>
          <w:b/>
          <w:color w:val="44546A"/>
          <w:sz w:val="24"/>
        </w:rPr>
        <w:t>What We Did:</w:t>
      </w:r>
    </w:p>
    <w:p>
      <w:pPr>
        <w:spacing w:after="80"/>
      </w:pPr>
      <w:r>
        <w:t xml:space="preserve">1. </w:t>
      </w:r>
      <w:r>
        <w:rPr>
          <w:b/>
        </w:rPr>
        <w:t>Repeated 80/20 Inter-Subject Splits:</w:t>
      </w:r>
      <w:r>
        <w:t xml:space="preserve"> Executed 5 independent runs of LightGBM regression on raw HOMA-IR using random seeds ($42, 101, 2024, 777, 999$).</w:t>
      </w:r>
    </w:p>
    <w:p>
      <w:pPr>
        <w:spacing w:after="80"/>
      </w:pPr>
      <w:r>
        <w:t xml:space="preserve">2. </w:t>
      </w:r>
      <w:r>
        <w:rPr>
          <w:b/>
        </w:rPr>
        <w:t>Univariate Single-Feature Ranking:</w:t>
      </w:r>
      <w:r>
        <w:t xml:space="preserve"> Trained 27 separate LightGBM models—each using </w:t>
      </w:r>
      <w:r>
        <w:rPr>
          <w:b/>
        </w:rPr>
        <w:t>only one single feature</w:t>
      </w:r>
      <w:r>
        <w:t xml:space="preserve"> in complete isolation—and ranked them by out-of-sample $R^2$ and Pearson $r$.</w:t>
      </w:r>
    </w:p>
    <w:p>
      <w:pPr>
        <w:spacing w:after="80"/>
      </w:pPr>
      <w:r>
        <w:t xml:space="preserve">3. </w:t>
      </w:r>
      <w:r>
        <w:rPr>
          <w:b/>
        </w:rPr>
        <w:t>Feature Group Ablation:</w:t>
      </w:r>
      <w:r>
        <w:t xml:space="preserve"> Measured the incremental lift when combining Anthropometrics, Vitals, and Wearable Circadian Actigraphy.</w:t>
      </w:r>
    </w:p>
    <w:p>
      <w:pPr>
        <w:pStyle w:val="Heading3"/>
        <w:spacing w:before="160" w:after="40"/>
      </w:pPr>
      <w:r>
        <w:rPr>
          <w:rFonts w:ascii="Calibri" w:hAnsi="Calibri"/>
          <w:b/>
          <w:color w:val="44546A"/>
          <w:sz w:val="24"/>
        </w:rPr>
        <w:t>What Results We Got:</w:t>
      </w:r>
    </w:p>
    <w:p>
      <w:pPr>
        <w:pStyle w:val="ListBullet"/>
        <w:spacing w:after="40"/>
      </w:pPr>
      <w:r/>
      <w:r>
        <w:rPr>
          <w:b/>
        </w:rPr>
        <w:t>Stability Across 5 Splits:</w:t>
      </w:r>
      <w:r/>
    </w:p>
    <w:p>
      <w:pPr>
        <w:spacing w:after="80"/>
      </w:pPr>
      <w:r>
        <w:t xml:space="preserve">  * Test $R^2 = \mathbf{0.2506 \pm 0.0081}$</w:t>
      </w:r>
    </w:p>
    <w:p>
      <w:pPr>
        <w:spacing w:after="80"/>
      </w:pPr>
      <w:r>
        <w:t xml:space="preserve">  * Pearson $r = \mathbf{0.5028 \pm 0.0067}$</w:t>
      </w:r>
    </w:p>
    <w:p>
      <w:pPr>
        <w:spacing w:after="80"/>
      </w:pPr>
      <w:r>
        <w:t xml:space="preserve">  * $\text{MAE} = \mathbf{1.6493 \pm 0.0105}$</w:t>
      </w:r>
    </w:p>
    <w:p>
      <w:pPr>
        <w:spacing w:after="80"/>
      </w:pPr>
      <w:r>
        <w:t xml:space="preserve">  * *Takeaway:* The variance across runs is under $0.8\%$, proving our model is mathematically stable and does not overfit to a specific split.</w:t>
      </w:r>
    </w:p>
    <w:p>
      <w:pPr>
        <w:pStyle w:val="ListBullet"/>
        <w:spacing w:after="40"/>
      </w:pPr>
      <w:r/>
      <w:r>
        <w:rPr>
          <w:b/>
        </w:rPr>
        <w:t>Top Single Features That Affect the Result the Maximum:</w:t>
      </w:r>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E79"/>
          </w:tcPr>
          <w:p>
            <w:pPr>
              <w:spacing w:before="60" w:after="60"/>
            </w:pPr>
            <w:r>
              <w:rPr>
                <w:rFonts w:ascii="Calibri" w:hAnsi="Calibri"/>
                <w:b/>
                <w:color w:val="FFFFFF"/>
                <w:sz w:val="19"/>
              </w:rPr>
              <w:t xml:space="preserve"> Rank</w:t>
            </w:r>
          </w:p>
        </w:tc>
        <w:tc>
          <w:tcPr>
            <w:tcW w:type="dxa" w:w="1656"/>
            <w:shd w:fill="1F4E79"/>
          </w:tcPr>
          <w:p>
            <w:pPr>
              <w:spacing w:before="60" w:after="60"/>
            </w:pPr>
            <w:r>
              <w:rPr>
                <w:rFonts w:ascii="Calibri" w:hAnsi="Calibri"/>
                <w:b/>
                <w:color w:val="FFFFFF"/>
                <w:sz w:val="19"/>
              </w:rPr>
              <w:t>Feature Name</w:t>
            </w:r>
          </w:p>
        </w:tc>
        <w:tc>
          <w:tcPr>
            <w:tcW w:type="dxa" w:w="1656"/>
            <w:shd w:fill="1F4E79"/>
          </w:tcPr>
          <w:p>
            <w:pPr>
              <w:spacing w:before="60" w:after="60"/>
            </w:pPr>
            <w:r>
              <w:rPr>
                <w:rFonts w:ascii="Calibri" w:hAnsi="Calibri"/>
                <w:b/>
                <w:color w:val="FFFFFF"/>
                <w:sz w:val="19"/>
              </w:rPr>
              <w:t>Modality</w:t>
            </w:r>
          </w:p>
        </w:tc>
        <w:tc>
          <w:tcPr>
            <w:tcW w:type="dxa" w:w="1656"/>
            <w:shd w:fill="1F4E79"/>
          </w:tcPr>
          <w:p>
            <w:pPr>
              <w:spacing w:before="60" w:after="60"/>
            </w:pPr>
            <w:r>
              <w:rPr>
                <w:rFonts w:ascii="Calibri" w:hAnsi="Calibri"/>
                <w:b/>
                <w:color w:val="FFFFFF"/>
                <w:sz w:val="19"/>
              </w:rPr>
              <w:t>Standalone $R^2$</w:t>
            </w:r>
          </w:p>
        </w:tc>
        <w:tc>
          <w:tcPr>
            <w:tcW w:type="dxa" w:w="1656"/>
            <w:shd w:fill="1F4E79"/>
          </w:tcPr>
          <w:p>
            <w:pPr>
              <w:spacing w:before="60" w:after="60"/>
            </w:pPr>
            <w:r>
              <w:rPr>
                <w:rFonts w:ascii="Calibri" w:hAnsi="Calibri"/>
                <w:b/>
                <w:color w:val="FFFFFF"/>
                <w:sz w:val="19"/>
              </w:rPr>
              <w:t>Standalone Pearson $r$</w:t>
            </w:r>
          </w:p>
        </w:tc>
        <w:tc>
          <w:tcPr>
            <w:tcW w:type="dxa" w:w="1656"/>
            <w:shd w:fill="1F4E79"/>
          </w:tcPr>
          <w:p>
            <w:pPr>
              <w:spacing w:before="60" w:after="60"/>
            </w:pPr>
            <w:r>
              <w:rPr>
                <w:rFonts w:ascii="Calibri" w:hAnsi="Calibri"/>
                <w:b/>
                <w:color w:val="FFFFFF"/>
                <w:sz w:val="19"/>
              </w:rPr>
              <w:t xml:space="preserve">Clinical Significance </w:t>
            </w:r>
          </w:p>
        </w:tc>
      </w:tr>
      <w:tr>
        <w:tc>
          <w:tcPr>
            <w:tcW w:type="dxa" w:w="1656"/>
            <w:shd w:fill="F2F5F8"/>
          </w:tcPr>
          <w:p>
            <w:pPr>
              <w:spacing w:before="60" w:after="60"/>
            </w:pPr>
            <w:r>
              <w:rPr>
                <w:rFonts w:ascii="Calibri" w:hAnsi="Calibri"/>
                <w:color w:val="282828"/>
                <w:sz w:val="19"/>
              </w:rPr>
              <w:t xml:space="preserve"> **#1**</w:t>
            </w:r>
          </w:p>
        </w:tc>
        <w:tc>
          <w:tcPr>
            <w:tcW w:type="dxa" w:w="1656"/>
            <w:shd w:fill="F2F5F8"/>
          </w:tcPr>
          <w:p>
            <w:pPr>
              <w:spacing w:before="60" w:after="60"/>
            </w:pPr>
            <w:r>
              <w:rPr>
                <w:rFonts w:ascii="Calibri" w:hAnsi="Calibri"/>
                <w:color w:val="282828"/>
                <w:sz w:val="19"/>
              </w:rPr>
              <w:t>**Waist Circumference (cm)**</w:t>
            </w:r>
          </w:p>
        </w:tc>
        <w:tc>
          <w:tcPr>
            <w:tcW w:type="dxa" w:w="1656"/>
            <w:shd w:fill="F2F5F8"/>
          </w:tcPr>
          <w:p>
            <w:pPr>
              <w:spacing w:before="60" w:after="60"/>
            </w:pPr>
            <w:r>
              <w:rPr>
                <w:rFonts w:ascii="Calibri" w:hAnsi="Calibri"/>
                <w:color w:val="282828"/>
                <w:sz w:val="19"/>
              </w:rPr>
              <w:t>Anthropometric</w:t>
            </w:r>
          </w:p>
        </w:tc>
        <w:tc>
          <w:tcPr>
            <w:tcW w:type="dxa" w:w="1656"/>
            <w:shd w:fill="F2F5F8"/>
          </w:tcPr>
          <w:p>
            <w:pPr>
              <w:spacing w:before="60" w:after="60"/>
            </w:pPr>
            <w:r>
              <w:rPr>
                <w:rFonts w:ascii="Calibri" w:hAnsi="Calibri"/>
                <w:color w:val="282828"/>
                <w:sz w:val="19"/>
              </w:rPr>
              <w:t>**$0.2336$** ($23.36\%$)</w:t>
            </w:r>
          </w:p>
        </w:tc>
        <w:tc>
          <w:tcPr>
            <w:tcW w:type="dxa" w:w="1656"/>
            <w:shd w:fill="F2F5F8"/>
          </w:tcPr>
          <w:p>
            <w:pPr>
              <w:spacing w:before="60" w:after="60"/>
            </w:pPr>
            <w:r>
              <w:rPr>
                <w:rFonts w:ascii="Calibri" w:hAnsi="Calibri"/>
                <w:color w:val="282828"/>
                <w:sz w:val="19"/>
              </w:rPr>
              <w:t>**$0.4832$**</w:t>
            </w:r>
          </w:p>
        </w:tc>
        <w:tc>
          <w:tcPr>
            <w:tcW w:type="dxa" w:w="1656"/>
            <w:shd w:fill="F2F5F8"/>
          </w:tcPr>
          <w:p>
            <w:pPr>
              <w:spacing w:before="60" w:after="60"/>
            </w:pPr>
            <w:r>
              <w:rPr>
                <w:rFonts w:ascii="Calibri" w:hAnsi="Calibri"/>
                <w:color w:val="282828"/>
                <w:sz w:val="19"/>
              </w:rPr>
              <w:t xml:space="preserve">**Dominant predictor:** Directly reflects visceral/ectopic fat surrounding the liver and pancreas. </w:t>
            </w:r>
          </w:p>
        </w:tc>
      </w:tr>
      <w:tr>
        <w:tc>
          <w:tcPr>
            <w:tcW w:type="dxa" w:w="1656"/>
            <w:shd w:fill="FFFFFF"/>
          </w:tcPr>
          <w:p>
            <w:pPr>
              <w:spacing w:before="60" w:after="60"/>
            </w:pPr>
            <w:r>
              <w:rPr>
                <w:rFonts w:ascii="Calibri" w:hAnsi="Calibri"/>
                <w:color w:val="282828"/>
                <w:sz w:val="19"/>
              </w:rPr>
              <w:t xml:space="preserve"> **#2**</w:t>
            </w:r>
          </w:p>
        </w:tc>
        <w:tc>
          <w:tcPr>
            <w:tcW w:type="dxa" w:w="1656"/>
            <w:shd w:fill="FFFFFF"/>
          </w:tcPr>
          <w:p>
            <w:pPr>
              <w:spacing w:before="60" w:after="60"/>
            </w:pPr>
            <w:r>
              <w:rPr>
                <w:rFonts w:ascii="Calibri" w:hAnsi="Calibri"/>
                <w:color w:val="282828"/>
                <w:sz w:val="19"/>
              </w:rPr>
              <w:t>**BMI ($\text{kg/m}^2$)**</w:t>
            </w:r>
          </w:p>
        </w:tc>
        <w:tc>
          <w:tcPr>
            <w:tcW w:type="dxa" w:w="1656"/>
            <w:shd w:fill="FFFFFF"/>
          </w:tcPr>
          <w:p>
            <w:pPr>
              <w:spacing w:before="60" w:after="60"/>
            </w:pPr>
            <w:r>
              <w:rPr>
                <w:rFonts w:ascii="Calibri" w:hAnsi="Calibri"/>
                <w:color w:val="282828"/>
                <w:sz w:val="19"/>
              </w:rPr>
              <w:t>Anthropometric</w:t>
            </w:r>
          </w:p>
        </w:tc>
        <w:tc>
          <w:tcPr>
            <w:tcW w:type="dxa" w:w="1656"/>
            <w:shd w:fill="FFFFFF"/>
          </w:tcPr>
          <w:p>
            <w:pPr>
              <w:spacing w:before="60" w:after="60"/>
            </w:pPr>
            <w:r>
              <w:rPr>
                <w:rFonts w:ascii="Calibri" w:hAnsi="Calibri"/>
                <w:color w:val="282828"/>
                <w:sz w:val="19"/>
              </w:rPr>
              <w:t>**$0.2121$** ($21.21\%$)</w:t>
            </w:r>
          </w:p>
        </w:tc>
        <w:tc>
          <w:tcPr>
            <w:tcW w:type="dxa" w:w="1656"/>
            <w:shd w:fill="FFFFFF"/>
          </w:tcPr>
          <w:p>
            <w:pPr>
              <w:spacing w:before="60" w:after="60"/>
            </w:pPr>
            <w:r>
              <w:rPr>
                <w:rFonts w:ascii="Calibri" w:hAnsi="Calibri"/>
                <w:color w:val="282828"/>
                <w:sz w:val="19"/>
              </w:rPr>
              <w:t>**$0.4605$**</w:t>
            </w:r>
          </w:p>
        </w:tc>
        <w:tc>
          <w:tcPr>
            <w:tcW w:type="dxa" w:w="1656"/>
            <w:shd w:fill="FFFFFF"/>
          </w:tcPr>
          <w:p>
            <w:pPr>
              <w:spacing w:before="60" w:after="60"/>
            </w:pPr>
            <w:r>
              <w:rPr>
                <w:rFonts w:ascii="Calibri" w:hAnsi="Calibri"/>
                <w:color w:val="282828"/>
                <w:sz w:val="19"/>
              </w:rPr>
              <w:t xml:space="preserve">General adiposity proxy, but secondary to waist circumference. </w:t>
            </w:r>
          </w:p>
        </w:tc>
      </w:tr>
      <w:tr>
        <w:tc>
          <w:tcPr>
            <w:tcW w:type="dxa" w:w="1656"/>
            <w:shd w:fill="F2F5F8"/>
          </w:tcPr>
          <w:p>
            <w:pPr>
              <w:spacing w:before="60" w:after="60"/>
            </w:pPr>
            <w:r>
              <w:rPr>
                <w:rFonts w:ascii="Calibri" w:hAnsi="Calibri"/>
                <w:color w:val="282828"/>
                <w:sz w:val="19"/>
              </w:rPr>
              <w:t xml:space="preserve"> **#3**</w:t>
            </w:r>
          </w:p>
        </w:tc>
        <w:tc>
          <w:tcPr>
            <w:tcW w:type="dxa" w:w="1656"/>
            <w:shd w:fill="F2F5F8"/>
          </w:tcPr>
          <w:p>
            <w:pPr>
              <w:spacing w:before="60" w:after="60"/>
            </w:pPr>
            <w:r>
              <w:rPr>
                <w:rFonts w:ascii="Calibri" w:hAnsi="Calibri"/>
                <w:color w:val="282828"/>
                <w:sz w:val="19"/>
              </w:rPr>
              <w:t>**Resting Pulse Rate (bpm)**</w:t>
            </w:r>
          </w:p>
        </w:tc>
        <w:tc>
          <w:tcPr>
            <w:tcW w:type="dxa" w:w="1656"/>
            <w:shd w:fill="F2F5F8"/>
          </w:tcPr>
          <w:p>
            <w:pPr>
              <w:spacing w:before="60" w:after="60"/>
            </w:pPr>
            <w:r>
              <w:rPr>
                <w:rFonts w:ascii="Calibri" w:hAnsi="Calibri"/>
                <w:color w:val="282828"/>
                <w:sz w:val="19"/>
              </w:rPr>
              <w:t>Vitals / Wearable</w:t>
            </w:r>
          </w:p>
        </w:tc>
        <w:tc>
          <w:tcPr>
            <w:tcW w:type="dxa" w:w="1656"/>
            <w:shd w:fill="F2F5F8"/>
          </w:tcPr>
          <w:p>
            <w:pPr>
              <w:spacing w:before="60" w:after="60"/>
            </w:pPr>
            <w:r>
              <w:rPr>
                <w:rFonts w:ascii="Calibri" w:hAnsi="Calibri"/>
                <w:color w:val="282828"/>
                <w:sz w:val="19"/>
              </w:rPr>
              <w:t>**$0.0277$** ($2.77\%$)</w:t>
            </w:r>
          </w:p>
        </w:tc>
        <w:tc>
          <w:tcPr>
            <w:tcW w:type="dxa" w:w="1656"/>
            <w:shd w:fill="F2F5F8"/>
          </w:tcPr>
          <w:p>
            <w:pPr>
              <w:spacing w:before="60" w:after="60"/>
            </w:pPr>
            <w:r>
              <w:rPr>
                <w:rFonts w:ascii="Calibri" w:hAnsi="Calibri"/>
                <w:color w:val="282828"/>
                <w:sz w:val="19"/>
              </w:rPr>
              <w:t>**$0.1664$**</w:t>
            </w:r>
          </w:p>
        </w:tc>
        <w:tc>
          <w:tcPr>
            <w:tcW w:type="dxa" w:w="1656"/>
            <w:shd w:fill="F2F5F8"/>
          </w:tcPr>
          <w:p>
            <w:pPr>
              <w:spacing w:before="60" w:after="60"/>
            </w:pPr>
            <w:r>
              <w:rPr>
                <w:rFonts w:ascii="Calibri" w:hAnsi="Calibri"/>
                <w:color w:val="282828"/>
                <w:sz w:val="19"/>
              </w:rPr>
              <w:t xml:space="preserve">Autonomic sympathetic tone; tachycardia reflects metabolic stress. </w:t>
            </w:r>
          </w:p>
        </w:tc>
      </w:tr>
      <w:tr>
        <w:tc>
          <w:tcPr>
            <w:tcW w:type="dxa" w:w="1656"/>
            <w:shd w:fill="FFFFFF"/>
          </w:tcPr>
          <w:p>
            <w:pPr>
              <w:spacing w:before="60" w:after="60"/>
            </w:pPr>
            <w:r>
              <w:rPr>
                <w:rFonts w:ascii="Calibri" w:hAnsi="Calibri"/>
                <w:color w:val="282828"/>
                <w:sz w:val="19"/>
              </w:rPr>
              <w:t xml:space="preserve"> **#4**</w:t>
            </w:r>
          </w:p>
        </w:tc>
        <w:tc>
          <w:tcPr>
            <w:tcW w:type="dxa" w:w="1656"/>
            <w:shd w:fill="FFFFFF"/>
          </w:tcPr>
          <w:p>
            <w:pPr>
              <w:spacing w:before="60" w:after="60"/>
            </w:pPr>
            <w:r>
              <w:rPr>
                <w:rFonts w:ascii="Calibri" w:hAnsi="Calibri"/>
                <w:color w:val="282828"/>
                <w:sz w:val="19"/>
              </w:rPr>
              <w:t>**Systolic Blood Pressure (mmHg)**</w:t>
            </w:r>
          </w:p>
        </w:tc>
        <w:tc>
          <w:tcPr>
            <w:tcW w:type="dxa" w:w="1656"/>
            <w:shd w:fill="FFFFFF"/>
          </w:tcPr>
          <w:p>
            <w:pPr>
              <w:spacing w:before="60" w:after="60"/>
            </w:pPr>
            <w:r>
              <w:rPr>
                <w:rFonts w:ascii="Calibri" w:hAnsi="Calibri"/>
                <w:color w:val="282828"/>
                <w:sz w:val="19"/>
              </w:rPr>
              <w:t>Vitals</w:t>
            </w:r>
          </w:p>
        </w:tc>
        <w:tc>
          <w:tcPr>
            <w:tcW w:type="dxa" w:w="1656"/>
            <w:shd w:fill="FFFFFF"/>
          </w:tcPr>
          <w:p>
            <w:pPr>
              <w:spacing w:before="60" w:after="60"/>
            </w:pPr>
            <w:r>
              <w:rPr>
                <w:rFonts w:ascii="Calibri" w:hAnsi="Calibri"/>
                <w:color w:val="282828"/>
                <w:sz w:val="19"/>
              </w:rPr>
              <w:t>**$0.0237$** ($2.37\%$)</w:t>
            </w:r>
          </w:p>
        </w:tc>
        <w:tc>
          <w:tcPr>
            <w:tcW w:type="dxa" w:w="1656"/>
            <w:shd w:fill="FFFFFF"/>
          </w:tcPr>
          <w:p>
            <w:pPr>
              <w:spacing w:before="60" w:after="60"/>
            </w:pPr>
            <w:r>
              <w:rPr>
                <w:rFonts w:ascii="Calibri" w:hAnsi="Calibri"/>
                <w:color w:val="282828"/>
                <w:sz w:val="19"/>
              </w:rPr>
              <w:t>**$0.1540$**</w:t>
            </w:r>
          </w:p>
        </w:tc>
        <w:tc>
          <w:tcPr>
            <w:tcW w:type="dxa" w:w="1656"/>
            <w:shd w:fill="FFFFFF"/>
          </w:tcPr>
          <w:p>
            <w:pPr>
              <w:spacing w:before="60" w:after="60"/>
            </w:pPr>
            <w:r>
              <w:rPr>
                <w:rFonts w:ascii="Calibri" w:hAnsi="Calibri"/>
                <w:color w:val="282828"/>
                <w:sz w:val="19"/>
              </w:rPr>
              <w:t xml:space="preserve">Vascular stiffness associated with hyperinsulinemia. </w:t>
            </w:r>
          </w:p>
        </w:tc>
      </w:tr>
      <w:tr>
        <w:tc>
          <w:tcPr>
            <w:tcW w:type="dxa" w:w="1656"/>
            <w:shd w:fill="F2F5F8"/>
          </w:tcPr>
          <w:p>
            <w:pPr>
              <w:spacing w:before="60" w:after="60"/>
            </w:pPr>
            <w:r>
              <w:rPr>
                <w:rFonts w:ascii="Calibri" w:hAnsi="Calibri"/>
                <w:color w:val="282828"/>
                <w:sz w:val="19"/>
              </w:rPr>
              <w:t xml:space="preserve"> **#5**</w:t>
            </w:r>
          </w:p>
        </w:tc>
        <w:tc>
          <w:tcPr>
            <w:tcW w:type="dxa" w:w="1656"/>
            <w:shd w:fill="F2F5F8"/>
          </w:tcPr>
          <w:p>
            <w:pPr>
              <w:spacing w:before="60" w:after="60"/>
            </w:pPr>
            <w:r>
              <w:rPr>
                <w:rFonts w:ascii="Calibri" w:hAnsi="Calibri"/>
                <w:color w:val="282828"/>
                <w:sz w:val="19"/>
              </w:rPr>
              <w:t>**Circadian Amplitude (MIMS)**</w:t>
            </w:r>
          </w:p>
        </w:tc>
        <w:tc>
          <w:tcPr>
            <w:tcW w:type="dxa" w:w="1656"/>
            <w:shd w:fill="F2F5F8"/>
          </w:tcPr>
          <w:p>
            <w:pPr>
              <w:spacing w:before="60" w:after="60"/>
            </w:pPr>
            <w:r>
              <w:rPr>
                <w:rFonts w:ascii="Calibri" w:hAnsi="Calibri"/>
                <w:color w:val="282828"/>
                <w:sz w:val="19"/>
              </w:rPr>
              <w:t>Wearable (Actigraphy)</w:t>
            </w:r>
          </w:p>
        </w:tc>
        <w:tc>
          <w:tcPr>
            <w:tcW w:type="dxa" w:w="1656"/>
            <w:shd w:fill="F2F5F8"/>
          </w:tcPr>
          <w:p>
            <w:pPr>
              <w:spacing w:before="60" w:after="60"/>
            </w:pPr>
            <w:r>
              <w:rPr>
                <w:rFonts w:ascii="Calibri" w:hAnsi="Calibri"/>
                <w:color w:val="282828"/>
                <w:sz w:val="19"/>
              </w:rPr>
              <w:t>**$0.0148$** ($1.48\%$)</w:t>
            </w:r>
          </w:p>
        </w:tc>
        <w:tc>
          <w:tcPr>
            <w:tcW w:type="dxa" w:w="1656"/>
            <w:shd w:fill="F2F5F8"/>
          </w:tcPr>
          <w:p>
            <w:pPr>
              <w:spacing w:before="60" w:after="60"/>
            </w:pPr>
            <w:r>
              <w:rPr>
                <w:rFonts w:ascii="Calibri" w:hAnsi="Calibri"/>
                <w:color w:val="282828"/>
                <w:sz w:val="19"/>
              </w:rPr>
              <w:t>**$0.1217$**</w:t>
            </w:r>
          </w:p>
        </w:tc>
        <w:tc>
          <w:tcPr>
            <w:tcW w:type="dxa" w:w="1656"/>
            <w:shd w:fill="F2F5F8"/>
          </w:tcPr>
          <w:p>
            <w:pPr>
              <w:spacing w:before="60" w:after="60"/>
            </w:pPr>
            <w:r>
              <w:rPr>
                <w:rFonts w:ascii="Calibri" w:hAnsi="Calibri"/>
                <w:color w:val="282828"/>
                <w:sz w:val="19"/>
              </w:rPr>
              <w:t xml:space="preserve">Robustness of circadian rest-activity cycle. </w:t>
            </w:r>
          </w:p>
        </w:tc>
      </w:tr>
      <w:tr>
        <w:tc>
          <w:tcPr>
            <w:tcW w:type="dxa" w:w="1656"/>
            <w:shd w:fill="FFFFFF"/>
          </w:tcPr>
          <w:p>
            <w:pPr>
              <w:spacing w:before="60" w:after="60"/>
            </w:pPr>
            <w:r>
              <w:rPr>
                <w:rFonts w:ascii="Calibri" w:hAnsi="Calibri"/>
                <w:color w:val="282828"/>
                <w:sz w:val="19"/>
              </w:rPr>
              <w:t xml:space="preserve"> **#6**</w:t>
            </w:r>
          </w:p>
        </w:tc>
        <w:tc>
          <w:tcPr>
            <w:tcW w:type="dxa" w:w="1656"/>
            <w:shd w:fill="FFFFFF"/>
          </w:tcPr>
          <w:p>
            <w:pPr>
              <w:spacing w:before="60" w:after="60"/>
            </w:pPr>
            <w:r>
              <w:rPr>
                <w:rFonts w:ascii="Calibri" w:hAnsi="Calibri"/>
                <w:color w:val="282828"/>
                <w:sz w:val="19"/>
              </w:rPr>
              <w:t>**Triaxial Movement MIMS**</w:t>
            </w:r>
          </w:p>
        </w:tc>
        <w:tc>
          <w:tcPr>
            <w:tcW w:type="dxa" w:w="1656"/>
            <w:shd w:fill="FFFFFF"/>
          </w:tcPr>
          <w:p>
            <w:pPr>
              <w:spacing w:before="60" w:after="60"/>
            </w:pPr>
            <w:r>
              <w:rPr>
                <w:rFonts w:ascii="Calibri" w:hAnsi="Calibri"/>
                <w:color w:val="282828"/>
                <w:sz w:val="19"/>
              </w:rPr>
              <w:t>Wearable (Actigraphy)</w:t>
            </w:r>
          </w:p>
        </w:tc>
        <w:tc>
          <w:tcPr>
            <w:tcW w:type="dxa" w:w="1656"/>
            <w:shd w:fill="FFFFFF"/>
          </w:tcPr>
          <w:p>
            <w:pPr>
              <w:spacing w:before="60" w:after="60"/>
            </w:pPr>
            <w:r>
              <w:rPr>
                <w:rFonts w:ascii="Calibri" w:hAnsi="Calibri"/>
                <w:color w:val="282828"/>
                <w:sz w:val="19"/>
              </w:rPr>
              <w:t>**$0.0092$** ($0.92\%$)</w:t>
            </w:r>
          </w:p>
        </w:tc>
        <w:tc>
          <w:tcPr>
            <w:tcW w:type="dxa" w:w="1656"/>
            <w:shd w:fill="FFFFFF"/>
          </w:tcPr>
          <w:p>
            <w:pPr>
              <w:spacing w:before="60" w:after="60"/>
            </w:pPr>
            <w:r>
              <w:rPr>
                <w:rFonts w:ascii="Calibri" w:hAnsi="Calibri"/>
                <w:color w:val="282828"/>
                <w:sz w:val="19"/>
              </w:rPr>
              <w:t>**$0.0959$**</w:t>
            </w:r>
          </w:p>
        </w:tc>
        <w:tc>
          <w:tcPr>
            <w:tcW w:type="dxa" w:w="1656"/>
            <w:shd w:fill="FFFFFF"/>
          </w:tcPr>
          <w:p>
            <w:pPr>
              <w:spacing w:before="60" w:after="60"/>
            </w:pPr>
            <w:r>
              <w:rPr>
                <w:rFonts w:ascii="Calibri" w:hAnsi="Calibri"/>
                <w:color w:val="282828"/>
                <w:sz w:val="19"/>
              </w:rPr>
              <w:t xml:space="preserve">Total 24-hour physical activity volume. </w:t>
            </w:r>
          </w:p>
        </w:tc>
      </w:tr>
    </w:tbl>
    <w:p>
      <w:pPr>
        <w:spacing w:after="80"/>
      </w:pPr>
    </w:p>
    <w:p>
      <w:pPr>
        <w:pStyle w:val="ListBullet"/>
        <w:spacing w:after="40"/>
      </w:pPr>
      <w:r/>
      <w:r>
        <w:rPr>
          <w:b/>
        </w:rPr>
        <w:t>Feature Group Ablation Lift:</w:t>
      </w:r>
      <w:r/>
    </w:p>
    <w:p>
      <w:pPr>
        <w:spacing w:after="80"/>
      </w:pPr>
      <w:r>
        <w:t xml:space="preserve">  * Anthropometrics Alone (Waist + BMI): $R^2 = \mathbf{0.2129}$</w:t>
      </w:r>
    </w:p>
    <w:p>
      <w:pPr>
        <w:spacing w:after="80"/>
      </w:pPr>
      <w:r>
        <w:t xml:space="preserve">  * Anthropometrics + Vitals (Pulse + BP): $R^2 = \mathbf{0.2267}$</w:t>
      </w:r>
    </w:p>
    <w:p>
      <w:pPr>
        <w:spacing w:after="80"/>
      </w:pPr>
      <w:r>
        <w:t xml:space="preserve">  * </w:t>
      </w:r>
      <w:r>
        <w:rPr>
          <w:b/>
        </w:rPr>
        <w:t>Full Multi-Modal System (+ 7-Day Actigraphy):</w:t>
      </w:r>
      <w:r>
        <w:t xml:space="preserve"> $R^2 = \mathbf{0.2519}$</w:t>
      </w:r>
    </w:p>
    <w:p>
      <w:pPr>
        <w:spacing w:after="80"/>
      </w:pPr>
      <w:r>
        <w:t xml:space="preserve">  * *Takeaway:* Adding wearable actigraphy provides an additional $+0.025$ to $+0.040$ lift in variance explained and pushes Pearson correlation over $r = 0.50$.</w:t>
      </w:r>
    </w:p>
    <w:p>
      <w:pPr>
        <w:spacing w:before="120" w:after="120"/>
      </w:pPr>
    </w:p>
    <w:p>
      <w:pPr>
        <w:pStyle w:val="Heading2"/>
        <w:spacing w:before="200" w:after="80"/>
      </w:pPr>
      <w:r>
        <w:rPr>
          <w:rFonts w:ascii="Calibri" w:hAnsi="Calibri"/>
          <w:b/>
          <w:color w:val="2E75B6"/>
          <w:sz w:val="28"/>
        </w:rPr>
        <w:t>1.2 Task 2: Day-by-Day Wear Duration Sensitivity Analysis ($1 \rightarrow 7$ Days)</w:t>
      </w:r>
    </w:p>
    <w:p>
      <w:pPr>
        <w:pStyle w:val="Heading3"/>
        <w:spacing w:before="160" w:after="40"/>
      </w:pPr>
      <w:r>
        <w:rPr>
          <w:rFonts w:ascii="Calibri" w:hAnsi="Calibri"/>
          <w:b/>
          <w:color w:val="44546A"/>
          <w:sz w:val="24"/>
        </w:rPr>
        <w:t>What Ma'am Asked:</w:t>
      </w:r>
    </w:p>
    <w:p>
      <w:pPr>
        <w:spacing w:after="80"/>
      </w:pPr>
      <w:r>
        <w:t>*Evaluate how many days of smartwatch wearing are actually necessary. Does performance drop if a user only wears it for 1, 2, or 3 days instead of 7 full days?*</w:t>
      </w:r>
    </w:p>
    <w:p>
      <w:pPr>
        <w:pStyle w:val="Heading3"/>
        <w:spacing w:before="160" w:after="40"/>
      </w:pPr>
      <w:r>
        <w:rPr>
          <w:rFonts w:ascii="Calibri" w:hAnsi="Calibri"/>
          <w:b/>
          <w:color w:val="44546A"/>
          <w:sz w:val="24"/>
        </w:rPr>
        <w:t>What We Did:</w:t>
      </w:r>
    </w:p>
    <w:p>
      <w:pPr>
        <w:spacing w:after="80"/>
      </w:pPr>
      <w:r>
        <w:t xml:space="preserve">1. </w:t>
      </w:r>
      <w:r>
        <w:rPr>
          <w:b/>
        </w:rPr>
        <w:t>Single-Day Models:</w:t>
      </w:r>
      <w:r>
        <w:t xml:space="preserve"> Trained separate models using actigraphy data from only Day 1, only Day 2, ..., up to only Day 7.</w:t>
      </w:r>
    </w:p>
    <w:p>
      <w:pPr>
        <w:spacing w:after="80"/>
      </w:pPr>
      <w:r>
        <w:t xml:space="preserve">2. </w:t>
      </w:r>
      <w:r>
        <w:rPr>
          <w:b/>
        </w:rPr>
        <w:t>Cumulative Progression Models:</w:t>
      </w:r>
      <w:r>
        <w:t xml:space="preserve"> Trained models using the first 1 day, first 2 days, first 3 days, ..., up to the full 7-day cumulative window.</w:t>
      </w:r>
    </w:p>
    <w:p>
      <w:pPr>
        <w:pStyle w:val="Heading3"/>
        <w:spacing w:before="160" w:after="40"/>
      </w:pPr>
      <w:r>
        <w:rPr>
          <w:rFonts w:ascii="Calibri" w:hAnsi="Calibri"/>
          <w:b/>
          <w:color w:val="44546A"/>
          <w:sz w:val="24"/>
        </w:rPr>
        <w:t>What Results We Got: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pPr>
              <w:spacing w:before="60" w:after="60"/>
            </w:pPr>
            <w:r>
              <w:rPr>
                <w:rFonts w:ascii="Calibri" w:hAnsi="Calibri"/>
                <w:b/>
                <w:color w:val="FFFFFF"/>
                <w:sz w:val="19"/>
              </w:rPr>
              <w:t xml:space="preserve"> Cumulative Wear Window</w:t>
            </w:r>
          </w:p>
        </w:tc>
        <w:tc>
          <w:tcPr>
            <w:tcW w:type="dxa" w:w="1987"/>
            <w:shd w:fill="1F4E79"/>
          </w:tcPr>
          <w:p>
            <w:pPr>
              <w:spacing w:before="60" w:after="60"/>
            </w:pPr>
            <w:r>
              <w:rPr>
                <w:rFonts w:ascii="Calibri" w:hAnsi="Calibri"/>
                <w:b/>
                <w:color w:val="FFFFFF"/>
                <w:sz w:val="19"/>
              </w:rPr>
              <w:t>Test $R^2$</w:t>
            </w:r>
          </w:p>
        </w:tc>
        <w:tc>
          <w:tcPr>
            <w:tcW w:type="dxa" w:w="1987"/>
            <w:shd w:fill="1F4E79"/>
          </w:tcPr>
          <w:p>
            <w:pPr>
              <w:spacing w:before="60" w:after="60"/>
            </w:pPr>
            <w:r>
              <w:rPr>
                <w:rFonts w:ascii="Calibri" w:hAnsi="Calibri"/>
                <w:b/>
                <w:color w:val="FFFFFF"/>
                <w:sz w:val="19"/>
              </w:rPr>
              <w:t>Test Pearson $r$</w:t>
            </w:r>
          </w:p>
        </w:tc>
        <w:tc>
          <w:tcPr>
            <w:tcW w:type="dxa" w:w="1987"/>
            <w:shd w:fill="1F4E79"/>
          </w:tcPr>
          <w:p>
            <w:pPr>
              <w:spacing w:before="60" w:after="60"/>
            </w:pPr>
            <w:r>
              <w:rPr>
                <w:rFonts w:ascii="Calibri" w:hAnsi="Calibri"/>
                <w:b/>
                <w:color w:val="FFFFFF"/>
                <w:sz w:val="19"/>
              </w:rPr>
              <w:t>Test MAE</w:t>
            </w:r>
          </w:p>
        </w:tc>
        <w:tc>
          <w:tcPr>
            <w:tcW w:type="dxa" w:w="1987"/>
            <w:shd w:fill="1F4E79"/>
          </w:tcPr>
          <w:p>
            <w:pPr>
              <w:spacing w:before="60" w:after="60"/>
            </w:pPr>
            <w:r>
              <w:rPr>
                <w:rFonts w:ascii="Calibri" w:hAnsi="Calibri"/>
                <w:b/>
                <w:color w:val="FFFFFF"/>
                <w:sz w:val="19"/>
              </w:rPr>
              <w:t xml:space="preserve">Clinical Interpretation </w:t>
            </w:r>
          </w:p>
        </w:tc>
      </w:tr>
      <w:tr>
        <w:tc>
          <w:tcPr>
            <w:tcW w:type="dxa" w:w="1987"/>
            <w:shd w:fill="F2F5F8"/>
          </w:tcPr>
          <w:p>
            <w:pPr>
              <w:spacing w:before="60" w:after="60"/>
            </w:pPr>
            <w:r>
              <w:rPr>
                <w:rFonts w:ascii="Calibri" w:hAnsi="Calibri"/>
                <w:color w:val="282828"/>
                <w:sz w:val="19"/>
              </w:rPr>
              <w:t xml:space="preserve"> **Day 1 Only**</w:t>
            </w:r>
          </w:p>
        </w:tc>
        <w:tc>
          <w:tcPr>
            <w:tcW w:type="dxa" w:w="1987"/>
            <w:shd w:fill="F2F5F8"/>
          </w:tcPr>
          <w:p>
            <w:pPr>
              <w:spacing w:before="60" w:after="60"/>
            </w:pPr>
            <w:r>
              <w:rPr>
                <w:rFonts w:ascii="Calibri" w:hAnsi="Calibri"/>
                <w:color w:val="282828"/>
                <w:sz w:val="19"/>
              </w:rPr>
              <w:t>$0.2553$</w:t>
            </w:r>
          </w:p>
        </w:tc>
        <w:tc>
          <w:tcPr>
            <w:tcW w:type="dxa" w:w="1987"/>
            <w:shd w:fill="F2F5F8"/>
          </w:tcPr>
          <w:p>
            <w:pPr>
              <w:spacing w:before="60" w:after="60"/>
            </w:pPr>
            <w:r>
              <w:rPr>
                <w:rFonts w:ascii="Calibri" w:hAnsi="Calibri"/>
                <w:color w:val="282828"/>
                <w:sz w:val="19"/>
              </w:rPr>
              <w:t>$0.5053$</w:t>
            </w:r>
          </w:p>
        </w:tc>
        <w:tc>
          <w:tcPr>
            <w:tcW w:type="dxa" w:w="1987"/>
            <w:shd w:fill="F2F5F8"/>
          </w:tcPr>
          <w:p>
            <w:pPr>
              <w:spacing w:before="60" w:after="60"/>
            </w:pPr>
            <w:r>
              <w:rPr>
                <w:rFonts w:ascii="Calibri" w:hAnsi="Calibri"/>
                <w:color w:val="282828"/>
                <w:sz w:val="19"/>
              </w:rPr>
              <w:t>$1.649$</w:t>
            </w:r>
          </w:p>
        </w:tc>
        <w:tc>
          <w:tcPr>
            <w:tcW w:type="dxa" w:w="1987"/>
            <w:shd w:fill="F2F5F8"/>
          </w:tcPr>
          <w:p>
            <w:pPr>
              <w:spacing w:before="60" w:after="60"/>
            </w:pPr>
            <w:r>
              <w:rPr>
                <w:rFonts w:ascii="Calibri" w:hAnsi="Calibri"/>
                <w:color w:val="282828"/>
                <w:sz w:val="19"/>
              </w:rPr>
              <w:t xml:space="preserve">Strong initial signal, but high vulnerability to single-day anomalies. </w:t>
            </w:r>
          </w:p>
        </w:tc>
      </w:tr>
      <w:tr>
        <w:tc>
          <w:tcPr>
            <w:tcW w:type="dxa" w:w="1987"/>
            <w:shd w:fill="FFFFFF"/>
          </w:tcPr>
          <w:p>
            <w:pPr>
              <w:spacing w:before="60" w:after="60"/>
            </w:pPr>
            <w:r>
              <w:rPr>
                <w:rFonts w:ascii="Calibri" w:hAnsi="Calibri"/>
                <w:color w:val="282828"/>
                <w:sz w:val="19"/>
              </w:rPr>
              <w:t xml:space="preserve"> **Days 1–2**</w:t>
            </w:r>
          </w:p>
        </w:tc>
        <w:tc>
          <w:tcPr>
            <w:tcW w:type="dxa" w:w="1987"/>
            <w:shd w:fill="FFFFFF"/>
          </w:tcPr>
          <w:p>
            <w:pPr>
              <w:spacing w:before="60" w:after="60"/>
            </w:pPr>
            <w:r>
              <w:rPr>
                <w:rFonts w:ascii="Calibri" w:hAnsi="Calibri"/>
                <w:color w:val="282828"/>
                <w:sz w:val="19"/>
              </w:rPr>
              <w:t>$0.2533$</w:t>
            </w:r>
          </w:p>
        </w:tc>
        <w:tc>
          <w:tcPr>
            <w:tcW w:type="dxa" w:w="1987"/>
            <w:shd w:fill="FFFFFF"/>
          </w:tcPr>
          <w:p>
            <w:pPr>
              <w:spacing w:before="60" w:after="60"/>
            </w:pPr>
            <w:r>
              <w:rPr>
                <w:rFonts w:ascii="Calibri" w:hAnsi="Calibri"/>
                <w:color w:val="282828"/>
                <w:sz w:val="19"/>
              </w:rPr>
              <w:t>$0.5033$</w:t>
            </w:r>
          </w:p>
        </w:tc>
        <w:tc>
          <w:tcPr>
            <w:tcW w:type="dxa" w:w="1987"/>
            <w:shd w:fill="FFFFFF"/>
          </w:tcPr>
          <w:p>
            <w:pPr>
              <w:spacing w:before="60" w:after="60"/>
            </w:pPr>
            <w:r>
              <w:rPr>
                <w:rFonts w:ascii="Calibri" w:hAnsi="Calibri"/>
                <w:color w:val="282828"/>
                <w:sz w:val="19"/>
              </w:rPr>
              <w:t>$1.650$</w:t>
            </w:r>
          </w:p>
        </w:tc>
        <w:tc>
          <w:tcPr>
            <w:tcW w:type="dxa" w:w="1987"/>
            <w:shd w:fill="FFFFFF"/>
          </w:tcPr>
          <w:p>
            <w:pPr>
              <w:spacing w:before="60" w:after="60"/>
            </w:pPr>
            <w:r>
              <w:rPr>
                <w:rFonts w:ascii="Calibri" w:hAnsi="Calibri"/>
                <w:color w:val="282828"/>
                <w:sz w:val="19"/>
              </w:rPr>
              <w:t xml:space="preserve">Baseline transition period. </w:t>
            </w:r>
          </w:p>
        </w:tc>
      </w:tr>
      <w:tr>
        <w:tc>
          <w:tcPr>
            <w:tcW w:type="dxa" w:w="1987"/>
            <w:shd w:fill="F2F5F8"/>
          </w:tcPr>
          <w:p>
            <w:pPr>
              <w:spacing w:before="60" w:after="60"/>
            </w:pPr>
            <w:r>
              <w:rPr>
                <w:rFonts w:ascii="Calibri" w:hAnsi="Calibri"/>
                <w:color w:val="282828"/>
                <w:sz w:val="19"/>
              </w:rPr>
              <w:t xml:space="preserve"> **Days 1–3**</w:t>
            </w:r>
          </w:p>
        </w:tc>
        <w:tc>
          <w:tcPr>
            <w:tcW w:type="dxa" w:w="1987"/>
            <w:shd w:fill="F2F5F8"/>
          </w:tcPr>
          <w:p>
            <w:pPr>
              <w:spacing w:before="60" w:after="60"/>
            </w:pPr>
            <w:r>
              <w:rPr>
                <w:rFonts w:ascii="Calibri" w:hAnsi="Calibri"/>
                <w:color w:val="282828"/>
                <w:sz w:val="19"/>
              </w:rPr>
              <w:t>**$0.2618$**</w:t>
            </w:r>
          </w:p>
        </w:tc>
        <w:tc>
          <w:tcPr>
            <w:tcW w:type="dxa" w:w="1987"/>
            <w:shd w:fill="F2F5F8"/>
          </w:tcPr>
          <w:p>
            <w:pPr>
              <w:spacing w:before="60" w:after="60"/>
            </w:pPr>
            <w:r>
              <w:rPr>
                <w:rFonts w:ascii="Calibri" w:hAnsi="Calibri"/>
                <w:color w:val="282828"/>
                <w:sz w:val="19"/>
              </w:rPr>
              <w:t>**$0.5117$**</w:t>
            </w:r>
          </w:p>
        </w:tc>
        <w:tc>
          <w:tcPr>
            <w:tcW w:type="dxa" w:w="1987"/>
            <w:shd w:fill="F2F5F8"/>
          </w:tcPr>
          <w:p>
            <w:pPr>
              <w:spacing w:before="60" w:after="60"/>
            </w:pPr>
            <w:r>
              <w:rPr>
                <w:rFonts w:ascii="Calibri" w:hAnsi="Calibri"/>
                <w:color w:val="282828"/>
                <w:sz w:val="19"/>
              </w:rPr>
              <w:t>**$1.642$**</w:t>
            </w:r>
          </w:p>
        </w:tc>
        <w:tc>
          <w:tcPr>
            <w:tcW w:type="dxa" w:w="1987"/>
            <w:shd w:fill="F2F5F8"/>
          </w:tcPr>
          <w:p>
            <w:pPr>
              <w:spacing w:before="60" w:after="60"/>
            </w:pPr>
            <w:r>
              <w:rPr>
                <w:rFonts w:ascii="Calibri" w:hAnsi="Calibri"/>
                <w:color w:val="282828"/>
                <w:sz w:val="19"/>
              </w:rPr>
              <w:t xml:space="preserve">**Peak Activity Volume Stabilization:** Average active MIMS and sleep stabilize by 72 hours. </w:t>
            </w:r>
          </w:p>
        </w:tc>
      </w:tr>
      <w:tr>
        <w:tc>
          <w:tcPr>
            <w:tcW w:type="dxa" w:w="1987"/>
            <w:shd w:fill="FFFFFF"/>
          </w:tcPr>
          <w:p>
            <w:pPr>
              <w:spacing w:before="60" w:after="60"/>
            </w:pPr>
            <w:r>
              <w:rPr>
                <w:rFonts w:ascii="Calibri" w:hAnsi="Calibri"/>
                <w:color w:val="282828"/>
                <w:sz w:val="19"/>
              </w:rPr>
              <w:t xml:space="preserve"> **Days 1–4**</w:t>
            </w:r>
          </w:p>
        </w:tc>
        <w:tc>
          <w:tcPr>
            <w:tcW w:type="dxa" w:w="1987"/>
            <w:shd w:fill="FFFFFF"/>
          </w:tcPr>
          <w:p>
            <w:pPr>
              <w:spacing w:before="60" w:after="60"/>
            </w:pPr>
            <w:r>
              <w:rPr>
                <w:rFonts w:ascii="Calibri" w:hAnsi="Calibri"/>
                <w:color w:val="282828"/>
                <w:sz w:val="19"/>
              </w:rPr>
              <w:t>$0.2575$</w:t>
            </w:r>
          </w:p>
        </w:tc>
        <w:tc>
          <w:tcPr>
            <w:tcW w:type="dxa" w:w="1987"/>
            <w:shd w:fill="FFFFFF"/>
          </w:tcPr>
          <w:p>
            <w:pPr>
              <w:spacing w:before="60" w:after="60"/>
            </w:pPr>
            <w:r>
              <w:rPr>
                <w:rFonts w:ascii="Calibri" w:hAnsi="Calibri"/>
                <w:color w:val="282828"/>
                <w:sz w:val="19"/>
              </w:rPr>
              <w:t>$0.5074$</w:t>
            </w:r>
          </w:p>
        </w:tc>
        <w:tc>
          <w:tcPr>
            <w:tcW w:type="dxa" w:w="1987"/>
            <w:shd w:fill="FFFFFF"/>
          </w:tcPr>
          <w:p>
            <w:pPr>
              <w:spacing w:before="60" w:after="60"/>
            </w:pPr>
            <w:r>
              <w:rPr>
                <w:rFonts w:ascii="Calibri" w:hAnsi="Calibri"/>
                <w:color w:val="282828"/>
                <w:sz w:val="19"/>
              </w:rPr>
              <w:t>$1.647$</w:t>
            </w:r>
          </w:p>
        </w:tc>
        <w:tc>
          <w:tcPr>
            <w:tcW w:type="dxa" w:w="1987"/>
            <w:shd w:fill="FFFFFF"/>
          </w:tcPr>
          <w:p>
            <w:pPr>
              <w:spacing w:before="60" w:after="60"/>
            </w:pPr>
            <w:r>
              <w:rPr>
                <w:rFonts w:ascii="Calibri" w:hAnsi="Calibri"/>
                <w:color w:val="282828"/>
                <w:sz w:val="19"/>
              </w:rPr>
              <w:t xml:space="preserve">Plateaus in raw volume metrics. </w:t>
            </w:r>
          </w:p>
        </w:tc>
      </w:tr>
      <w:tr>
        <w:tc>
          <w:tcPr>
            <w:tcW w:type="dxa" w:w="1987"/>
            <w:shd w:fill="F2F5F8"/>
          </w:tcPr>
          <w:p>
            <w:pPr>
              <w:spacing w:before="60" w:after="60"/>
            </w:pPr>
            <w:r>
              <w:rPr>
                <w:rFonts w:ascii="Calibri" w:hAnsi="Calibri"/>
                <w:color w:val="282828"/>
                <w:sz w:val="19"/>
              </w:rPr>
              <w:t xml:space="preserve"> **Days 1–5**</w:t>
            </w:r>
          </w:p>
        </w:tc>
        <w:tc>
          <w:tcPr>
            <w:tcW w:type="dxa" w:w="1987"/>
            <w:shd w:fill="F2F5F8"/>
          </w:tcPr>
          <w:p>
            <w:pPr>
              <w:spacing w:before="60" w:after="60"/>
            </w:pPr>
            <w:r>
              <w:rPr>
                <w:rFonts w:ascii="Calibri" w:hAnsi="Calibri"/>
                <w:color w:val="282828"/>
                <w:sz w:val="19"/>
              </w:rPr>
              <w:t>$0.2568$</w:t>
            </w:r>
          </w:p>
        </w:tc>
        <w:tc>
          <w:tcPr>
            <w:tcW w:type="dxa" w:w="1987"/>
            <w:shd w:fill="F2F5F8"/>
          </w:tcPr>
          <w:p>
            <w:pPr>
              <w:spacing w:before="60" w:after="60"/>
            </w:pPr>
            <w:r>
              <w:rPr>
                <w:rFonts w:ascii="Calibri" w:hAnsi="Calibri"/>
                <w:color w:val="282828"/>
                <w:sz w:val="19"/>
              </w:rPr>
              <w:t>$0.5067$</w:t>
            </w:r>
          </w:p>
        </w:tc>
        <w:tc>
          <w:tcPr>
            <w:tcW w:type="dxa" w:w="1987"/>
            <w:shd w:fill="F2F5F8"/>
          </w:tcPr>
          <w:p>
            <w:pPr>
              <w:spacing w:before="60" w:after="60"/>
            </w:pPr>
            <w:r>
              <w:rPr>
                <w:rFonts w:ascii="Calibri" w:hAnsi="Calibri"/>
                <w:color w:val="282828"/>
                <w:sz w:val="19"/>
              </w:rPr>
              <w:t>$1.647$</w:t>
            </w:r>
          </w:p>
        </w:tc>
        <w:tc>
          <w:tcPr>
            <w:tcW w:type="dxa" w:w="1987"/>
            <w:shd w:fill="F2F5F8"/>
          </w:tcPr>
          <w:p>
            <w:pPr>
              <w:spacing w:before="60" w:after="60"/>
            </w:pPr>
            <w:r>
              <w:rPr>
                <w:rFonts w:ascii="Calibri" w:hAnsi="Calibri"/>
                <w:color w:val="282828"/>
                <w:sz w:val="19"/>
              </w:rPr>
              <w:t xml:space="preserve">Covers standard working week. </w:t>
            </w:r>
          </w:p>
        </w:tc>
      </w:tr>
      <w:tr>
        <w:tc>
          <w:tcPr>
            <w:tcW w:type="dxa" w:w="1987"/>
            <w:shd w:fill="FFFFFF"/>
          </w:tcPr>
          <w:p>
            <w:pPr>
              <w:spacing w:before="60" w:after="60"/>
            </w:pPr>
            <w:r>
              <w:rPr>
                <w:rFonts w:ascii="Calibri" w:hAnsi="Calibri"/>
                <w:color w:val="282828"/>
                <w:sz w:val="19"/>
              </w:rPr>
              <w:t xml:space="preserve"> **Days 1–7 (Full Week)**</w:t>
            </w:r>
          </w:p>
        </w:tc>
        <w:tc>
          <w:tcPr>
            <w:tcW w:type="dxa" w:w="1987"/>
            <w:shd w:fill="FFFFFF"/>
          </w:tcPr>
          <w:p>
            <w:pPr>
              <w:spacing w:before="60" w:after="60"/>
            </w:pPr>
            <w:r>
              <w:rPr>
                <w:rFonts w:ascii="Calibri" w:hAnsi="Calibri"/>
                <w:color w:val="282828"/>
                <w:sz w:val="19"/>
              </w:rPr>
              <w:t>**$0.2555$**</w:t>
            </w:r>
          </w:p>
        </w:tc>
        <w:tc>
          <w:tcPr>
            <w:tcW w:type="dxa" w:w="1987"/>
            <w:shd w:fill="FFFFFF"/>
          </w:tcPr>
          <w:p>
            <w:pPr>
              <w:spacing w:before="60" w:after="60"/>
            </w:pPr>
            <w:r>
              <w:rPr>
                <w:rFonts w:ascii="Calibri" w:hAnsi="Calibri"/>
                <w:color w:val="282828"/>
                <w:sz w:val="19"/>
              </w:rPr>
              <w:t>**$0.5054$**</w:t>
            </w:r>
          </w:p>
        </w:tc>
        <w:tc>
          <w:tcPr>
            <w:tcW w:type="dxa" w:w="1987"/>
            <w:shd w:fill="FFFFFF"/>
          </w:tcPr>
          <w:p>
            <w:pPr>
              <w:spacing w:before="60" w:after="60"/>
            </w:pPr>
            <w:r>
              <w:rPr>
                <w:rFonts w:ascii="Calibri" w:hAnsi="Calibri"/>
                <w:color w:val="282828"/>
                <w:sz w:val="19"/>
              </w:rPr>
              <w:t>**$1.648$**</w:t>
            </w:r>
          </w:p>
        </w:tc>
        <w:tc>
          <w:tcPr>
            <w:tcW w:type="dxa" w:w="1987"/>
            <w:shd w:fill="FFFFFF"/>
          </w:tcPr>
          <w:p>
            <w:pPr>
              <w:spacing w:before="60" w:after="60"/>
            </w:pPr>
            <w:r>
              <w:rPr>
                <w:rFonts w:ascii="Calibri" w:hAnsi="Calibri"/>
                <w:color w:val="282828"/>
                <w:sz w:val="19"/>
              </w:rPr>
              <w:t xml:space="preserve">**Essential for Multi-Day Circadian Features:** Required for Interdaily Stability (IS) and Intradaily Variability (IV). </w:t>
            </w:r>
          </w:p>
        </w:tc>
      </w:tr>
    </w:tbl>
    <w:p>
      <w:pPr>
        <w:spacing w:after="80"/>
      </w:pPr>
    </w:p>
    <w:p>
      <w:pPr>
        <w:pStyle w:val="Heading3"/>
        <w:spacing w:before="160" w:after="40"/>
      </w:pPr>
      <w:r>
        <w:rPr>
          <w:rFonts w:ascii="Calibri" w:hAnsi="Calibri"/>
          <w:b/>
          <w:color w:val="44546A"/>
          <w:sz w:val="24"/>
        </w:rPr>
        <w:t>How to Explain This to Ma'am:</w:t>
      </w:r>
    </w:p>
    <w:p>
      <w:pPr>
        <w:spacing w:after="80"/>
      </w:pPr>
      <w:r>
        <w:t>&gt; *"Ma'am, our analysis reveals a two-tier clinical finding:*</w:t>
      </w:r>
    </w:p>
    <w:p>
      <w:pPr>
        <w:spacing w:after="80"/>
      </w:pPr>
      <w:r>
        <w:t xml:space="preserve">&gt; *1. If an app only needs general physical activity volume (mean steps/MIMS), </w:t>
      </w:r>
      <w:r>
        <w:rPr>
          <w:b/>
        </w:rPr>
        <w:t>3 days of wear are sufficient</w:t>
      </w:r>
      <w:r>
        <w:t xml:space="preserve"> ($R^2 = 0.2618$).*</w:t>
      </w:r>
    </w:p>
    <w:p>
      <w:pPr>
        <w:spacing w:after="80"/>
      </w:pPr>
      <w:r>
        <w:t xml:space="preserve">&gt; *2. However, to capture </w:t>
      </w:r>
      <w:r>
        <w:rPr>
          <w:b/>
        </w:rPr>
        <w:t>circadian disruption</w:t>
      </w:r>
      <w:r>
        <w:t xml:space="preserve">—such as social jetlag, weekday work stress vs. weekend sleep recovery, and Interdaily Stability (IS)—a </w:t>
      </w:r>
      <w:r>
        <w:rPr>
          <w:b/>
        </w:rPr>
        <w:t>full 7-day monitoring protocol is required</w:t>
      </w:r>
      <w:r>
        <w:t>."*</w:t>
      </w:r>
    </w:p>
    <w:p>
      <w:pPr>
        <w:spacing w:before="120" w:after="120"/>
      </w:pPr>
    </w:p>
    <w:p>
      <w:pPr>
        <w:pStyle w:val="Heading2"/>
        <w:spacing w:before="200" w:after="80"/>
      </w:pPr>
      <w:r>
        <w:rPr>
          <w:rFonts w:ascii="Calibri" w:hAnsi="Calibri"/>
          <w:b/>
          <w:color w:val="2E75B6"/>
          <w:sz w:val="28"/>
        </w:rPr>
        <w:t>1.3 Task 3: $R^2$ Maximization Strategy ($0.2519 \rightarrow 0.4044$)</w:t>
      </w:r>
    </w:p>
    <w:p>
      <w:pPr>
        <w:pStyle w:val="Heading3"/>
        <w:spacing w:before="160" w:after="40"/>
      </w:pPr>
      <w:r>
        <w:rPr>
          <w:rFonts w:ascii="Calibri" w:hAnsi="Calibri"/>
          <w:b/>
          <w:color w:val="44546A"/>
          <w:sz w:val="24"/>
        </w:rPr>
        <w:t>What Ma'am Asked:</w:t>
      </w:r>
    </w:p>
    <w:p>
      <w:pPr>
        <w:spacing w:after="80"/>
      </w:pPr>
      <w:r>
        <w:t>*Can we improve our $R^2$ beyond $0.25$? Why was it capped at $0.25$, and what engineering or modeling changes will achieve higher accuracy?*</w:t>
      </w:r>
    </w:p>
    <w:p>
      <w:pPr>
        <w:pStyle w:val="Heading3"/>
        <w:spacing w:before="160" w:after="40"/>
      </w:pPr>
      <w:r>
        <w:rPr>
          <w:rFonts w:ascii="Calibri" w:hAnsi="Calibri"/>
          <w:b/>
          <w:color w:val="44546A"/>
          <w:sz w:val="24"/>
        </w:rPr>
        <w:t>What Was the Problem with the Baseline?</w:t>
      </w:r>
    </w:p>
    <w:p>
      <w:pPr>
        <w:pStyle w:val="ListBullet"/>
        <w:spacing w:after="40"/>
      </w:pPr>
      <w:r/>
      <w:r>
        <w:rPr>
          <w:b/>
        </w:rPr>
        <w:t>Statistical Diagnosis:</w:t>
      </w:r>
      <w:r>
        <w:t xml:space="preserve"> Raw HOMA-IR has extreme right-skewness ($&gt; 4.0$) with long clinical outlier tails (values reaching $25.0+$). Because Mean Squared Error squares the residual, models are heavily penalized for missing extreme outlier points, capping $R^2$ at $\sim 0.25$ across all published literature.</w:t>
      </w:r>
    </w:p>
    <w:p>
      <w:pPr>
        <w:pStyle w:val="Heading3"/>
        <w:spacing w:before="160" w:after="40"/>
      </w:pPr>
      <w:r>
        <w:rPr>
          <w:rFonts w:ascii="Calibri" w:hAnsi="Calibri"/>
          <w:b/>
          <w:color w:val="44546A"/>
          <w:sz w:val="24"/>
        </w:rPr>
        <w:t>What Changes We Implemented:</w:t>
      </w:r>
    </w:p>
    <w:p>
      <w:pPr>
        <w:spacing w:after="80"/>
      </w:pPr>
      <w:r>
        <w:t xml:space="preserve">1. </w:t>
      </w:r>
      <w:r>
        <w:rPr>
          <w:b/>
        </w:rPr>
        <w:t>Target Re-formulation:</w:t>
      </w:r>
      <w:r>
        <w:t xml:space="preserve"> Modeled </w:t>
      </w:r>
      <w:r>
        <w:rPr>
          <w:b/>
        </w:rPr>
        <w:t>$\ln(\text{HOMA-IR})$</w:t>
      </w:r>
      <w:r>
        <w:t xml:space="preserve"> (log-transformed), which is the standard clinical convention in endocrinology because insulin resistance operates multiplicatively.</w:t>
      </w:r>
    </w:p>
    <w:p>
      <w:pPr>
        <w:spacing w:after="80"/>
      </w:pPr>
      <w:r>
        <w:t xml:space="preserve">2. </w:t>
      </w:r>
      <w:r>
        <w:rPr>
          <w:b/>
        </w:rPr>
        <w:t>Engineered Interaction Features:</w:t>
      </w:r>
      <w:r>
        <w:t xml:space="preserve"> Added domain-specific physiological ratios:</w:t>
      </w:r>
    </w:p>
    <w:p>
      <w:pPr>
        <w:spacing w:after="80"/>
      </w:pPr>
      <w:r>
        <w:t xml:space="preserve">   * </w:t>
      </w:r>
      <w:r>
        <w:rPr>
          <w:b/>
        </w:rPr>
        <w:t>Waist-to-Height Ratio (WHtR):</w:t>
      </w:r>
      <w:r>
        <w:t xml:space="preserve"> Standardized abdominal obesity index.</w:t>
      </w:r>
    </w:p>
    <w:p>
      <w:pPr>
        <w:spacing w:after="80"/>
      </w:pPr>
      <w:r>
        <w:t xml:space="preserve">   * </w:t>
      </w:r>
      <w:r>
        <w:rPr>
          <w:b/>
        </w:rPr>
        <w:t>Mean Arterial Pressure (MAP):</w:t>
      </w:r>
      <w:r>
        <w:t xml:space="preserve"> $\text{DBP} + \frac{1}{3}(\text{SBP} - \text{DBP})$.</w:t>
      </w:r>
    </w:p>
    <w:p>
      <w:pPr>
        <w:spacing w:after="80"/>
      </w:pPr>
      <w:r>
        <w:t xml:space="preserve">   * </w:t>
      </w:r>
      <w:r>
        <w:rPr>
          <w:b/>
        </w:rPr>
        <w:t>Pulse Pressure:</w:t>
      </w:r>
      <w:r>
        <w:t xml:space="preserve"> $\text{SBP} - \text{DBP}$ (arterial stiffness).</w:t>
      </w:r>
    </w:p>
    <w:p>
      <w:pPr>
        <w:spacing w:after="80"/>
      </w:pPr>
      <w:r>
        <w:t xml:space="preserve">   * </w:t>
      </w:r>
      <w:r>
        <w:rPr>
          <w:b/>
        </w:rPr>
        <w:t>Chrono-Autonomic Ratio:</w:t>
      </w:r>
      <w:r>
        <w:t xml:space="preserve"> Circadian Amplitude divided by Resting Heart Rate.</w:t>
      </w:r>
    </w:p>
    <w:p>
      <w:pPr>
        <w:spacing w:after="80"/>
      </w:pPr>
      <w:r>
        <w:t xml:space="preserve">3. </w:t>
      </w:r>
      <w:r>
        <w:rPr>
          <w:b/>
        </w:rPr>
        <w:t>Stacked Multi-Model Ensemble:</w:t>
      </w:r>
      <w:r>
        <w:t xml:space="preserve"> Built a meta-learning ensemble combining </w:t>
      </w:r>
      <w:r>
        <w:rPr>
          <w:b/>
        </w:rPr>
        <w:t>LightGBM + XGBoost + Random Forest + Ridge Regression</w:t>
      </w:r>
      <w:r>
        <w:t xml:space="preserve"> as Level-0 base learners, with a </w:t>
      </w:r>
      <w:r>
        <w:rPr>
          <w:b/>
        </w:rPr>
        <w:t>Ridge Meta-Regressor</w:t>
      </w:r>
      <w:r>
        <w:t xml:space="preserve"> as Level-1.</w:t>
      </w:r>
    </w:p>
    <w:p>
      <w:pPr>
        <w:pStyle w:val="Heading3"/>
        <w:spacing w:before="160" w:after="40"/>
      </w:pPr>
      <w:r>
        <w:rPr>
          <w:rFonts w:ascii="Calibri" w:hAnsi="Calibri"/>
          <w:b/>
          <w:color w:val="44546A"/>
          <w:sz w:val="24"/>
        </w:rPr>
        <w:t>What Results We Got:</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E79"/>
          </w:tcPr>
          <w:p>
            <w:pPr>
              <w:spacing w:before="60" w:after="60"/>
            </w:pPr>
            <w:r>
              <w:rPr>
                <w:rFonts w:ascii="Calibri" w:hAnsi="Calibri"/>
                <w:b/>
                <w:color w:val="FFFFFF"/>
                <w:sz w:val="19"/>
              </w:rPr>
              <w:t xml:space="preserve"> Step / Strategy</w:t>
            </w:r>
          </w:p>
        </w:tc>
        <w:tc>
          <w:tcPr>
            <w:tcW w:type="dxa" w:w="1656"/>
            <w:shd w:fill="1F4E79"/>
          </w:tcPr>
          <w:p>
            <w:pPr>
              <w:spacing w:before="60" w:after="60"/>
            </w:pPr>
            <w:r>
              <w:rPr>
                <w:rFonts w:ascii="Calibri" w:hAnsi="Calibri"/>
                <w:b/>
                <w:color w:val="FFFFFF"/>
                <w:sz w:val="19"/>
              </w:rPr>
              <w:t>Target Scale</w:t>
            </w:r>
          </w:p>
        </w:tc>
        <w:tc>
          <w:tcPr>
            <w:tcW w:type="dxa" w:w="1656"/>
            <w:shd w:fill="1F4E79"/>
          </w:tcPr>
          <w:p>
            <w:pPr>
              <w:spacing w:before="60" w:after="60"/>
            </w:pPr>
            <w:r>
              <w:rPr>
                <w:rFonts w:ascii="Calibri" w:hAnsi="Calibri"/>
                <w:b/>
                <w:color w:val="FFFFFF"/>
                <w:sz w:val="19"/>
              </w:rPr>
              <w:t>Test $R^2$</w:t>
            </w:r>
          </w:p>
        </w:tc>
        <w:tc>
          <w:tcPr>
            <w:tcW w:type="dxa" w:w="1656"/>
            <w:shd w:fill="1F4E79"/>
          </w:tcPr>
          <w:p>
            <w:pPr>
              <w:spacing w:before="60" w:after="60"/>
            </w:pPr>
            <w:r>
              <w:rPr>
                <w:rFonts w:ascii="Calibri" w:hAnsi="Calibri"/>
                <w:b/>
                <w:color w:val="FFFFFF"/>
                <w:sz w:val="19"/>
              </w:rPr>
              <w:t>Test Pearson $r$</w:t>
            </w:r>
          </w:p>
        </w:tc>
        <w:tc>
          <w:tcPr>
            <w:tcW w:type="dxa" w:w="1656"/>
            <w:shd w:fill="1F4E79"/>
          </w:tcPr>
          <w:p>
            <w:pPr>
              <w:spacing w:before="60" w:after="60"/>
            </w:pPr>
            <w:r>
              <w:rPr>
                <w:rFonts w:ascii="Calibri" w:hAnsi="Calibri"/>
                <w:b/>
                <w:color w:val="FFFFFF"/>
                <w:sz w:val="19"/>
              </w:rPr>
              <w:t>Test MAE</w:t>
            </w:r>
          </w:p>
        </w:tc>
        <w:tc>
          <w:tcPr>
            <w:tcW w:type="dxa" w:w="1656"/>
            <w:shd w:fill="1F4E79"/>
          </w:tcPr>
          <w:p>
            <w:pPr>
              <w:spacing w:before="60" w:after="60"/>
            </w:pPr>
            <w:r>
              <w:rPr>
                <w:rFonts w:ascii="Calibri" w:hAnsi="Calibri"/>
                <w:b/>
                <w:color w:val="FFFFFF"/>
                <w:sz w:val="19"/>
              </w:rPr>
              <w:t xml:space="preserve">Relative Gain </w:t>
            </w:r>
          </w:p>
        </w:tc>
      </w:tr>
      <w:tr>
        <w:tc>
          <w:tcPr>
            <w:tcW w:type="dxa" w:w="1656"/>
            <w:shd w:fill="F2F5F8"/>
          </w:tcPr>
          <w:p>
            <w:pPr>
              <w:spacing w:before="60" w:after="60"/>
            </w:pPr>
            <w:r>
              <w:rPr>
                <w:rFonts w:ascii="Calibri" w:hAnsi="Calibri"/>
                <w:color w:val="282828"/>
                <w:sz w:val="19"/>
              </w:rPr>
              <w:t xml:space="preserve"> **1. Raw Baseline (LightGBM)**</w:t>
            </w:r>
          </w:p>
        </w:tc>
        <w:tc>
          <w:tcPr>
            <w:tcW w:type="dxa" w:w="1656"/>
            <w:shd w:fill="F2F5F8"/>
          </w:tcPr>
          <w:p>
            <w:pPr>
              <w:spacing w:before="60" w:after="60"/>
            </w:pPr>
            <w:r>
              <w:rPr>
                <w:rFonts w:ascii="Calibri" w:hAnsi="Calibri"/>
                <w:color w:val="282828"/>
                <w:sz w:val="19"/>
              </w:rPr>
              <w:t>Raw HOMA-IR</w:t>
            </w:r>
          </w:p>
        </w:tc>
        <w:tc>
          <w:tcPr>
            <w:tcW w:type="dxa" w:w="1656"/>
            <w:shd w:fill="F2F5F8"/>
          </w:tcPr>
          <w:p>
            <w:pPr>
              <w:spacing w:before="60" w:after="60"/>
            </w:pPr>
            <w:r>
              <w:rPr>
                <w:rFonts w:ascii="Calibri" w:hAnsi="Calibri"/>
                <w:color w:val="282828"/>
                <w:sz w:val="19"/>
              </w:rPr>
              <w:t>$0.2519$</w:t>
            </w:r>
          </w:p>
        </w:tc>
        <w:tc>
          <w:tcPr>
            <w:tcW w:type="dxa" w:w="1656"/>
            <w:shd w:fill="F2F5F8"/>
          </w:tcPr>
          <w:p>
            <w:pPr>
              <w:spacing w:before="60" w:after="60"/>
            </w:pPr>
            <w:r>
              <w:rPr>
                <w:rFonts w:ascii="Calibri" w:hAnsi="Calibri"/>
                <w:color w:val="282828"/>
                <w:sz w:val="19"/>
              </w:rPr>
              <w:t>$0.5022$</w:t>
            </w:r>
          </w:p>
        </w:tc>
        <w:tc>
          <w:tcPr>
            <w:tcW w:type="dxa" w:w="1656"/>
            <w:shd w:fill="F2F5F8"/>
          </w:tcPr>
          <w:p>
            <w:pPr>
              <w:spacing w:before="60" w:after="60"/>
            </w:pPr>
            <w:r>
              <w:rPr>
                <w:rFonts w:ascii="Calibri" w:hAnsi="Calibri"/>
                <w:color w:val="282828"/>
                <w:sz w:val="19"/>
              </w:rPr>
              <w:t>$1.649$</w:t>
            </w:r>
          </w:p>
        </w:tc>
        <w:tc>
          <w:tcPr>
            <w:tcW w:type="dxa" w:w="1656"/>
            <w:shd w:fill="F2F5F8"/>
          </w:tcPr>
          <w:p>
            <w:pPr>
              <w:spacing w:before="60" w:after="60"/>
            </w:pPr>
            <w:r>
              <w:rPr>
                <w:rFonts w:ascii="Calibri" w:hAnsi="Calibri"/>
                <w:color w:val="282828"/>
                <w:sz w:val="19"/>
              </w:rPr>
              <w:t xml:space="preserve">Baseline </w:t>
            </w:r>
          </w:p>
        </w:tc>
      </w:tr>
      <w:tr>
        <w:tc>
          <w:tcPr>
            <w:tcW w:type="dxa" w:w="1656"/>
            <w:shd w:fill="FFFFFF"/>
          </w:tcPr>
          <w:p>
            <w:pPr>
              <w:spacing w:before="60" w:after="60"/>
            </w:pPr>
            <w:r>
              <w:rPr>
                <w:rFonts w:ascii="Calibri" w:hAnsi="Calibri"/>
                <w:color w:val="282828"/>
                <w:sz w:val="19"/>
              </w:rPr>
              <w:t xml:space="preserve"> **2. Stacked Ensemble on Raw**</w:t>
            </w:r>
          </w:p>
        </w:tc>
        <w:tc>
          <w:tcPr>
            <w:tcW w:type="dxa" w:w="1656"/>
            <w:shd w:fill="FFFFFF"/>
          </w:tcPr>
          <w:p>
            <w:pPr>
              <w:spacing w:before="60" w:after="60"/>
            </w:pPr>
            <w:r>
              <w:rPr>
                <w:rFonts w:ascii="Calibri" w:hAnsi="Calibri"/>
                <w:color w:val="282828"/>
                <w:sz w:val="19"/>
              </w:rPr>
              <w:t>Raw HOMA-IR</w:t>
            </w:r>
          </w:p>
        </w:tc>
        <w:tc>
          <w:tcPr>
            <w:tcW w:type="dxa" w:w="1656"/>
            <w:shd w:fill="FFFFFF"/>
          </w:tcPr>
          <w:p>
            <w:pPr>
              <w:spacing w:before="60" w:after="60"/>
            </w:pPr>
            <w:r>
              <w:rPr>
                <w:rFonts w:ascii="Calibri" w:hAnsi="Calibri"/>
                <w:color w:val="282828"/>
                <w:sz w:val="19"/>
              </w:rPr>
              <w:t>$0.2677$</w:t>
            </w:r>
          </w:p>
        </w:tc>
        <w:tc>
          <w:tcPr>
            <w:tcW w:type="dxa" w:w="1656"/>
            <w:shd w:fill="FFFFFF"/>
          </w:tcPr>
          <w:p>
            <w:pPr>
              <w:spacing w:before="60" w:after="60"/>
            </w:pPr>
            <w:r>
              <w:rPr>
                <w:rFonts w:ascii="Calibri" w:hAnsi="Calibri"/>
                <w:color w:val="282828"/>
                <w:sz w:val="19"/>
              </w:rPr>
              <w:t>$0.5171$</w:t>
            </w:r>
          </w:p>
        </w:tc>
        <w:tc>
          <w:tcPr>
            <w:tcW w:type="dxa" w:w="1656"/>
            <w:shd w:fill="FFFFFF"/>
          </w:tcPr>
          <w:p>
            <w:pPr>
              <w:spacing w:before="60" w:after="60"/>
            </w:pPr>
            <w:r>
              <w:rPr>
                <w:rFonts w:ascii="Calibri" w:hAnsi="Calibri"/>
                <w:color w:val="282828"/>
                <w:sz w:val="19"/>
              </w:rPr>
              <w:t>$1.636$</w:t>
            </w:r>
          </w:p>
        </w:tc>
        <w:tc>
          <w:tcPr>
            <w:tcW w:type="dxa" w:w="1656"/>
            <w:shd w:fill="FFFFFF"/>
          </w:tcPr>
          <w:p>
            <w:pPr>
              <w:spacing w:before="60" w:after="60"/>
            </w:pPr>
            <w:r>
              <w:rPr>
                <w:rFonts w:ascii="Calibri" w:hAnsi="Calibri"/>
                <w:color w:val="282828"/>
                <w:sz w:val="19"/>
              </w:rPr>
              <w:t xml:space="preserve">$+6.3\%$ over baseline </w:t>
            </w:r>
          </w:p>
        </w:tc>
      </w:tr>
      <w:tr>
        <w:tc>
          <w:tcPr>
            <w:tcW w:type="dxa" w:w="1656"/>
            <w:shd w:fill="F2F5F8"/>
          </w:tcPr>
          <w:p>
            <w:pPr>
              <w:spacing w:before="60" w:after="60"/>
            </w:pPr>
            <w:r>
              <w:rPr>
                <w:rFonts w:ascii="Calibri" w:hAnsi="Calibri"/>
                <w:color w:val="282828"/>
                <w:sz w:val="19"/>
              </w:rPr>
              <w:t xml:space="preserve"> **3. Log Baseline (LightGBM)**</w:t>
            </w:r>
          </w:p>
        </w:tc>
        <w:tc>
          <w:tcPr>
            <w:tcW w:type="dxa" w:w="1656"/>
            <w:shd w:fill="F2F5F8"/>
          </w:tcPr>
          <w:p>
            <w:pPr>
              <w:spacing w:before="60" w:after="60"/>
            </w:pPr>
            <w:r>
              <w:rPr>
                <w:rFonts w:ascii="Calibri" w:hAnsi="Calibri"/>
                <w:color w:val="282828"/>
                <w:sz w:val="19"/>
              </w:rPr>
              <w:t>$\ln(\text{HOMA-IR})$</w:t>
            </w:r>
          </w:p>
        </w:tc>
        <w:tc>
          <w:tcPr>
            <w:tcW w:type="dxa" w:w="1656"/>
            <w:shd w:fill="F2F5F8"/>
          </w:tcPr>
          <w:p>
            <w:pPr>
              <w:spacing w:before="60" w:after="60"/>
            </w:pPr>
            <w:r>
              <w:rPr>
                <w:rFonts w:ascii="Calibri" w:hAnsi="Calibri"/>
                <w:color w:val="282828"/>
                <w:sz w:val="19"/>
              </w:rPr>
              <w:t>$0.3913$</w:t>
            </w:r>
          </w:p>
        </w:tc>
        <w:tc>
          <w:tcPr>
            <w:tcW w:type="dxa" w:w="1656"/>
            <w:shd w:fill="F2F5F8"/>
          </w:tcPr>
          <w:p>
            <w:pPr>
              <w:spacing w:before="60" w:after="60"/>
            </w:pPr>
            <w:r>
              <w:rPr>
                <w:rFonts w:ascii="Calibri" w:hAnsi="Calibri"/>
                <w:color w:val="282828"/>
                <w:sz w:val="19"/>
              </w:rPr>
              <w:t>$0.6256$</w:t>
            </w:r>
          </w:p>
        </w:tc>
        <w:tc>
          <w:tcPr>
            <w:tcW w:type="dxa" w:w="1656"/>
            <w:shd w:fill="F2F5F8"/>
          </w:tcPr>
          <w:p>
            <w:pPr>
              <w:spacing w:before="60" w:after="60"/>
            </w:pPr>
            <w:r>
              <w:rPr>
                <w:rFonts w:ascii="Calibri" w:hAnsi="Calibri"/>
                <w:color w:val="282828"/>
                <w:sz w:val="19"/>
              </w:rPr>
              <w:t>$0.389$</w:t>
            </w:r>
          </w:p>
        </w:tc>
        <w:tc>
          <w:tcPr>
            <w:tcW w:type="dxa" w:w="1656"/>
            <w:shd w:fill="F2F5F8"/>
          </w:tcPr>
          <w:p>
            <w:pPr>
              <w:spacing w:before="60" w:after="60"/>
            </w:pPr>
            <w:r>
              <w:rPr>
                <w:rFonts w:ascii="Calibri" w:hAnsi="Calibri"/>
                <w:color w:val="282828"/>
                <w:sz w:val="19"/>
              </w:rPr>
              <w:t xml:space="preserve">$+55.3\%$ over baseline </w:t>
            </w:r>
          </w:p>
        </w:tc>
      </w:tr>
      <w:tr>
        <w:tc>
          <w:tcPr>
            <w:tcW w:type="dxa" w:w="1656"/>
            <w:shd w:fill="FFFFFF"/>
          </w:tcPr>
          <w:p>
            <w:pPr>
              <w:spacing w:before="60" w:after="60"/>
            </w:pPr>
            <w:r>
              <w:rPr>
                <w:rFonts w:ascii="Calibri" w:hAnsi="Calibri"/>
                <w:color w:val="282828"/>
                <w:sz w:val="19"/>
              </w:rPr>
              <w:t xml:space="preserve"> **4. Stacked Ensemble on Log (SOTA)**</w:t>
            </w:r>
          </w:p>
        </w:tc>
        <w:tc>
          <w:tcPr>
            <w:tcW w:type="dxa" w:w="1656"/>
            <w:shd w:fill="FFFFFF"/>
          </w:tcPr>
          <w:p>
            <w:pPr>
              <w:spacing w:before="60" w:after="60"/>
            </w:pPr>
            <w:r>
              <w:rPr>
                <w:rFonts w:ascii="Calibri" w:hAnsi="Calibri"/>
                <w:color w:val="282828"/>
                <w:sz w:val="19"/>
              </w:rPr>
              <w:t>**$\ln(\text{HOMA-IR})$**</w:t>
            </w:r>
          </w:p>
        </w:tc>
        <w:tc>
          <w:tcPr>
            <w:tcW w:type="dxa" w:w="1656"/>
            <w:shd w:fill="FFFFFF"/>
          </w:tcPr>
          <w:p>
            <w:pPr>
              <w:spacing w:before="60" w:after="60"/>
            </w:pPr>
            <w:r>
              <w:rPr>
                <w:rFonts w:ascii="Calibri" w:hAnsi="Calibri"/>
                <w:color w:val="282828"/>
                <w:sz w:val="19"/>
              </w:rPr>
              <w:t>**$\mathbf{0.4044}$**</w:t>
            </w:r>
          </w:p>
        </w:tc>
        <w:tc>
          <w:tcPr>
            <w:tcW w:type="dxa" w:w="1656"/>
            <w:shd w:fill="FFFFFF"/>
          </w:tcPr>
          <w:p>
            <w:pPr>
              <w:spacing w:before="60" w:after="60"/>
            </w:pPr>
            <w:r>
              <w:rPr>
                <w:rFonts w:ascii="Calibri" w:hAnsi="Calibri"/>
                <w:color w:val="282828"/>
                <w:sz w:val="19"/>
              </w:rPr>
              <w:t>**$\mathbf{0.6364}$**</w:t>
            </w:r>
          </w:p>
        </w:tc>
        <w:tc>
          <w:tcPr>
            <w:tcW w:type="dxa" w:w="1656"/>
            <w:shd w:fill="FFFFFF"/>
          </w:tcPr>
          <w:p>
            <w:pPr>
              <w:spacing w:before="60" w:after="60"/>
            </w:pPr>
            <w:r>
              <w:rPr>
                <w:rFonts w:ascii="Calibri" w:hAnsi="Calibri"/>
                <w:color w:val="282828"/>
                <w:sz w:val="19"/>
              </w:rPr>
              <w:t>**$\mathbf{0.384}$**</w:t>
            </w:r>
          </w:p>
        </w:tc>
        <w:tc>
          <w:tcPr>
            <w:tcW w:type="dxa" w:w="1656"/>
            <w:shd w:fill="FFFFFF"/>
          </w:tcPr>
          <w:p>
            <w:pPr>
              <w:spacing w:before="60" w:after="60"/>
            </w:pPr>
            <w:r>
              <w:rPr>
                <w:rFonts w:ascii="Calibri" w:hAnsi="Calibri"/>
                <w:color w:val="282828"/>
                <w:sz w:val="19"/>
              </w:rPr>
              <w:t xml:space="preserve">**$\mathbf{+60.5\%}$ over baseline** </w:t>
            </w:r>
          </w:p>
        </w:tc>
      </w:tr>
    </w:tbl>
    <w:p>
      <w:pPr>
        <w:spacing w:after="80"/>
      </w:pPr>
    </w:p>
    <w:p>
      <w:pPr>
        <w:spacing w:before="80" w:after="120"/>
        <w:ind w:left="576"/>
      </w:pPr>
      <w:r>
        <w:rPr>
          <w:rFonts w:ascii="Consolas" w:hAnsi="Consolas"/>
          <w:color w:val="1E1E1E"/>
          <w:sz w:val="18"/>
        </w:rPr>
        <w:t xml:space="preserve">                     R² ACCURACY MAXIMIZATION PROGRESSION</w:t>
        <w:br/>
        <w:t xml:space="preserve">  0.45 ┌─────────────────────────────────────────────────────────────┐</w:t>
        <w:br/>
        <w:t xml:space="preserve">       │                                                   0.4044 ★  │</w:t>
        <w:br/>
        <w:t xml:space="preserve">  0.40 ┼───────────────────────────────────────── 0.3913 ────────────┤</w:t>
        <w:br/>
        <w:t xml:space="preserve">  0.35 ┼─────────────────────────────────────────────────────────────┤</w:t>
        <w:br/>
        <w:t xml:space="preserve">  0.30 ┼─────────────────────────────────────────────────────────────┤</w:t>
        <w:br/>
        <w:t xml:space="preserve">  0.25 ┼── 0.2519 ───────── 0.2677 ──────────────────────────────────┤</w:t>
        <w:br/>
        <w:t xml:space="preserve">  0.20 └──────┬────────────────┬────────────────────┬───────────┬─────┘</w:t>
        <w:br/>
        <w:t xml:space="preserve">           Raw LightGBM    Raw Stacking         Log LightGBM  Log Stacking</w:t>
      </w:r>
    </w:p>
    <w:p>
      <w:pPr>
        <w:spacing w:before="120" w:after="120"/>
      </w:pPr>
    </w:p>
    <w:p>
      <w:pPr>
        <w:pStyle w:val="Heading1"/>
        <w:spacing w:before="240" w:after="120"/>
      </w:pPr>
      <w:r>
        <w:rPr>
          <w:rFonts w:ascii="Calibri" w:hAnsi="Calibri"/>
          <w:b/>
          <w:color w:val="1F4E79"/>
          <w:sz w:val="40"/>
        </w:rPr>
        <w:t>SECTION 2: Phase 2 Work — Non-Invasive Metabolic Risk Screening</w:t>
      </w:r>
    </w:p>
    <w:p>
      <w:pPr>
        <w:spacing w:before="80" w:after="120"/>
        <w:ind w:left="576"/>
      </w:pPr>
      <w:r>
        <w:rPr>
          <w:rFonts w:ascii="Consolas" w:hAnsi="Consolas"/>
          <w:color w:val="1E1E1E"/>
          <w:sz w:val="18"/>
        </w:rPr>
        <w:t>┌────────────────────────────────────────────────────────────────────────────────────────┐</w:t>
        <w:br/>
        <w:t>│                        PHASE 2: NON-INVASIVE SCREENING OVERVIEW                        │</w:t>
        <w:br/>
        <w:t>├────────────────────────────────────────────────────────────────────────────────────────┤</w:t>
        <w:br/>
        <w:t>│ • Objective: Screen individuals into ADA Risk Classes WITHOUT invasive blood tests     │</w:t>
        <w:br/>
        <w:t>│ • Cohort: N = 3,296 non-diabetic adults from NHANES 2011–2014                          │</w:t>
        <w:br/>
        <w:t>│ • Class 0 (Normal Glycemia): 47.3% | Class 1 (Prediabetes): 8.2% | Class 2 (IR): 44.5% │</w:t>
        <w:br/>
        <w:t>│ • Features: 27 Non-Invasive features (Actigraphy + Circadian + Vitals + Anthro)        │</w:t>
        <w:br/>
        <w:t>│ • Models: Logistic Reg, Random Forest, Extra Trees, Gradient Boosting, XGBoost, LGBM   │</w:t>
        <w:br/>
        <w:t>│ • Best Model: XGBoost — Balanced Accuracy: 54.85% (+64.6% gain) | AUROC: 0.738         │</w:t>
        <w:br/>
        <w:t>└────────────────────────────────────────────────────────────────────────────────────────┘</w:t>
      </w:r>
    </w:p>
    <w:p>
      <w:pPr>
        <w:spacing w:before="120" w:after="120"/>
      </w:pPr>
    </w:p>
    <w:p>
      <w:pPr>
        <w:pStyle w:val="Heading2"/>
        <w:spacing w:before="200" w:after="80"/>
      </w:pPr>
      <w:r>
        <w:rPr>
          <w:rFonts w:ascii="Calibri" w:hAnsi="Calibri"/>
          <w:b/>
          <w:color w:val="2E75B6"/>
          <w:sz w:val="28"/>
        </w:rPr>
        <w:t>2.1 The Clinical Objective &amp; Ground Truth Definition</w:t>
      </w:r>
    </w:p>
    <w:p>
      <w:pPr>
        <w:pStyle w:val="Heading3"/>
        <w:spacing w:before="160" w:after="40"/>
      </w:pPr>
      <w:r>
        <w:rPr>
          <w:rFonts w:ascii="Calibri" w:hAnsi="Calibri"/>
          <w:b/>
          <w:color w:val="44546A"/>
          <w:sz w:val="24"/>
        </w:rPr>
        <w:t>Why Do Phase 2?</w:t>
      </w:r>
    </w:p>
    <w:p>
      <w:pPr>
        <w:spacing w:after="80"/>
      </w:pPr>
      <w:r>
        <w:t xml:space="preserve">While Phase 1 predicted continuous HOMA-IR, clinical triage and mobile health apps require </w:t>
      </w:r>
      <w:r>
        <w:rPr>
          <w:b/>
        </w:rPr>
        <w:t>discrete risk stratification</w:t>
      </w:r>
      <w:r>
        <w:t>: *Should this user be alerted to visit a physician for a confirmatory blood test?*</w:t>
      </w:r>
    </w:p>
    <w:p>
      <w:pPr>
        <w:pStyle w:val="Heading3"/>
        <w:spacing w:before="160" w:after="40"/>
      </w:pPr>
      <w:r>
        <w:rPr>
          <w:rFonts w:ascii="Calibri" w:hAnsi="Calibri"/>
          <w:b/>
          <w:color w:val="44546A"/>
          <w:sz w:val="24"/>
        </w:rPr>
        <w:t>Ground Truth Classes (Based on ADA Guidelines):</w:t>
      </w:r>
    </w:p>
    <w:p>
      <w:pPr>
        <w:pStyle w:val="ListBullet"/>
        <w:spacing w:after="40"/>
      </w:pPr>
      <w:r/>
      <w:r>
        <w:rPr>
          <w:b/>
        </w:rPr>
        <w:t>Class 0 (Normal / Healthy):</w:t>
      </w:r>
      <w:r>
        <w:t xml:space="preserve"> Fasting Glucose $&lt; 100\text{ mg/dL}$ AND $\text{HOMA-IR} &lt; 2.5$ ($47.3\%$ of cohort, $N=1,559$).</w:t>
      </w:r>
    </w:p>
    <w:p>
      <w:pPr>
        <w:pStyle w:val="ListBullet"/>
        <w:spacing w:after="40"/>
      </w:pPr>
      <w:r/>
      <w:r>
        <w:rPr>
          <w:b/>
        </w:rPr>
        <w:t>Class 1 (Isolated Prediabetes / Impaired Fasting Glucose):</w:t>
      </w:r>
      <w:r>
        <w:t xml:space="preserve"> Fasting Glucose $\ge 100\text{ mg/dL}$ AND $\text{HOMA-IR} &lt; 2.5$ ($8.2\%$ of cohort, $N=270$).</w:t>
      </w:r>
    </w:p>
    <w:p>
      <w:pPr>
        <w:pStyle w:val="ListBullet"/>
        <w:spacing w:after="40"/>
      </w:pPr>
      <w:r/>
      <w:r>
        <w:rPr>
          <w:b/>
        </w:rPr>
        <w:t>Class 2 (Severe Insulin Resistance / High Cardiometabolic Risk):</w:t>
      </w:r>
      <w:r>
        <w:t xml:space="preserve"> $\text{HOMA-IR} \ge 2.5$ ($44.5\%$ of cohort, $N=1,467$).</w:t>
      </w:r>
    </w:p>
    <w:p>
      <w:pPr>
        <w:spacing w:before="120" w:after="120"/>
      </w:pPr>
    </w:p>
    <w:p>
      <w:pPr>
        <w:pStyle w:val="Heading2"/>
        <w:spacing w:before="200" w:after="80"/>
      </w:pPr>
      <w:r>
        <w:rPr>
          <w:rFonts w:ascii="Calibri" w:hAnsi="Calibri"/>
          <w:b/>
          <w:color w:val="2E75B6"/>
          <w:sz w:val="28"/>
        </w:rPr>
        <w:t>2.2 How We Implemented Phase 2</w:t>
      </w:r>
    </w:p>
    <w:p>
      <w:pPr>
        <w:spacing w:after="80"/>
      </w:pPr>
      <w:r>
        <w:t xml:space="preserve">1. </w:t>
      </w:r>
      <w:r>
        <w:rPr>
          <w:b/>
        </w:rPr>
        <w:t>Strict 5-Fold Stratified Cross-Validation:</w:t>
      </w:r>
      <w:r>
        <w:t xml:space="preserve"> Ensured class balance was identical across all training and test folds with zero data leakage.</w:t>
      </w:r>
    </w:p>
    <w:p>
      <w:pPr>
        <w:spacing w:after="80"/>
      </w:pPr>
      <w:r>
        <w:t xml:space="preserve">2. </w:t>
      </w:r>
      <w:r>
        <w:rPr>
          <w:b/>
        </w:rPr>
        <w:t>Zero Blood Access at Test Time:</w:t>
      </w:r>
      <w:r>
        <w:t xml:space="preserve"> All blood laboratory features (`LBXGLU`, `LBXIN`, `LBXGH`, `LBXTR`) were quarantined and used </w:t>
      </w:r>
      <w:r>
        <w:rPr>
          <w:b/>
        </w:rPr>
        <w:t>only</w:t>
      </w:r>
      <w:r>
        <w:t xml:space="preserve"> to define the ground-truth label $y$. The input matrix $X$ contained only non-invasive signals.</w:t>
      </w:r>
    </w:p>
    <w:p>
      <w:pPr>
        <w:spacing w:after="80"/>
      </w:pPr>
      <w:r>
        <w:t xml:space="preserve">3. </w:t>
      </w:r>
      <w:r>
        <w:rPr>
          <w:b/>
        </w:rPr>
        <w:t>Class Imbalance Management:</w:t>
      </w:r>
      <w:r>
        <w:t xml:space="preserve"> Handled the minority Class 1 ($8.2\%$) using balanced class weighting (`scale_pos_weight` / `class_weight='balanced'`).</w:t>
      </w:r>
    </w:p>
    <w:p>
      <w:pPr>
        <w:spacing w:after="80"/>
      </w:pPr>
      <w:r>
        <w:t xml:space="preserve">4. </w:t>
      </w:r>
      <w:r>
        <w:rPr>
          <w:b/>
        </w:rPr>
        <w:t>Evaluation Across 6 Diverse Architectures:</w:t>
      </w:r>
      <w:r/>
    </w:p>
    <w:p>
      <w:pPr>
        <w:spacing w:after="80"/>
      </w:pPr>
      <w:r>
        <w:t xml:space="preserve">   * Baseline: Multinomial Logistic Regression (L2 penalized)</w:t>
      </w:r>
    </w:p>
    <w:p>
      <w:pPr>
        <w:spacing w:after="80"/>
      </w:pPr>
      <w:r>
        <w:t xml:space="preserve">   * Bagging: Random Forest, Extra Trees</w:t>
      </w:r>
    </w:p>
    <w:p>
      <w:pPr>
        <w:spacing w:after="80"/>
      </w:pPr>
      <w:r>
        <w:t xml:space="preserve">   * Boosting: Gradient Boosting, LightGBM, XGBoost</w:t>
      </w:r>
    </w:p>
    <w:p>
      <w:pPr>
        <w:spacing w:before="120" w:after="120"/>
      </w:pPr>
    </w:p>
    <w:p>
      <w:pPr>
        <w:pStyle w:val="Heading2"/>
        <w:spacing w:before="200" w:after="80"/>
      </w:pPr>
      <w:r>
        <w:rPr>
          <w:rFonts w:ascii="Calibri" w:hAnsi="Calibri"/>
          <w:b/>
          <w:color w:val="2E75B6"/>
          <w:sz w:val="28"/>
        </w:rPr>
        <w:t>2.3 What Results We Got in Phase 2</w:t>
      </w:r>
    </w:p>
    <w:p>
      <w:pPr>
        <w:pStyle w:val="Heading3"/>
        <w:spacing w:before="160" w:after="40"/>
      </w:pPr>
      <w:r>
        <w:rPr>
          <w:rFonts w:ascii="Calibri" w:hAnsi="Calibri"/>
          <w:b/>
          <w:color w:val="44546A"/>
          <w:sz w:val="24"/>
        </w:rPr>
        <w:t>Full 6-Model Benchmark Table: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E79"/>
          </w:tcPr>
          <w:p>
            <w:pPr>
              <w:spacing w:before="60" w:after="60"/>
            </w:pPr>
            <w:r>
              <w:rPr>
                <w:rFonts w:ascii="Calibri" w:hAnsi="Calibri"/>
                <w:b/>
                <w:color w:val="FFFFFF"/>
                <w:sz w:val="19"/>
              </w:rPr>
              <w:t xml:space="preserve"> Model Architecture</w:t>
            </w:r>
          </w:p>
        </w:tc>
        <w:tc>
          <w:tcPr>
            <w:tcW w:type="dxa" w:w="1656"/>
            <w:shd w:fill="1F4E79"/>
          </w:tcPr>
          <w:p>
            <w:pPr>
              <w:spacing w:before="60" w:after="60"/>
            </w:pPr>
            <w:r>
              <w:rPr>
                <w:rFonts w:ascii="Calibri" w:hAnsi="Calibri"/>
                <w:b/>
                <w:color w:val="FFFFFF"/>
                <w:sz w:val="19"/>
              </w:rPr>
              <w:t>Balanced Accuracy</w:t>
            </w:r>
          </w:p>
        </w:tc>
        <w:tc>
          <w:tcPr>
            <w:tcW w:type="dxa" w:w="1656"/>
            <w:shd w:fill="1F4E79"/>
          </w:tcPr>
          <w:p>
            <w:pPr>
              <w:spacing w:before="60" w:after="60"/>
            </w:pPr>
            <w:r>
              <w:rPr>
                <w:rFonts w:ascii="Calibri" w:hAnsi="Calibri"/>
                <w:b/>
                <w:color w:val="FFFFFF"/>
                <w:sz w:val="19"/>
              </w:rPr>
              <w:t>Macro F1-Score</w:t>
            </w:r>
          </w:p>
        </w:tc>
        <w:tc>
          <w:tcPr>
            <w:tcW w:type="dxa" w:w="1656"/>
            <w:shd w:fill="1F4E79"/>
          </w:tcPr>
          <w:p>
            <w:pPr>
              <w:spacing w:before="60" w:after="60"/>
            </w:pPr>
            <w:r>
              <w:rPr>
                <w:rFonts w:ascii="Calibri" w:hAnsi="Calibri"/>
                <w:b/>
                <w:color w:val="FFFFFF"/>
                <w:sz w:val="19"/>
              </w:rPr>
              <w:t>Weighted F1</w:t>
            </w:r>
          </w:p>
        </w:tc>
        <w:tc>
          <w:tcPr>
            <w:tcW w:type="dxa" w:w="1656"/>
            <w:shd w:fill="1F4E79"/>
          </w:tcPr>
          <w:p>
            <w:pPr>
              <w:spacing w:before="60" w:after="60"/>
            </w:pPr>
            <w:r>
              <w:rPr>
                <w:rFonts w:ascii="Calibri" w:hAnsi="Calibri"/>
                <w:b/>
                <w:color w:val="FFFFFF"/>
                <w:sz w:val="19"/>
              </w:rPr>
              <w:t>Multi-Class AUROC</w:t>
            </w:r>
          </w:p>
        </w:tc>
        <w:tc>
          <w:tcPr>
            <w:tcW w:type="dxa" w:w="1656"/>
            <w:shd w:fill="1F4E79"/>
          </w:tcPr>
          <w:p>
            <w:pPr>
              <w:spacing w:before="60" w:after="60"/>
            </w:pPr>
            <w:r>
              <w:rPr>
                <w:rFonts w:ascii="Calibri" w:hAnsi="Calibri"/>
                <w:b/>
                <w:color w:val="FFFFFF"/>
                <w:sz w:val="19"/>
              </w:rPr>
              <w:t xml:space="preserve">Relative Gain Over Chance </w:t>
            </w:r>
          </w:p>
        </w:tc>
      </w:tr>
      <w:tr>
        <w:tc>
          <w:tcPr>
            <w:tcW w:type="dxa" w:w="1656"/>
            <w:shd w:fill="F2F5F8"/>
          </w:tcPr>
          <w:p>
            <w:pPr>
              <w:spacing w:before="60" w:after="60"/>
            </w:pPr>
            <w:r>
              <w:rPr>
                <w:rFonts w:ascii="Calibri" w:hAnsi="Calibri"/>
                <w:color w:val="282828"/>
                <w:sz w:val="19"/>
              </w:rPr>
              <w:t xml:space="preserve"> *Random Chance Baseline*</w:t>
            </w:r>
          </w:p>
        </w:tc>
        <w:tc>
          <w:tcPr>
            <w:tcW w:type="dxa" w:w="1656"/>
            <w:shd w:fill="F2F5F8"/>
          </w:tcPr>
          <w:p>
            <w:pPr>
              <w:spacing w:before="60" w:after="60"/>
            </w:pPr>
            <w:r>
              <w:rPr>
                <w:rFonts w:ascii="Calibri" w:hAnsi="Calibri"/>
                <w:color w:val="282828"/>
                <w:sz w:val="19"/>
              </w:rPr>
              <w:t>*33.33%*</w:t>
            </w:r>
          </w:p>
        </w:tc>
        <w:tc>
          <w:tcPr>
            <w:tcW w:type="dxa" w:w="1656"/>
            <w:shd w:fill="F2F5F8"/>
          </w:tcPr>
          <w:p>
            <w:pPr>
              <w:spacing w:before="60" w:after="60"/>
            </w:pPr>
            <w:r>
              <w:rPr>
                <w:rFonts w:ascii="Calibri" w:hAnsi="Calibri"/>
                <w:color w:val="282828"/>
                <w:sz w:val="19"/>
              </w:rPr>
              <w:t>*0.333*</w:t>
            </w:r>
          </w:p>
        </w:tc>
        <w:tc>
          <w:tcPr>
            <w:tcW w:type="dxa" w:w="1656"/>
            <w:shd w:fill="F2F5F8"/>
          </w:tcPr>
          <w:p>
            <w:pPr>
              <w:spacing w:before="60" w:after="60"/>
            </w:pPr>
            <w:r>
              <w:rPr>
                <w:rFonts w:ascii="Calibri" w:hAnsi="Calibri"/>
                <w:color w:val="282828"/>
                <w:sz w:val="19"/>
              </w:rPr>
              <w:t>*0.333*</w:t>
            </w:r>
          </w:p>
        </w:tc>
        <w:tc>
          <w:tcPr>
            <w:tcW w:type="dxa" w:w="1656"/>
            <w:shd w:fill="F2F5F8"/>
          </w:tcPr>
          <w:p>
            <w:pPr>
              <w:spacing w:before="60" w:after="60"/>
            </w:pPr>
            <w:r>
              <w:rPr>
                <w:rFonts w:ascii="Calibri" w:hAnsi="Calibri"/>
                <w:color w:val="282828"/>
                <w:sz w:val="19"/>
              </w:rPr>
              <w:t>*0.500*</w:t>
            </w:r>
          </w:p>
        </w:tc>
        <w:tc>
          <w:tcPr>
            <w:tcW w:type="dxa" w:w="1656"/>
            <w:shd w:fill="F2F5F8"/>
          </w:tcPr>
          <w:p>
            <w:pPr>
              <w:spacing w:before="60" w:after="60"/>
            </w:pPr>
            <w:r>
              <w:rPr>
                <w:rFonts w:ascii="Calibri" w:hAnsi="Calibri"/>
                <w:color w:val="282828"/>
                <w:sz w:val="19"/>
              </w:rPr>
              <w:t xml:space="preserve">*0.0%* </w:t>
            </w:r>
          </w:p>
        </w:tc>
      </w:tr>
      <w:tr>
        <w:tc>
          <w:tcPr>
            <w:tcW w:type="dxa" w:w="1656"/>
            <w:shd w:fill="FFFFFF"/>
          </w:tcPr>
          <w:p>
            <w:pPr>
              <w:spacing w:before="60" w:after="60"/>
            </w:pPr>
            <w:r>
              <w:rPr>
                <w:rFonts w:ascii="Calibri" w:hAnsi="Calibri"/>
                <w:color w:val="282828"/>
                <w:sz w:val="19"/>
              </w:rPr>
              <w:t xml:space="preserve"> **Multinomial Logistic Regression**</w:t>
            </w:r>
          </w:p>
        </w:tc>
        <w:tc>
          <w:tcPr>
            <w:tcW w:type="dxa" w:w="1656"/>
            <w:shd w:fill="FFFFFF"/>
          </w:tcPr>
          <w:p>
            <w:pPr>
              <w:spacing w:before="60" w:after="60"/>
            </w:pPr>
            <w:r>
              <w:rPr>
                <w:rFonts w:ascii="Calibri" w:hAnsi="Calibri"/>
                <w:color w:val="282828"/>
                <w:sz w:val="19"/>
              </w:rPr>
              <w:t>$50.31\%$</w:t>
            </w:r>
          </w:p>
        </w:tc>
        <w:tc>
          <w:tcPr>
            <w:tcW w:type="dxa" w:w="1656"/>
            <w:shd w:fill="FFFFFF"/>
          </w:tcPr>
          <w:p>
            <w:pPr>
              <w:spacing w:before="60" w:after="60"/>
            </w:pPr>
            <w:r>
              <w:rPr>
                <w:rFonts w:ascii="Calibri" w:hAnsi="Calibri"/>
                <w:color w:val="282828"/>
                <w:sz w:val="19"/>
              </w:rPr>
              <w:t>$0.4852$</w:t>
            </w:r>
          </w:p>
        </w:tc>
        <w:tc>
          <w:tcPr>
            <w:tcW w:type="dxa" w:w="1656"/>
            <w:shd w:fill="FFFFFF"/>
          </w:tcPr>
          <w:p>
            <w:pPr>
              <w:spacing w:before="60" w:after="60"/>
            </w:pPr>
            <w:r>
              <w:rPr>
                <w:rFonts w:ascii="Calibri" w:hAnsi="Calibri"/>
                <w:color w:val="282828"/>
                <w:sz w:val="19"/>
              </w:rPr>
              <w:t>$0.6033$</w:t>
            </w:r>
          </w:p>
        </w:tc>
        <w:tc>
          <w:tcPr>
            <w:tcW w:type="dxa" w:w="1656"/>
            <w:shd w:fill="FFFFFF"/>
          </w:tcPr>
          <w:p>
            <w:pPr>
              <w:spacing w:before="60" w:after="60"/>
            </w:pPr>
            <w:r>
              <w:rPr>
                <w:rFonts w:ascii="Calibri" w:hAnsi="Calibri"/>
                <w:color w:val="282828"/>
                <w:sz w:val="19"/>
              </w:rPr>
              <w:t>$0.7241$</w:t>
            </w:r>
          </w:p>
        </w:tc>
        <w:tc>
          <w:tcPr>
            <w:tcW w:type="dxa" w:w="1656"/>
            <w:shd w:fill="FFFFFF"/>
          </w:tcPr>
          <w:p>
            <w:pPr>
              <w:spacing w:before="60" w:after="60"/>
            </w:pPr>
            <w:r>
              <w:rPr>
                <w:rFonts w:ascii="Calibri" w:hAnsi="Calibri"/>
                <w:color w:val="282828"/>
                <w:sz w:val="19"/>
              </w:rPr>
              <w:t xml:space="preserve">$+50.9\%$ </w:t>
            </w:r>
          </w:p>
        </w:tc>
      </w:tr>
      <w:tr>
        <w:tc>
          <w:tcPr>
            <w:tcW w:type="dxa" w:w="1656"/>
            <w:shd w:fill="F2F5F8"/>
          </w:tcPr>
          <w:p>
            <w:pPr>
              <w:spacing w:before="60" w:after="60"/>
            </w:pPr>
            <w:r>
              <w:rPr>
                <w:rFonts w:ascii="Calibri" w:hAnsi="Calibri"/>
                <w:color w:val="282828"/>
                <w:sz w:val="19"/>
              </w:rPr>
              <w:t xml:space="preserve"> **Random Forest Classifier**</w:t>
            </w:r>
          </w:p>
        </w:tc>
        <w:tc>
          <w:tcPr>
            <w:tcW w:type="dxa" w:w="1656"/>
            <w:shd w:fill="F2F5F8"/>
          </w:tcPr>
          <w:p>
            <w:pPr>
              <w:spacing w:before="60" w:after="60"/>
            </w:pPr>
            <w:r>
              <w:rPr>
                <w:rFonts w:ascii="Calibri" w:hAnsi="Calibri"/>
                <w:color w:val="282828"/>
                <w:sz w:val="19"/>
              </w:rPr>
              <w:t>$48.27\%$</w:t>
            </w:r>
          </w:p>
        </w:tc>
        <w:tc>
          <w:tcPr>
            <w:tcW w:type="dxa" w:w="1656"/>
            <w:shd w:fill="F2F5F8"/>
          </w:tcPr>
          <w:p>
            <w:pPr>
              <w:spacing w:before="60" w:after="60"/>
            </w:pPr>
            <w:r>
              <w:rPr>
                <w:rFonts w:ascii="Calibri" w:hAnsi="Calibri"/>
                <w:color w:val="282828"/>
                <w:sz w:val="19"/>
              </w:rPr>
              <w:t>$0.4721$</w:t>
            </w:r>
          </w:p>
        </w:tc>
        <w:tc>
          <w:tcPr>
            <w:tcW w:type="dxa" w:w="1656"/>
            <w:shd w:fill="F2F5F8"/>
          </w:tcPr>
          <w:p>
            <w:pPr>
              <w:spacing w:before="60" w:after="60"/>
            </w:pPr>
            <w:r>
              <w:rPr>
                <w:rFonts w:ascii="Calibri" w:hAnsi="Calibri"/>
                <w:color w:val="282828"/>
                <w:sz w:val="19"/>
              </w:rPr>
              <w:t>$0.6288$</w:t>
            </w:r>
          </w:p>
        </w:tc>
        <w:tc>
          <w:tcPr>
            <w:tcW w:type="dxa" w:w="1656"/>
            <w:shd w:fill="F2F5F8"/>
          </w:tcPr>
          <w:p>
            <w:pPr>
              <w:spacing w:before="60" w:after="60"/>
            </w:pPr>
            <w:r>
              <w:rPr>
                <w:rFonts w:ascii="Calibri" w:hAnsi="Calibri"/>
                <w:color w:val="282828"/>
                <w:sz w:val="19"/>
              </w:rPr>
              <w:t>$0.7180$</w:t>
            </w:r>
          </w:p>
        </w:tc>
        <w:tc>
          <w:tcPr>
            <w:tcW w:type="dxa" w:w="1656"/>
            <w:shd w:fill="F2F5F8"/>
          </w:tcPr>
          <w:p>
            <w:pPr>
              <w:spacing w:before="60" w:after="60"/>
            </w:pPr>
            <w:r>
              <w:rPr>
                <w:rFonts w:ascii="Calibri" w:hAnsi="Calibri"/>
                <w:color w:val="282828"/>
                <w:sz w:val="19"/>
              </w:rPr>
              <w:t xml:space="preserve">$+44.8\%$ </w:t>
            </w:r>
          </w:p>
        </w:tc>
      </w:tr>
      <w:tr>
        <w:tc>
          <w:tcPr>
            <w:tcW w:type="dxa" w:w="1656"/>
            <w:shd w:fill="FFFFFF"/>
          </w:tcPr>
          <w:p>
            <w:pPr>
              <w:spacing w:before="60" w:after="60"/>
            </w:pPr>
            <w:r>
              <w:rPr>
                <w:rFonts w:ascii="Calibri" w:hAnsi="Calibri"/>
                <w:color w:val="282828"/>
                <w:sz w:val="19"/>
              </w:rPr>
              <w:t xml:space="preserve"> **Extra Trees Classifier**</w:t>
            </w:r>
          </w:p>
        </w:tc>
        <w:tc>
          <w:tcPr>
            <w:tcW w:type="dxa" w:w="1656"/>
            <w:shd w:fill="FFFFFF"/>
          </w:tcPr>
          <w:p>
            <w:pPr>
              <w:spacing w:before="60" w:after="60"/>
            </w:pPr>
            <w:r>
              <w:rPr>
                <w:rFonts w:ascii="Calibri" w:hAnsi="Calibri"/>
                <w:color w:val="282828"/>
                <w:sz w:val="19"/>
              </w:rPr>
              <w:t>$47.32\%$</w:t>
            </w:r>
          </w:p>
        </w:tc>
        <w:tc>
          <w:tcPr>
            <w:tcW w:type="dxa" w:w="1656"/>
            <w:shd w:fill="FFFFFF"/>
          </w:tcPr>
          <w:p>
            <w:pPr>
              <w:spacing w:before="60" w:after="60"/>
            </w:pPr>
            <w:r>
              <w:rPr>
                <w:rFonts w:ascii="Calibri" w:hAnsi="Calibri"/>
                <w:color w:val="282828"/>
                <w:sz w:val="19"/>
              </w:rPr>
              <w:t>$0.4639$</w:t>
            </w:r>
          </w:p>
        </w:tc>
        <w:tc>
          <w:tcPr>
            <w:tcW w:type="dxa" w:w="1656"/>
            <w:shd w:fill="FFFFFF"/>
          </w:tcPr>
          <w:p>
            <w:pPr>
              <w:spacing w:before="60" w:after="60"/>
            </w:pPr>
            <w:r>
              <w:rPr>
                <w:rFonts w:ascii="Calibri" w:hAnsi="Calibri"/>
                <w:color w:val="282828"/>
                <w:sz w:val="19"/>
              </w:rPr>
              <w:t>$0.6264$</w:t>
            </w:r>
          </w:p>
        </w:tc>
        <w:tc>
          <w:tcPr>
            <w:tcW w:type="dxa" w:w="1656"/>
            <w:shd w:fill="FFFFFF"/>
          </w:tcPr>
          <w:p>
            <w:pPr>
              <w:spacing w:before="60" w:after="60"/>
            </w:pPr>
            <w:r>
              <w:rPr>
                <w:rFonts w:ascii="Calibri" w:hAnsi="Calibri"/>
                <w:color w:val="282828"/>
                <w:sz w:val="19"/>
              </w:rPr>
              <w:t>$0.7103$</w:t>
            </w:r>
          </w:p>
        </w:tc>
        <w:tc>
          <w:tcPr>
            <w:tcW w:type="dxa" w:w="1656"/>
            <w:shd w:fill="FFFFFF"/>
          </w:tcPr>
          <w:p>
            <w:pPr>
              <w:spacing w:before="60" w:after="60"/>
            </w:pPr>
            <w:r>
              <w:rPr>
                <w:rFonts w:ascii="Calibri" w:hAnsi="Calibri"/>
                <w:color w:val="282828"/>
                <w:sz w:val="19"/>
              </w:rPr>
              <w:t xml:space="preserve">$+42.0\%$ </w:t>
            </w:r>
          </w:p>
        </w:tc>
      </w:tr>
      <w:tr>
        <w:tc>
          <w:tcPr>
            <w:tcW w:type="dxa" w:w="1656"/>
            <w:shd w:fill="F2F5F8"/>
          </w:tcPr>
          <w:p>
            <w:pPr>
              <w:spacing w:before="60" w:after="60"/>
            </w:pPr>
            <w:r>
              <w:rPr>
                <w:rFonts w:ascii="Calibri" w:hAnsi="Calibri"/>
                <w:color w:val="282828"/>
                <w:sz w:val="19"/>
              </w:rPr>
              <w:t xml:space="preserve"> **Gradient Boosting Classifier**</w:t>
            </w:r>
          </w:p>
        </w:tc>
        <w:tc>
          <w:tcPr>
            <w:tcW w:type="dxa" w:w="1656"/>
            <w:shd w:fill="F2F5F8"/>
          </w:tcPr>
          <w:p>
            <w:pPr>
              <w:spacing w:before="60" w:after="60"/>
            </w:pPr>
            <w:r>
              <w:rPr>
                <w:rFonts w:ascii="Calibri" w:hAnsi="Calibri"/>
                <w:color w:val="282828"/>
                <w:sz w:val="19"/>
              </w:rPr>
              <w:t>$52.79\%$</w:t>
            </w:r>
          </w:p>
        </w:tc>
        <w:tc>
          <w:tcPr>
            <w:tcW w:type="dxa" w:w="1656"/>
            <w:shd w:fill="F2F5F8"/>
          </w:tcPr>
          <w:p>
            <w:pPr>
              <w:spacing w:before="60" w:after="60"/>
            </w:pPr>
            <w:r>
              <w:rPr>
                <w:rFonts w:ascii="Calibri" w:hAnsi="Calibri"/>
                <w:color w:val="282828"/>
                <w:sz w:val="19"/>
              </w:rPr>
              <w:t>$0.5014$</w:t>
            </w:r>
          </w:p>
        </w:tc>
        <w:tc>
          <w:tcPr>
            <w:tcW w:type="dxa" w:w="1656"/>
            <w:shd w:fill="F2F5F8"/>
          </w:tcPr>
          <w:p>
            <w:pPr>
              <w:spacing w:before="60" w:after="60"/>
            </w:pPr>
            <w:r>
              <w:rPr>
                <w:rFonts w:ascii="Calibri" w:hAnsi="Calibri"/>
                <w:color w:val="282828"/>
                <w:sz w:val="19"/>
              </w:rPr>
              <w:t>$0.6212$</w:t>
            </w:r>
          </w:p>
        </w:tc>
        <w:tc>
          <w:tcPr>
            <w:tcW w:type="dxa" w:w="1656"/>
            <w:shd w:fill="F2F5F8"/>
          </w:tcPr>
          <w:p>
            <w:pPr>
              <w:spacing w:before="60" w:after="60"/>
            </w:pPr>
            <w:r>
              <w:rPr>
                <w:rFonts w:ascii="Calibri" w:hAnsi="Calibri"/>
                <w:color w:val="282828"/>
                <w:sz w:val="19"/>
              </w:rPr>
              <w:t>$0.7314$</w:t>
            </w:r>
          </w:p>
        </w:tc>
        <w:tc>
          <w:tcPr>
            <w:tcW w:type="dxa" w:w="1656"/>
            <w:shd w:fill="F2F5F8"/>
          </w:tcPr>
          <w:p>
            <w:pPr>
              <w:spacing w:before="60" w:after="60"/>
            </w:pPr>
            <w:r>
              <w:rPr>
                <w:rFonts w:ascii="Calibri" w:hAnsi="Calibri"/>
                <w:color w:val="282828"/>
                <w:sz w:val="19"/>
              </w:rPr>
              <w:t xml:space="preserve">$+58.4\%$ </w:t>
            </w:r>
          </w:p>
        </w:tc>
      </w:tr>
      <w:tr>
        <w:tc>
          <w:tcPr>
            <w:tcW w:type="dxa" w:w="1656"/>
            <w:shd w:fill="FFFFFF"/>
          </w:tcPr>
          <w:p>
            <w:pPr>
              <w:spacing w:before="60" w:after="60"/>
            </w:pPr>
            <w:r>
              <w:rPr>
                <w:rFonts w:ascii="Calibri" w:hAnsi="Calibri"/>
                <w:color w:val="282828"/>
                <w:sz w:val="19"/>
              </w:rPr>
              <w:t xml:space="preserve"> **LightGBM Classifier**</w:t>
            </w:r>
          </w:p>
        </w:tc>
        <w:tc>
          <w:tcPr>
            <w:tcW w:type="dxa" w:w="1656"/>
            <w:shd w:fill="FFFFFF"/>
          </w:tcPr>
          <w:p>
            <w:pPr>
              <w:spacing w:before="60" w:after="60"/>
            </w:pPr>
            <w:r>
              <w:rPr>
                <w:rFonts w:ascii="Calibri" w:hAnsi="Calibri"/>
                <w:color w:val="282828"/>
                <w:sz w:val="19"/>
              </w:rPr>
              <w:t>$51.98\%$</w:t>
            </w:r>
          </w:p>
        </w:tc>
        <w:tc>
          <w:tcPr>
            <w:tcW w:type="dxa" w:w="1656"/>
            <w:shd w:fill="FFFFFF"/>
          </w:tcPr>
          <w:p>
            <w:pPr>
              <w:spacing w:before="60" w:after="60"/>
            </w:pPr>
            <w:r>
              <w:rPr>
                <w:rFonts w:ascii="Calibri" w:hAnsi="Calibri"/>
                <w:color w:val="282828"/>
                <w:sz w:val="19"/>
              </w:rPr>
              <w:t>$0.4947$</w:t>
            </w:r>
          </w:p>
        </w:tc>
        <w:tc>
          <w:tcPr>
            <w:tcW w:type="dxa" w:w="1656"/>
            <w:shd w:fill="FFFFFF"/>
          </w:tcPr>
          <w:p>
            <w:pPr>
              <w:spacing w:before="60" w:after="60"/>
            </w:pPr>
            <w:r>
              <w:rPr>
                <w:rFonts w:ascii="Calibri" w:hAnsi="Calibri"/>
                <w:color w:val="282828"/>
                <w:sz w:val="19"/>
              </w:rPr>
              <w:t>$0.6189$</w:t>
            </w:r>
          </w:p>
        </w:tc>
        <w:tc>
          <w:tcPr>
            <w:tcW w:type="dxa" w:w="1656"/>
            <w:shd w:fill="FFFFFF"/>
          </w:tcPr>
          <w:p>
            <w:pPr>
              <w:spacing w:before="60" w:after="60"/>
            </w:pPr>
            <w:r>
              <w:rPr>
                <w:rFonts w:ascii="Calibri" w:hAnsi="Calibri"/>
                <w:color w:val="282828"/>
                <w:sz w:val="19"/>
              </w:rPr>
              <w:t>$0.7302$</w:t>
            </w:r>
          </w:p>
        </w:tc>
        <w:tc>
          <w:tcPr>
            <w:tcW w:type="dxa" w:w="1656"/>
            <w:shd w:fill="FFFFFF"/>
          </w:tcPr>
          <w:p>
            <w:pPr>
              <w:spacing w:before="60" w:after="60"/>
            </w:pPr>
            <w:r>
              <w:rPr>
                <w:rFonts w:ascii="Calibri" w:hAnsi="Calibri"/>
                <w:color w:val="282828"/>
                <w:sz w:val="19"/>
              </w:rPr>
              <w:t xml:space="preserve">$+56.0\%$ </w:t>
            </w:r>
          </w:p>
        </w:tc>
      </w:tr>
      <w:tr>
        <w:tc>
          <w:tcPr>
            <w:tcW w:type="dxa" w:w="1656"/>
            <w:shd w:fill="F2F5F8"/>
          </w:tcPr>
          <w:p>
            <w:pPr>
              <w:spacing w:before="60" w:after="60"/>
            </w:pPr>
            <w:r>
              <w:rPr>
                <w:rFonts w:ascii="Calibri" w:hAnsi="Calibri"/>
                <w:color w:val="282828"/>
                <w:sz w:val="19"/>
              </w:rPr>
              <w:t xml:space="preserve"> **XGBoost Classifier (Best Model)**</w:t>
            </w:r>
          </w:p>
        </w:tc>
        <w:tc>
          <w:tcPr>
            <w:tcW w:type="dxa" w:w="1656"/>
            <w:shd w:fill="F2F5F8"/>
          </w:tcPr>
          <w:p>
            <w:pPr>
              <w:spacing w:before="60" w:after="60"/>
            </w:pPr>
            <w:r>
              <w:rPr>
                <w:rFonts w:ascii="Calibri" w:hAnsi="Calibri"/>
                <w:color w:val="282828"/>
                <w:sz w:val="19"/>
              </w:rPr>
              <w:t>**$\mathbf{54.85\%}$**</w:t>
            </w:r>
          </w:p>
        </w:tc>
        <w:tc>
          <w:tcPr>
            <w:tcW w:type="dxa" w:w="1656"/>
            <w:shd w:fill="F2F5F8"/>
          </w:tcPr>
          <w:p>
            <w:pPr>
              <w:spacing w:before="60" w:after="60"/>
            </w:pPr>
            <w:r>
              <w:rPr>
                <w:rFonts w:ascii="Calibri" w:hAnsi="Calibri"/>
                <w:color w:val="282828"/>
                <w:sz w:val="19"/>
              </w:rPr>
              <w:t>**$\mathbf{0.5113}$**</w:t>
            </w:r>
          </w:p>
        </w:tc>
        <w:tc>
          <w:tcPr>
            <w:tcW w:type="dxa" w:w="1656"/>
            <w:shd w:fill="F2F5F8"/>
          </w:tcPr>
          <w:p>
            <w:pPr>
              <w:spacing w:before="60" w:after="60"/>
            </w:pPr>
            <w:r>
              <w:rPr>
                <w:rFonts w:ascii="Calibri" w:hAnsi="Calibri"/>
                <w:color w:val="282828"/>
                <w:sz w:val="19"/>
              </w:rPr>
              <w:t>**$\mathbf{0.6127}$**</w:t>
            </w:r>
          </w:p>
        </w:tc>
        <w:tc>
          <w:tcPr>
            <w:tcW w:type="dxa" w:w="1656"/>
            <w:shd w:fill="F2F5F8"/>
          </w:tcPr>
          <w:p>
            <w:pPr>
              <w:spacing w:before="60" w:after="60"/>
            </w:pPr>
            <w:r>
              <w:rPr>
                <w:rFonts w:ascii="Calibri" w:hAnsi="Calibri"/>
                <w:color w:val="282828"/>
                <w:sz w:val="19"/>
              </w:rPr>
              <w:t>**$\mathbf{0.7384}$**</w:t>
            </w:r>
          </w:p>
        </w:tc>
        <w:tc>
          <w:tcPr>
            <w:tcW w:type="dxa" w:w="1656"/>
            <w:shd w:fill="F2F5F8"/>
          </w:tcPr>
          <w:p>
            <w:pPr>
              <w:spacing w:before="60" w:after="60"/>
            </w:pPr>
            <w:r>
              <w:rPr>
                <w:rFonts w:ascii="Calibri" w:hAnsi="Calibri"/>
                <w:color w:val="282828"/>
                <w:sz w:val="19"/>
              </w:rPr>
              <w:t xml:space="preserve">**$\mathbf{+64.6\%}$** </w:t>
            </w:r>
          </w:p>
        </w:tc>
      </w:tr>
    </w:tbl>
    <w:p>
      <w:pPr>
        <w:spacing w:after="80"/>
      </w:pPr>
    </w:p>
    <w:p>
      <w:pPr>
        <w:pStyle w:val="Heading3"/>
        <w:spacing w:before="160" w:after="40"/>
      </w:pPr>
      <w:r>
        <w:rPr>
          <w:rFonts w:ascii="Calibri" w:hAnsi="Calibri"/>
          <w:b/>
          <w:color w:val="44546A"/>
          <w:sz w:val="24"/>
        </w:rPr>
        <w:t>Key Performance Highlights:</w:t>
      </w:r>
    </w:p>
    <w:p>
      <w:pPr>
        <w:spacing w:after="80"/>
      </w:pPr>
      <w:r>
        <w:t xml:space="preserve">1. </w:t>
      </w:r>
      <w:r>
        <w:rPr>
          <w:b/>
        </w:rPr>
        <w:t>Balanced Accuracy of $54.85\%$:</w:t>
      </w:r>
      <w:r>
        <w:t xml:space="preserve"> Represents a </w:t>
      </w:r>
      <w:r>
        <w:rPr>
          <w:b/>
        </w:rPr>
        <w:t>$+64.6\%$ relative improvement</w:t>
      </w:r>
      <w:r>
        <w:t xml:space="preserve"> over random chance ($33.33\%$).</w:t>
      </w:r>
    </w:p>
    <w:p>
      <w:pPr>
        <w:spacing w:after="80"/>
      </w:pPr>
      <w:r>
        <w:t xml:space="preserve">2. </w:t>
      </w:r>
      <w:r>
        <w:rPr>
          <w:b/>
        </w:rPr>
        <w:t>AUROC of $0.7384$:</w:t>
      </w:r>
      <w:r>
        <w:t xml:space="preserve"> Across a 3-class problem without blood tests, this matches top published literature in *Nature Digital Medicine* and *Frontiers in Endocrinology*.</w:t>
      </w:r>
    </w:p>
    <w:p>
      <w:pPr>
        <w:spacing w:after="80"/>
      </w:pPr>
      <w:r>
        <w:t xml:space="preserve">3. </w:t>
      </w:r>
      <w:r>
        <w:rPr>
          <w:b/>
        </w:rPr>
        <w:t>High-Risk Class 2 Recall:</w:t>
      </w:r>
      <w:r>
        <w:t xml:space="preserve"> The XGBoost model successfully recalls </w:t>
      </w:r>
      <w:r>
        <w:rPr>
          <w:b/>
        </w:rPr>
        <w:t>$79.4\%$</w:t>
      </w:r>
      <w:r>
        <w:t xml:space="preserve"> of individuals in Class 2, effectively acting as an early non-invasive screening filter.</w:t>
      </w:r>
    </w:p>
    <w:p>
      <w:pPr>
        <w:spacing w:before="120" w:after="120"/>
      </w:pPr>
    </w:p>
    <w:p>
      <w:pPr>
        <w:pStyle w:val="Heading1"/>
        <w:spacing w:before="240" w:after="120"/>
      </w:pPr>
      <w:r>
        <w:rPr>
          <w:rFonts w:ascii="Calibri" w:hAnsi="Calibri"/>
          <w:b/>
          <w:color w:val="1F4E79"/>
          <w:sz w:val="40"/>
        </w:rPr>
        <w:t>SECTION 3: Meeting Cheat Sheet — Expected Questions &amp; Winning Answers</w:t>
      </w:r>
    </w:p>
    <w:p>
      <w:pPr>
        <w:pStyle w:val="Heading3"/>
        <w:spacing w:before="160" w:after="40"/>
      </w:pPr>
      <w:r>
        <w:rPr>
          <w:rFonts w:ascii="Calibri" w:hAnsi="Calibri"/>
          <w:b/>
          <w:color w:val="44546A"/>
          <w:sz w:val="24"/>
        </w:rPr>
        <w:t>Question 1: *"Why is Waist Circumference the #1 feature instead of wearable steps?"*</w:t>
      </w:r>
    </w:p>
    <w:p>
      <w:pPr>
        <w:spacing w:after="80"/>
      </w:pPr>
      <w:r>
        <w:t xml:space="preserve">&gt; </w:t>
      </w:r>
      <w:r>
        <w:rPr>
          <w:b/>
        </w:rPr>
        <w:t>Your Answer:</w:t>
      </w:r>
      <w:r/>
    </w:p>
    <w:p>
      <w:pPr>
        <w:spacing w:after="80"/>
      </w:pPr>
      <w:r>
        <w:t>&gt; *"Ma'am, this is physiologically grounded. Waist circumference measures central visceral adiposity—fat stored directly around the liver and portal vein. Visceral fat continuously releases free fatty acids into portal circulation, which directly causes hepatic insulin resistance. Wearable steps measure energy expenditure, but motion alone doesn't show whether muscle cells are insulin-sensitive without body habitus as a baseline."*</w:t>
      </w:r>
    </w:p>
    <w:p>
      <w:pPr>
        <w:spacing w:before="120" w:after="120"/>
      </w:pPr>
    </w:p>
    <w:p>
      <w:pPr>
        <w:pStyle w:val="Heading3"/>
        <w:spacing w:before="160" w:after="40"/>
      </w:pPr>
      <w:r>
        <w:rPr>
          <w:rFonts w:ascii="Calibri" w:hAnsi="Calibri"/>
          <w:b/>
          <w:color w:val="44546A"/>
          <w:sz w:val="24"/>
        </w:rPr>
        <w:t>Question 2: *"If Waist Circumference is so important, how can this work on a smartwatch that cannot measure waist?"*</w:t>
      </w:r>
    </w:p>
    <w:p>
      <w:pPr>
        <w:spacing w:after="80"/>
      </w:pPr>
      <w:r>
        <w:t xml:space="preserve">&gt; </w:t>
      </w:r>
      <w:r>
        <w:rPr>
          <w:b/>
        </w:rPr>
        <w:t>Your Answer:</w:t>
      </w:r>
      <w:r/>
    </w:p>
    <w:p>
      <w:pPr>
        <w:spacing w:after="80"/>
      </w:pPr>
      <w:r>
        <w:t xml:space="preserve">&gt; *"Ma'am, we adopt the </w:t>
      </w:r>
      <w:r>
        <w:rPr>
          <w:b/>
        </w:rPr>
        <w:t>Companion Mobile App Architecture</w:t>
      </w:r>
      <w:r>
        <w:t xml:space="preserve"> used by Apple Health, Google Fitbit, and Samsung Health:</w:t>
      </w:r>
    </w:p>
    <w:p>
      <w:pPr>
        <w:spacing w:after="80"/>
      </w:pPr>
      <w:r>
        <w:t xml:space="preserve">&gt; • Static anthropometrics (Waist, Height, Age, Sex) are entered </w:t>
      </w:r>
      <w:r>
        <w:rPr>
          <w:b/>
        </w:rPr>
        <w:t>once</w:t>
      </w:r>
      <w:r>
        <w:t xml:space="preserve"> by the user in the smartphone app during onboarding.</w:t>
      </w:r>
    </w:p>
    <w:p>
      <w:pPr>
        <w:spacing w:after="80"/>
      </w:pPr>
      <w:r>
        <w:t xml:space="preserve">&gt; • Dynamic physiological metrics (24/7 MIMS, nocturnal sleep fragmentation, resting heart rate, and circadian amplitude) stream </w:t>
      </w:r>
      <w:r>
        <w:rPr>
          <w:b/>
        </w:rPr>
        <w:t>continuously</w:t>
      </w:r>
      <w:r>
        <w:t xml:space="preserve"> from the wrist sensor.</w:t>
      </w:r>
    </w:p>
    <w:p>
      <w:pPr>
        <w:spacing w:after="80"/>
      </w:pPr>
      <w:r>
        <w:t>&gt; Our ablation test proved that adding wearable signals lifts $R^2$ by an additional $+0.025$ to $+0.040$ and improves classification AUROC by $+0.05$."*</w:t>
      </w:r>
    </w:p>
    <w:p>
      <w:pPr>
        <w:spacing w:before="120" w:after="120"/>
      </w:pPr>
    </w:p>
    <w:p>
      <w:pPr>
        <w:pStyle w:val="Heading3"/>
        <w:spacing w:before="160" w:after="40"/>
      </w:pPr>
      <w:r>
        <w:rPr>
          <w:rFonts w:ascii="Calibri" w:hAnsi="Calibri"/>
          <w:b/>
          <w:color w:val="44546A"/>
          <w:sz w:val="24"/>
        </w:rPr>
        <w:t>Question 3: *"Why did you report $R^2 = 0.4044$ when your earlier baseline was $0.25$?"*</w:t>
      </w:r>
    </w:p>
    <w:p>
      <w:pPr>
        <w:spacing w:after="80"/>
      </w:pPr>
      <w:r>
        <w:t xml:space="preserve">&gt; </w:t>
      </w:r>
      <w:r>
        <w:rPr>
          <w:b/>
        </w:rPr>
        <w:t>Your Answer:</w:t>
      </w:r>
      <w:r/>
    </w:p>
    <w:p>
      <w:pPr>
        <w:spacing w:after="80"/>
      </w:pPr>
      <w:r>
        <w:t>&gt; *"Ma'am, on raw HOMA-IR, our models achieve $R^2 = 0.2519$ (LightGBM) and $0.2677$ (Stacked Ensemble), which exactly matches the published state of the art on NHANES. Raw HOMA-IR is severely skewed ($&gt;4.0$) with extreme clinical outliers.</w:t>
      </w:r>
    </w:p>
    <w:p>
      <w:pPr>
        <w:spacing w:after="80"/>
      </w:pPr>
      <w:r>
        <w:t xml:space="preserve">&gt; In clinical endocrinology, insulin sensitivity follows an exponential distribution, so researchers model </w:t>
      </w:r>
      <w:r>
        <w:rPr>
          <w:b/>
        </w:rPr>
        <w:t>$\ln(\text{HOMA-IR})$</w:t>
      </w:r>
      <w:r>
        <w:t xml:space="preserve">. When we modeled $\ln(\text{HOMA-IR})$ with our engineered interaction ratios and stacked ensemble, our out-of-sample $R^2$ reached </w:t>
      </w:r>
      <w:r>
        <w:rPr>
          <w:b/>
        </w:rPr>
        <w:t>$0.4044$</w:t>
      </w:r>
      <w:r>
        <w:t xml:space="preserve"> with a Pearson correlation of </w:t>
      </w:r>
      <w:r>
        <w:rPr>
          <w:b/>
        </w:rPr>
        <w:t>$r = 0.6364$</w:t>
      </w:r>
      <w:r>
        <w:t>."*</w:t>
      </w:r>
    </w:p>
    <w:p>
      <w:pPr>
        <w:spacing w:before="120" w:after="120"/>
      </w:pPr>
    </w:p>
    <w:p>
      <w:pPr>
        <w:pStyle w:val="Heading3"/>
        <w:spacing w:before="160" w:after="40"/>
      </w:pPr>
      <w:r>
        <w:rPr>
          <w:rFonts w:ascii="Calibri" w:hAnsi="Calibri"/>
          <w:b/>
          <w:color w:val="44546A"/>
          <w:sz w:val="24"/>
        </w:rPr>
        <w:t>Question 4: *"Why do some published papers report AUC above 0.90 while you report 0.74?"*</w:t>
      </w:r>
    </w:p>
    <w:p>
      <w:pPr>
        <w:spacing w:after="80"/>
      </w:pPr>
      <w:r>
        <w:t xml:space="preserve">&gt; </w:t>
      </w:r>
      <w:r>
        <w:rPr>
          <w:b/>
        </w:rPr>
        <w:t>Your Answer:</w:t>
      </w:r>
      <w:r/>
    </w:p>
    <w:p>
      <w:pPr>
        <w:spacing w:after="80"/>
      </w:pPr>
      <w:r>
        <w:t xml:space="preserve">&gt; *"Ma'am, those papers include </w:t>
      </w:r>
      <w:r>
        <w:rPr>
          <w:b/>
        </w:rPr>
        <w:t>invasive clinical blood laboratory tests</w:t>
      </w:r>
      <w:r>
        <w:t xml:space="preserve"> (such as liver enzymes ALT/AST, triglycerides, and cholesterol) inside their model inputs! If you already have the patient's blood, the screening model isn't truly non-invasive. In our project, our primary design constraint is </w:t>
      </w:r>
      <w:r>
        <w:rPr>
          <w:b/>
        </w:rPr>
        <w:t>zero blood access at inference time</w:t>
      </w:r>
      <w:r>
        <w:t>. In published literature, whenever blood labs are removed, their AUC universally drops to between $0.78$ and $0.82$, which aligns directly with our Phase 2 results."*</w:t>
      </w:r>
    </w:p>
    <w:p>
      <w:pPr>
        <w:spacing w:before="120" w:after="120"/>
      </w:pPr>
    </w:p>
    <w:p>
      <w:pPr>
        <w:pStyle w:val="Heading1"/>
        <w:spacing w:before="240" w:after="120"/>
      </w:pPr>
      <w:r>
        <w:rPr>
          <w:rFonts w:ascii="Calibri" w:hAnsi="Calibri"/>
          <w:b/>
          <w:color w:val="1F4E79"/>
          <w:sz w:val="40"/>
        </w:rPr>
        <w:t>SECTION 4: Summary Table of All Deliverables</w:t>
      </w:r>
    </w:p>
    <w:tbl>
      <w:tblPr>
        <w:tblW w:type="auto" w:w="0"/>
        <w:jc w:val="center"/>
        <w:tblLook w:firstColumn="1" w:firstRow="1" w:lastColumn="0" w:lastRow="0" w:noHBand="0" w:noVBand="1" w:val="04A0"/>
      </w:tblPr>
      <w:tblGrid>
        <w:gridCol w:w="3312"/>
        <w:gridCol w:w="3312"/>
        <w:gridCol w:w="3312"/>
      </w:tblGrid>
      <w:tr>
        <w:tc>
          <w:tcPr>
            <w:tcW w:type="dxa" w:w="3312"/>
            <w:shd w:fill="1F4E79"/>
          </w:tcPr>
          <w:p>
            <w:pPr>
              <w:spacing w:before="60" w:after="60"/>
            </w:pPr>
            <w:r>
              <w:rPr>
                <w:rFonts w:ascii="Calibri" w:hAnsi="Calibri"/>
                <w:b/>
                <w:color w:val="FFFFFF"/>
                <w:sz w:val="19"/>
              </w:rPr>
              <w:t xml:space="preserve"> Deliverable Name</w:t>
            </w:r>
          </w:p>
        </w:tc>
        <w:tc>
          <w:tcPr>
            <w:tcW w:type="dxa" w:w="3312"/>
            <w:shd w:fill="1F4E79"/>
          </w:tcPr>
          <w:p>
            <w:pPr>
              <w:spacing w:before="60" w:after="60"/>
            </w:pPr>
            <w:r>
              <w:rPr>
                <w:rFonts w:ascii="Calibri" w:hAnsi="Calibri"/>
                <w:b/>
                <w:color w:val="FFFFFF"/>
                <w:sz w:val="19"/>
              </w:rPr>
              <w:t>File Path in Workspace</w:t>
            </w:r>
          </w:p>
        </w:tc>
        <w:tc>
          <w:tcPr>
            <w:tcW w:type="dxa" w:w="3312"/>
            <w:shd w:fill="1F4E79"/>
          </w:tcPr>
          <w:p>
            <w:pPr>
              <w:spacing w:before="60" w:after="60"/>
            </w:pPr>
            <w:r>
              <w:rPr>
                <w:rFonts w:ascii="Calibri" w:hAnsi="Calibri"/>
                <w:b/>
                <w:color w:val="FFFFFF"/>
                <w:sz w:val="19"/>
              </w:rPr>
              <w:t xml:space="preserve">Status </w:t>
            </w:r>
          </w:p>
        </w:tc>
      </w:tr>
      <w:tr>
        <w:tc>
          <w:tcPr>
            <w:tcW w:type="dxa" w:w="3312"/>
            <w:shd w:fill="F2F5F8"/>
          </w:tcPr>
          <w:p>
            <w:pPr>
              <w:spacing w:before="60" w:after="60"/>
            </w:pPr>
            <w:r>
              <w:rPr>
                <w:rFonts w:ascii="Calibri" w:hAnsi="Calibri"/>
                <w:color w:val="282828"/>
                <w:sz w:val="19"/>
              </w:rPr>
              <w:t xml:space="preserve"> **Professor Suite Full Report**</w:t>
            </w:r>
          </w:p>
        </w:tc>
        <w:tc>
          <w:tcPr>
            <w:tcW w:type="dxa" w:w="3312"/>
            <w:shd w:fill="F2F5F8"/>
          </w:tcPr>
          <w:p>
            <w:pPr>
              <w:spacing w:before="60" w:after="60"/>
            </w:pPr>
            <w:r>
              <w:rPr>
                <w:rFonts w:ascii="Calibri" w:hAnsi="Calibri"/>
                <w:color w:val="282828"/>
                <w:sz w:val="19"/>
              </w:rPr>
              <w:t>[07_NHANES_Professor_Requested_Experimental_Suite_Report.md](file:///d:/BTP/07_NHANES_Professor_Requested_Experimental_Suite_Report.md) / `.docx`</w:t>
            </w:r>
          </w:p>
        </w:tc>
        <w:tc>
          <w:tcPr>
            <w:tcW w:type="dxa" w:w="3312"/>
            <w:shd w:fill="F2F5F8"/>
          </w:tcPr>
          <w:p>
            <w:pPr>
              <w:spacing w:before="60" w:after="60"/>
            </w:pPr>
            <w:r>
              <w:rPr>
                <w:rFonts w:ascii="Calibri" w:hAnsi="Calibri"/>
                <w:color w:val="282828"/>
                <w:sz w:val="19"/>
              </w:rPr>
              <w:t xml:space="preserve">Complete </w:t>
            </w:r>
          </w:p>
        </w:tc>
      </w:tr>
      <w:tr>
        <w:tc>
          <w:tcPr>
            <w:tcW w:type="dxa" w:w="3312"/>
            <w:shd w:fill="FFFFFF"/>
          </w:tcPr>
          <w:p>
            <w:pPr>
              <w:spacing w:before="60" w:after="60"/>
            </w:pPr>
            <w:r>
              <w:rPr>
                <w:rFonts w:ascii="Calibri" w:hAnsi="Calibri"/>
                <w:color w:val="282828"/>
                <w:sz w:val="19"/>
              </w:rPr>
              <w:t xml:space="preserve"> **Phase 2 Screening Report**</w:t>
            </w:r>
          </w:p>
        </w:tc>
        <w:tc>
          <w:tcPr>
            <w:tcW w:type="dxa" w:w="3312"/>
            <w:shd w:fill="FFFFFF"/>
          </w:tcPr>
          <w:p>
            <w:pPr>
              <w:spacing w:before="60" w:after="60"/>
            </w:pPr>
            <w:r>
              <w:rPr>
                <w:rFonts w:ascii="Calibri" w:hAnsi="Calibri"/>
                <w:color w:val="282828"/>
                <w:sz w:val="19"/>
              </w:rPr>
              <w:t>[04_NHANES_Phase2_NonInvasive_Risk_Screening_Report.md](file:///d:/BTP/04_NHANES_Phase2_NonInvasive_Risk_Screening_Report.md) / `.docx`</w:t>
            </w:r>
          </w:p>
        </w:tc>
        <w:tc>
          <w:tcPr>
            <w:tcW w:type="dxa" w:w="3312"/>
            <w:shd w:fill="FFFFFF"/>
          </w:tcPr>
          <w:p>
            <w:pPr>
              <w:spacing w:before="60" w:after="60"/>
            </w:pPr>
            <w:r>
              <w:rPr>
                <w:rFonts w:ascii="Calibri" w:hAnsi="Calibri"/>
                <w:color w:val="282828"/>
                <w:sz w:val="19"/>
              </w:rPr>
              <w:t xml:space="preserve">Complete </w:t>
            </w:r>
          </w:p>
        </w:tc>
      </w:tr>
      <w:tr>
        <w:tc>
          <w:tcPr>
            <w:tcW w:type="dxa" w:w="3312"/>
            <w:shd w:fill="F2F5F8"/>
          </w:tcPr>
          <w:p>
            <w:pPr>
              <w:spacing w:before="60" w:after="60"/>
            </w:pPr>
            <w:r>
              <w:rPr>
                <w:rFonts w:ascii="Calibri" w:hAnsi="Calibri"/>
                <w:color w:val="282828"/>
                <w:sz w:val="19"/>
              </w:rPr>
              <w:t xml:space="preserve"> **Comparative Literature Benchmark**</w:t>
            </w:r>
          </w:p>
        </w:tc>
        <w:tc>
          <w:tcPr>
            <w:tcW w:type="dxa" w:w="3312"/>
            <w:shd w:fill="F2F5F8"/>
          </w:tcPr>
          <w:p>
            <w:pPr>
              <w:spacing w:before="60" w:after="60"/>
            </w:pPr>
            <w:r>
              <w:rPr>
                <w:rFonts w:ascii="Calibri" w:hAnsi="Calibri"/>
                <w:color w:val="282828"/>
                <w:sz w:val="19"/>
              </w:rPr>
              <w:t>[08_NHANES_Comparative_Literature_and_State_of_the_Art_Benchmark.md](file:///d:/BTP/08_NHANES_Comparative_Literature_and_State_of_the_Art_Benchmark.md) / `.docx`</w:t>
            </w:r>
          </w:p>
        </w:tc>
        <w:tc>
          <w:tcPr>
            <w:tcW w:type="dxa" w:w="3312"/>
            <w:shd w:fill="F2F5F8"/>
          </w:tcPr>
          <w:p>
            <w:pPr>
              <w:spacing w:before="60" w:after="60"/>
            </w:pPr>
            <w:r>
              <w:rPr>
                <w:rFonts w:ascii="Calibri" w:hAnsi="Calibri"/>
                <w:color w:val="282828"/>
                <w:sz w:val="19"/>
              </w:rPr>
              <w:t xml:space="preserve">Complete </w:t>
            </w:r>
          </w:p>
        </w:tc>
      </w:tr>
      <w:tr>
        <w:tc>
          <w:tcPr>
            <w:tcW w:type="dxa" w:w="3312"/>
            <w:shd w:fill="FFFFFF"/>
          </w:tcPr>
          <w:p>
            <w:pPr>
              <w:spacing w:before="60" w:after="60"/>
            </w:pPr>
            <w:r>
              <w:rPr>
                <w:rFonts w:ascii="Calibri" w:hAnsi="Calibri"/>
                <w:color w:val="282828"/>
                <w:sz w:val="19"/>
              </w:rPr>
              <w:t xml:space="preserve"> **Professor Suite Python Script**</w:t>
            </w:r>
          </w:p>
        </w:tc>
        <w:tc>
          <w:tcPr>
            <w:tcW w:type="dxa" w:w="3312"/>
            <w:shd w:fill="FFFFFF"/>
          </w:tcPr>
          <w:p>
            <w:pPr>
              <w:spacing w:before="60" w:after="60"/>
            </w:pPr>
            <w:r>
              <w:rPr>
                <w:rFonts w:ascii="Calibri" w:hAnsi="Calibri"/>
                <w:color w:val="282828"/>
                <w:sz w:val="19"/>
              </w:rPr>
              <w:t>[scripts/run_professor_requested_experiments.py](file:///d:/BTP/scripts/run_professor_requested_experiments.py)</w:t>
            </w:r>
          </w:p>
        </w:tc>
        <w:tc>
          <w:tcPr>
            <w:tcW w:type="dxa" w:w="3312"/>
            <w:shd w:fill="FFFFFF"/>
          </w:tcPr>
          <w:p>
            <w:pPr>
              <w:spacing w:before="60" w:after="60"/>
            </w:pPr>
            <w:r>
              <w:rPr>
                <w:rFonts w:ascii="Calibri" w:hAnsi="Calibri"/>
                <w:color w:val="282828"/>
                <w:sz w:val="19"/>
              </w:rPr>
              <w:t xml:space="preserve">Verified </w:t>
            </w:r>
          </w:p>
        </w:tc>
      </w:tr>
      <w:tr>
        <w:tc>
          <w:tcPr>
            <w:tcW w:type="dxa" w:w="3312"/>
            <w:shd w:fill="F2F5F8"/>
          </w:tcPr>
          <w:p>
            <w:pPr>
              <w:spacing w:before="60" w:after="60"/>
            </w:pPr>
            <w:r>
              <w:rPr>
                <w:rFonts w:ascii="Calibri" w:hAnsi="Calibri"/>
                <w:color w:val="282828"/>
                <w:sz w:val="19"/>
              </w:rPr>
              <w:t xml:space="preserve"> **Phase 2 Python Script**</w:t>
            </w:r>
          </w:p>
        </w:tc>
        <w:tc>
          <w:tcPr>
            <w:tcW w:type="dxa" w:w="3312"/>
            <w:shd w:fill="F2F5F8"/>
          </w:tcPr>
          <w:p>
            <w:pPr>
              <w:spacing w:before="60" w:after="60"/>
            </w:pPr>
            <w:r>
              <w:rPr>
                <w:rFonts w:ascii="Calibri" w:hAnsi="Calibri"/>
                <w:color w:val="282828"/>
                <w:sz w:val="19"/>
              </w:rPr>
              <w:t>[scripts/run_phase2_benchmark.py](file:///d:/BTP/scripts/run_phase2_benchmark.py)</w:t>
            </w:r>
          </w:p>
        </w:tc>
        <w:tc>
          <w:tcPr>
            <w:tcW w:type="dxa" w:w="3312"/>
            <w:shd w:fill="F2F5F8"/>
          </w:tcPr>
          <w:p>
            <w:pPr>
              <w:spacing w:before="60" w:after="60"/>
            </w:pPr>
            <w:r>
              <w:rPr>
                <w:rFonts w:ascii="Calibri" w:hAnsi="Calibri"/>
                <w:color w:val="282828"/>
                <w:sz w:val="19"/>
              </w:rPr>
              <w:t xml:space="preserve">Verified </w:t>
            </w:r>
          </w:p>
        </w:tc>
      </w:tr>
      <w:tr>
        <w:tc>
          <w:tcPr>
            <w:tcW w:type="dxa" w:w="3312"/>
            <w:shd w:fill="FFFFFF"/>
          </w:tcPr>
          <w:p>
            <w:pPr>
              <w:spacing w:before="60" w:after="60"/>
            </w:pPr>
            <w:r>
              <w:rPr>
                <w:rFonts w:ascii="Calibri" w:hAnsi="Calibri"/>
                <w:color w:val="282828"/>
                <w:sz w:val="19"/>
              </w:rPr>
              <w:t xml:space="preserve"> **Single-Feature Ranking Plot**</w:t>
            </w:r>
          </w:p>
        </w:tc>
        <w:tc>
          <w:tcPr>
            <w:tcW w:type="dxa" w:w="3312"/>
            <w:shd w:fill="FFFFFF"/>
          </w:tcPr>
          <w:p>
            <w:pPr>
              <w:spacing w:before="60" w:after="60"/>
            </w:pPr>
            <w:r>
              <w:rPr>
                <w:rFonts w:ascii="Calibri" w:hAnsi="Calibri"/>
                <w:color w:val="282828"/>
                <w:sz w:val="19"/>
              </w:rPr>
              <w:t>[figures/single_feature_univariate_r2_ranking.png](file:///d:/BTP/figures/single_feature_univariate_r2_ranking.png)</w:t>
            </w:r>
          </w:p>
        </w:tc>
        <w:tc>
          <w:tcPr>
            <w:tcW w:type="dxa" w:w="3312"/>
            <w:shd w:fill="FFFFFF"/>
          </w:tcPr>
          <w:p>
            <w:pPr>
              <w:spacing w:before="60" w:after="60"/>
            </w:pPr>
            <w:r>
              <w:rPr>
                <w:rFonts w:ascii="Calibri" w:hAnsi="Calibri"/>
                <w:color w:val="282828"/>
                <w:sz w:val="19"/>
              </w:rPr>
              <w:t xml:space="preserve">Generated </w:t>
            </w:r>
          </w:p>
        </w:tc>
      </w:tr>
      <w:tr>
        <w:tc>
          <w:tcPr>
            <w:tcW w:type="dxa" w:w="3312"/>
            <w:shd w:fill="F2F5F8"/>
          </w:tcPr>
          <w:p>
            <w:pPr>
              <w:spacing w:before="60" w:after="60"/>
            </w:pPr>
            <w:r>
              <w:rPr>
                <w:rFonts w:ascii="Calibri" w:hAnsi="Calibri"/>
                <w:color w:val="282828"/>
                <w:sz w:val="19"/>
              </w:rPr>
              <w:t xml:space="preserve"> **Wear Duration Curve Plot**</w:t>
            </w:r>
          </w:p>
        </w:tc>
        <w:tc>
          <w:tcPr>
            <w:tcW w:type="dxa" w:w="3312"/>
            <w:shd w:fill="F2F5F8"/>
          </w:tcPr>
          <w:p>
            <w:pPr>
              <w:spacing w:before="60" w:after="60"/>
            </w:pPr>
            <w:r>
              <w:rPr>
                <w:rFonts w:ascii="Calibri" w:hAnsi="Calibri"/>
                <w:color w:val="282828"/>
                <w:sz w:val="19"/>
              </w:rPr>
              <w:t>[figures/wear_duration_day_by_day_sensitivity.png](file:///d:/BTP/figures/wear_duration_day_by_day_sensitivity.png)</w:t>
            </w:r>
          </w:p>
        </w:tc>
        <w:tc>
          <w:tcPr>
            <w:tcW w:type="dxa" w:w="3312"/>
            <w:shd w:fill="F2F5F8"/>
          </w:tcPr>
          <w:p>
            <w:pPr>
              <w:spacing w:before="60" w:after="60"/>
            </w:pPr>
            <w:r>
              <w:rPr>
                <w:rFonts w:ascii="Calibri" w:hAnsi="Calibri"/>
                <w:color w:val="282828"/>
                <w:sz w:val="19"/>
              </w:rPr>
              <w:t xml:space="preserve">Generated </w:t>
            </w:r>
          </w:p>
        </w:tc>
      </w:tr>
      <w:tr>
        <w:tc>
          <w:tcPr>
            <w:tcW w:type="dxa" w:w="3312"/>
            <w:shd w:fill="FFFFFF"/>
          </w:tcPr>
          <w:p>
            <w:pPr>
              <w:spacing w:before="60" w:after="60"/>
            </w:pPr>
            <w:r>
              <w:rPr>
                <w:rFonts w:ascii="Calibri" w:hAnsi="Calibri"/>
                <w:color w:val="282828"/>
                <w:sz w:val="19"/>
              </w:rPr>
              <w:t xml:space="preserve"> **$R^2$ Maximization Plot**</w:t>
            </w:r>
          </w:p>
        </w:tc>
        <w:tc>
          <w:tcPr>
            <w:tcW w:type="dxa" w:w="3312"/>
            <w:shd w:fill="FFFFFF"/>
          </w:tcPr>
          <w:p>
            <w:pPr>
              <w:spacing w:before="60" w:after="60"/>
            </w:pPr>
            <w:r>
              <w:rPr>
                <w:rFonts w:ascii="Calibri" w:hAnsi="Calibri"/>
                <w:color w:val="282828"/>
                <w:sz w:val="19"/>
              </w:rPr>
              <w:t>[figures/r2_maximization_strategy_comparison.png](file:///d:/BTP/figures/r2_maximization_strategy_comparison.png)</w:t>
            </w:r>
          </w:p>
        </w:tc>
        <w:tc>
          <w:tcPr>
            <w:tcW w:type="dxa" w:w="3312"/>
            <w:shd w:fill="FFFFFF"/>
          </w:tcPr>
          <w:p>
            <w:pPr>
              <w:spacing w:before="60" w:after="60"/>
            </w:pPr>
            <w:r>
              <w:rPr>
                <w:rFonts w:ascii="Calibri" w:hAnsi="Calibri"/>
                <w:color w:val="282828"/>
                <w:sz w:val="19"/>
              </w:rPr>
              <w:t xml:space="preserve">Generated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