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WEARABLE SMARTWATCH PRODUCTION ARCHITECTURE &amp; PRODUCT BLUEPRINT</w:t>
      </w:r>
    </w:p>
    <w:p>
      <w:pPr>
        <w:pStyle w:val="Heading2"/>
        <w:spacing w:before="200" w:after="80"/>
      </w:pPr>
      <w:r>
        <w:rPr>
          <w:rFonts w:ascii="Calibri" w:hAnsi="Calibri"/>
          <w:b/>
          <w:color w:val="2E75B6"/>
          <w:sz w:val="28"/>
        </w:rPr>
        <w:t>End-to-End System Design for Non-Invasive Early Insulin Resistance &amp; Pre-Diabetes Screening</w:t>
      </w:r>
    </w:p>
    <w:p>
      <w:pPr>
        <w:spacing w:after="80"/>
      </w:pPr>
      <w:r/>
      <w:r>
        <w:rPr>
          <w:b/>
        </w:rPr>
        <w:t>Project:</w:t>
      </w:r>
      <w:r>
        <w:t xml:space="preserve"> Biomedical AI Wearable Sensing — Non-Invasive Metabolic Health Monitoring</w:t>
      </w:r>
    </w:p>
    <w:p>
      <w:pPr>
        <w:spacing w:after="80"/>
      </w:pPr>
      <w:r/>
      <w:r>
        <w:rPr>
          <w:b/>
        </w:rPr>
        <w:t>Target Hardware:</w:t>
      </w:r>
      <w:r>
        <w:t xml:space="preserve"> Commercial Smartwatches &amp; Wearables (Apple Watch, Wear OS, Garmin, Fitbit, Samsung Galaxy Watch)</w:t>
      </w:r>
    </w:p>
    <w:p>
      <w:pPr>
        <w:spacing w:after="80"/>
      </w:pPr>
      <w:r/>
      <w:r>
        <w:rPr>
          <w:b/>
        </w:rPr>
        <w:t>Core Machine Learning Engine:</w:t>
      </w:r>
      <w:r>
        <w:t xml:space="preserve"> Dual-Tier Multimodal Latent Space Neural Encoder &amp; Gradient Boosted Ensembles</w:t>
      </w:r>
    </w:p>
    <w:p>
      <w:pPr>
        <w:spacing w:after="80"/>
      </w:pPr>
      <w:r/>
      <w:r>
        <w:rPr>
          <w:b/>
        </w:rPr>
        <w:t>Empirical Validation Cohorts:</w:t>
      </w:r>
      <w:r>
        <w:t xml:space="preserve"> CDC NHANES ($N = 3,296$) &amp; Google Health *Nature* 2026 Cohort ($N = 1,165$)</w:t>
      </w:r>
    </w:p>
    <w:p>
      <w:pPr>
        <w:spacing w:after="80"/>
      </w:pPr>
      <w:r/>
      <w:r>
        <w:rPr>
          <w:b/>
        </w:rPr>
        <w:t>Status:</w:t>
      </w:r>
      <w:r>
        <w:t xml:space="preserve"> Master Production Architecture Specification</w:t>
      </w:r>
    </w:p>
    <w:p>
      <w:pPr>
        <w:spacing w:before="120" w:after="120"/>
      </w:pPr>
    </w:p>
    <w:p>
      <w:pPr>
        <w:pStyle w:val="Heading2"/>
        <w:spacing w:before="200" w:after="80"/>
      </w:pPr>
      <w:r>
        <w:rPr>
          <w:rFonts w:ascii="Calibri" w:hAnsi="Calibri"/>
          <w:b/>
          <w:color w:val="2E75B6"/>
          <w:sz w:val="28"/>
        </w:rPr>
        <w:t>1. EXECUTIVE SUMMARY &amp; PRODUCT VISION</w:t>
      </w:r>
    </w:p>
    <w:p>
      <w:pPr>
        <w:pStyle w:val="Heading3"/>
        <w:spacing w:before="160" w:after="40"/>
      </w:pPr>
      <w:r>
        <w:rPr>
          <w:rFonts w:ascii="Calibri" w:hAnsi="Calibri"/>
          <w:b/>
          <w:color w:val="44546A"/>
          <w:sz w:val="24"/>
        </w:rPr>
        <w:t>1.1 The Clinical Problem</w:t>
      </w:r>
    </w:p>
    <w:p>
      <w:pPr>
        <w:spacing w:after="80"/>
      </w:pPr>
      <w:r>
        <w:t xml:space="preserve">Type 2 diabetes affects over 537 million adults globally, with another 541 million having pre-diabetes. Crucially, </w:t>
      </w:r>
      <w:r>
        <w:rPr>
          <w:b/>
        </w:rPr>
        <w:t>insulin resistance (IR)</w:t>
      </w:r>
      <w:r>
        <w:t xml:space="preserve"> develops silently </w:t>
      </w:r>
      <w:r>
        <w:rPr>
          <w:b/>
        </w:rPr>
        <w:t>10 to 15 years before</w:t>
      </w:r>
      <w:r>
        <w:t xml:space="preserve"> clinical hyperglycemia or elevated HbA1c manifests.</w:t>
      </w:r>
    </w:p>
    <w:p>
      <w:pPr>
        <w:spacing w:after="80"/>
      </w:pPr>
      <w:r>
        <w:t xml:space="preserve">By the time fasting blood glucose exceeds the diabetic threshold ($126\text{ mg/dL}$), over </w:t>
      </w:r>
      <w:r>
        <w:rPr>
          <w:b/>
        </w:rPr>
        <w:t>$50\%$ of pancreatic $\beta$-cell secretory capacity has already been irreversibly destroyed</w:t>
      </w:r>
      <w:r>
        <w:t>.</w:t>
      </w:r>
    </w:p>
    <w:p>
      <w:pPr>
        <w:spacing w:after="80"/>
      </w:pPr>
      <w:r>
        <w:t>Currently, quantifying insulin resistance requires either:</w:t>
      </w:r>
    </w:p>
    <w:p>
      <w:pPr>
        <w:spacing w:after="80"/>
      </w:pPr>
      <w:r>
        <w:t xml:space="preserve">1. </w:t>
      </w:r>
      <w:r>
        <w:rPr>
          <w:b/>
        </w:rPr>
        <w:t>Hyperinsulinemic-Euglycemic Clamp:</w:t>
      </w:r>
      <w:r>
        <w:t xml:space="preserve"> The invasive, hospital-based $4\text{-hour}$ intravenous glucose/insulin gold standard ($&gt;\$1,500$ cost).</w:t>
      </w:r>
    </w:p>
    <w:p>
      <w:pPr>
        <w:spacing w:after="80"/>
      </w:pPr>
      <w:r>
        <w:t xml:space="preserve">2. </w:t>
      </w:r>
      <w:r>
        <w:rPr>
          <w:b/>
        </w:rPr>
        <w:t>Fasting HOMA-IR:</w:t>
      </w:r>
      <w:r>
        <w:t xml:space="preserve"> Calculated as $\frac{\text{Fasting Glucose (mg/dL)} \times \text{Fasting Insulin (\mu IU/mL)}}{405}$, requiring laboratory blood draws. The fasting insulin assay is rarely ordered in routine primary check-ups due to cost and lack of standardization.</w:t>
      </w:r>
    </w:p>
    <w:p>
      <w:pPr>
        <w:pStyle w:val="Heading3"/>
        <w:spacing w:before="160" w:after="40"/>
      </w:pPr>
      <w:r>
        <w:rPr>
          <w:rFonts w:ascii="Calibri" w:hAnsi="Calibri"/>
          <w:b/>
          <w:color w:val="44546A"/>
          <w:sz w:val="24"/>
        </w:rPr>
        <w:t>1.2 The Product Solution: "MetaWatch AI"</w:t>
      </w:r>
    </w:p>
    <w:p>
      <w:pPr>
        <w:spacing w:after="80"/>
      </w:pPr>
      <w:r/>
      <w:r>
        <w:rPr>
          <w:b/>
        </w:rPr>
        <w:t>MetaWatch AI</w:t>
      </w:r>
      <w:r>
        <w:t xml:space="preserve"> is an on-device and cloud-connected software-as-a-medical-device (SaMD) engine that transforms consumer smartwatches into </w:t>
      </w:r>
      <w:r>
        <w:rPr>
          <w:b/>
        </w:rPr>
        <w:t>continuous, passive, non-invasive metabolic risk monitors</w:t>
      </w:r>
      <w:r>
        <w:t>.</w:t>
      </w:r>
    </w:p>
    <w:p>
      <w:pPr>
        <w:spacing w:after="80"/>
      </w:pPr>
      <w:r>
        <w:t xml:space="preserve">By capturing sub-clinical autonomic neuropathy (via resting heart rate and nocturnal heart rate variability), circadian disruption, physical activity fragmentation, and basic anthropometrics, MetaWatch AI continuously screens for insulin resistance and estimates continuous HOMA-IR </w:t>
      </w:r>
      <w:r>
        <w:rPr>
          <w:b/>
        </w:rPr>
        <w:t>without requiring needles, fingerpricks, or blood draws</w:t>
      </w:r>
      <w:r>
        <w:t>.</w:t>
      </w:r>
    </w:p>
    <w:p>
      <w:pPr>
        <w:spacing w:before="80" w:after="120"/>
        <w:ind w:left="576"/>
      </w:pPr>
      <w:r>
        <w:rPr>
          <w:rFonts w:ascii="Consolas" w:hAnsi="Consolas"/>
          <w:color w:val="1E1E1E"/>
          <w:sz w:val="18"/>
        </w:rPr>
        <w:t>┌────────────────────────────────────────────────────────────────────────────────────────┐</w:t>
        <w:br/>
        <w:t>│                                 THE METAWATCH AI VISION                                │</w:t>
        <w:br/>
        <w:t>│                                                                                        │</w:t>
        <w:br/>
        <w:t>│   [ Smartwatch 24/7 Sensors ] ──┐                                                      │</w:t>
        <w:br/>
        <w:t>│    • Optical PPG (RHR, HRV)     │                                                      │</w:t>
        <w:br/>
        <w:t>│    • 3D Accelerometry           ├──&gt; [ On-Device Preprocessing &amp; DSP ]                 │</w:t>
        <w:br/>
        <w:t>│    • Sleep &amp; Circadian Engine   │                 │                                    │</w:t>
        <w:br/>
        <w:t>│                                 │                 ▼                                    │</w:t>
        <w:br/>
        <w:t>│   [ User Profile Vitals ] ──────┘    [ Multimodal Feature Extractor ]                  │</w:t>
        <w:br/>
        <w:t>│    • Age, Sex, Height, Weight                     │                                    │</w:t>
        <w:br/>
        <w:t>│    • Waist Circumference (WHtR)                   ▼                                    │</w:t>
        <w:br/>
        <w:t>│    • Resting Blood Pressure          [ Dual-Task Latent Encoder &amp; Ensemble ]           │</w:t>
        <w:br/>
        <w:t>│                                                   │                                    │</w:t>
        <w:br/>
        <w:t>│                                     ┌─────────────┴─────────────┐                      │</w:t>
        <w:br/>
        <w:t>│                                     ▼                           ▼                      │</w:t>
        <w:br/>
        <w:t>│                             [ Continuous ln(HOMA-IR) ]   [ IR Risk Probability ]       │</w:t>
        <w:br/>
        <w:t>│                                     │                           │                      │</w:t>
        <w:br/>
        <w:t>│                                     └─────────────┬─────────────┘                      │</w:t>
        <w:br/>
        <w:t>│                                                   ▼                                    │</w:t>
        <w:br/>
        <w:t>│                                     [ Real-Time Metabolic Dashboard ]                  │</w:t>
        <w:br/>
        <w:t>│                                      • Dynamic MHI Score (0-100)                       │</w:t>
        <w:br/>
        <w:t>│                                      • SHAP Physiological Nudges                       │</w:t>
        <w:br/>
        <w:t>│                                      • Clinical PDF for Physicians                     │</w:t>
        <w:br/>
        <w:t>└────────────────────────────────────────────────────────────────────────────────────────┘</w:t>
      </w:r>
    </w:p>
    <w:p>
      <w:pPr>
        <w:spacing w:before="120" w:after="120"/>
      </w:pPr>
    </w:p>
    <w:p>
      <w:pPr>
        <w:pStyle w:val="Heading2"/>
        <w:spacing w:before="200" w:after="80"/>
      </w:pPr>
      <w:r>
        <w:rPr>
          <w:rFonts w:ascii="Calibri" w:hAnsi="Calibri"/>
          <w:b/>
          <w:color w:val="2E75B6"/>
          <w:sz w:val="28"/>
        </w:rPr>
        <w:t>2. INFORMATION REQUIREMENTS &amp; TELEMETRY CONTRACT</w:t>
      </w:r>
    </w:p>
    <w:p>
      <w:pPr>
        <w:spacing w:after="80"/>
      </w:pPr>
      <w:r>
        <w:t xml:space="preserve">The system is designed with a strict </w:t>
      </w:r>
      <w:r>
        <w:rPr>
          <w:b/>
        </w:rPr>
        <w:t>graceful degradation hierarchy</w:t>
      </w:r>
      <w:r>
        <w:t>. It operates at high accuracy using zero-blood wearable signals alone (Tier 1), and seamlessly upgrades to clinical diagnostic precision whenever a user connects their routine annual lab records (Tier 2).</w:t>
      </w:r>
    </w:p>
    <w:p>
      <w:pPr>
        <w:spacing w:before="80" w:after="120"/>
        <w:ind w:left="576"/>
      </w:pPr>
      <w:r>
        <w:rPr>
          <w:rFonts w:ascii="Consolas" w:hAnsi="Consolas"/>
          <w:color w:val="1E1E1E"/>
          <w:sz w:val="18"/>
        </w:rPr>
        <w:t>┌──────────────────────────────────────────────────────────────────────────────────────────────────┐</w:t>
        <w:br/>
        <w:t>│                                 TELEMETRY INPUT CONTRACT                                         │</w:t>
        <w:br/>
        <w:t>├───────────────────────────────┬──────────────────────────────────┬───────────────────────────────┤</w:t>
        <w:br/>
        <w:t>│ INPUT MODALITY                │ SPECIFIC BIOMARKERS / SIGNALS    │ ACQUISITION FREQUENCY / SOURCE│</w:t>
        <w:br/>
        <w:t>├───────────────────────────────┼──────────────────────────────────┼───────────────────────────────┤</w:t>
        <w:br/>
        <w:t>│ TIER 1: ONBOARDING VITALS     │ 1. Biological Sex (M/F)          │ 1-Time User Onboarding        │</w:t>
        <w:br/>
        <w:t>│ (Static Anthropometrics)      │ 2. Age (Years)                   │ In-App Profile Setup          │</w:t>
        <w:br/>
        <w:t>│                               │ 3. Height &amp; Weight -&gt; BMI        │ Monthly weight check prompt   │</w:t>
        <w:br/>
        <w:t>│                               │ 4. Waist Circumference -&gt; WHtR   │ Measuring tape guide in-app   │</w:t>
        <w:br/>
        <w:t>│                               │ 5. Resting Blood Pressure (BP)   │ Standard home cuff sync       │</w:t>
        <w:br/>
        <w:t>├───────────────────────────────┼──────────────────────────────────┼───────────────────────────────┤</w:t>
        <w:br/>
        <w:t>│ TIER 1: CONTINUOUS WEARABLE   │ 1. PPG Resting Heart Rate (RHR)  │ Continuous 24/7 Photoplethys- │</w:t>
        <w:br/>
        <w:t>│ SENSOR TELEMETRY              │ 2. PPG Heart Rate Var. (HRV)     │ mography (PPG @ 25-100 Hz)    │</w:t>
        <w:br/>
        <w:t>│ (Zero Blood Passive Streams)  │ 3. Tri-Axial Accelerometry       │ 3D Accelerometer @ 30-80 Hz   │</w:t>
        <w:br/>
        <w:t>│                               │ 4. Sleep Stages &amp; Efficiency     │ Optical + Actigraphy fusion   │</w:t>
        <w:br/>
        <w:t>│                               │ 5. Circadian Activity Stability  │ 24-hr parametric cycle        │</w:t>
        <w:br/>
        <w:t>│                               │ 6. Single-Lead ECG (Optional)    │ Crown / bezel contact sensor  │</w:t>
        <w:br/>
        <w:t>├───────────────────────────────┼──────────────────────────────────┼───────────────────────────────┤</w:t>
        <w:br/>
        <w:t>│ TIER 2: OPTIONAL ANNUAL LABS  │ 1. Fasting Plasma Glucose (FPG)  │ Apple Health / Health Connect │</w:t>
        <w:br/>
        <w:t>│ (Clinical Blood Sync)         │ 2. HbA1c (Glycated Hemoglobin)   │ Electronic Health Record API  │</w:t>
        <w:br/>
        <w:t>│                               │ 3. Lipid Panel (TG, HDL, LDL)    │ Manual lab report OCR upload  │</w:t>
        <w:br/>
        <w:t>│                               │ 4. Comprehensive Metabolic Panel │ (Annual routine physical)     │</w:t>
        <w:br/>
        <w:t>└───────────────────────────────┴──────────────────────────────────┴───────────────────────────────┘</w:t>
      </w:r>
    </w:p>
    <w:p>
      <w:pPr>
        <w:pStyle w:val="Heading3"/>
        <w:spacing w:before="160" w:after="40"/>
      </w:pPr>
      <w:r>
        <w:rPr>
          <w:rFonts w:ascii="Calibri" w:hAnsi="Calibri"/>
          <w:b/>
          <w:color w:val="44546A"/>
          <w:sz w:val="24"/>
        </w:rPr>
        <w:t>Detailed Breakdown of Physiological Predictors</w:t>
      </w:r>
    </w:p>
    <w:p>
      <w:pPr>
        <w:spacing w:after="80"/>
      </w:pPr>
      <w:r>
        <w:t>#### A. Static Anthropometric &amp; Hemodynamic Vitals</w:t>
      </w:r>
    </w:p>
    <w:p>
      <w:pPr>
        <w:pStyle w:val="ListBullet"/>
        <w:spacing w:after="40"/>
      </w:pPr>
      <w:r/>
      <w:r>
        <w:rPr>
          <w:b/>
        </w:rPr>
        <w:t>Waist-to-Height Ratio ($\text{WHtR} = \frac{\text{Waist (cm)}}{\text{Height (cm)}}$):</w:t>
      </w:r>
      <w:r/>
    </w:p>
    <w:p>
      <w:pPr>
        <w:spacing w:after="80"/>
      </w:pPr>
      <w:r>
        <w:t xml:space="preserve">  * *Clinical Rationale:* Proven in our NHANES experimental suite to be the single most powerful non-invasive predictor ($R^2 = 0.2036$), vastly outperforming BMI ($R^2 = 0.1748$). Reflects visceral adiposity and portal vein free fatty acid flux directly into the liver.</w:t>
      </w:r>
    </w:p>
    <w:p>
      <w:pPr>
        <w:pStyle w:val="ListBullet"/>
        <w:spacing w:after="40"/>
      </w:pPr>
      <w:r/>
      <w:r>
        <w:rPr>
          <w:b/>
        </w:rPr>
        <w:t>Mean Arterial Pressure ($\text{MAP} = \text{DBP} + \frac{\text{SBP} - \text{DBP}}{3}$):</w:t>
      </w:r>
      <w:r/>
    </w:p>
    <w:p>
      <w:pPr>
        <w:spacing w:after="80"/>
      </w:pPr>
      <w:r>
        <w:t xml:space="preserve">  * *Clinical Rationale:* Reflects systemic vascular resistance. Microvascular endothelial dysfunction is an immediate downstream consequence of hyperinsulinemia.</w:t>
      </w:r>
    </w:p>
    <w:p>
      <w:pPr>
        <w:pStyle w:val="ListBullet"/>
        <w:spacing w:after="40"/>
      </w:pPr>
      <w:r/>
      <w:r>
        <w:rPr>
          <w:b/>
        </w:rPr>
        <w:t>Pulse Pressure ($\text{PP} = \text{SBP} - \text{DBP}$):</w:t>
      </w:r>
      <w:r/>
    </w:p>
    <w:p>
      <w:pPr>
        <w:spacing w:after="80"/>
      </w:pPr>
      <w:r>
        <w:t xml:space="preserve">  * *Clinical Rationale:* Marker of large central arterial stiffness and vascular aging.</w:t>
      </w:r>
    </w:p>
    <w:p>
      <w:pPr>
        <w:spacing w:after="80"/>
      </w:pPr>
      <w:r>
        <w:t>#### B. Dynamic Wearable Sensor Telemetry (Zero Blood)</w:t>
      </w:r>
    </w:p>
    <w:p>
      <w:pPr>
        <w:pStyle w:val="ListBullet"/>
        <w:spacing w:after="40"/>
      </w:pPr>
      <w:r/>
      <w:r>
        <w:rPr>
          <w:b/>
        </w:rPr>
        <w:t>Optical PPG Free-Living &amp; Resting Heart Rate (RHR):</w:t>
      </w:r>
      <w:r/>
    </w:p>
    <w:p>
      <w:pPr>
        <w:spacing w:after="80"/>
      </w:pPr>
      <w:r>
        <w:t xml:space="preserve">  * *Metrics Extracted:* 24-hour mean, median, standard deviation, and nocturnal resting nadir.</w:t>
      </w:r>
    </w:p>
    <w:p>
      <w:pPr>
        <w:spacing w:after="80"/>
      </w:pPr>
      <w:r>
        <w:t xml:space="preserve">  * *Clinical Rationale:* Autonomic sympathetic overactivation occurs early in insulin-resistant states; elevated nocturnal RHR indicates impaired vagal reactivation.</w:t>
      </w:r>
    </w:p>
    <w:p>
      <w:pPr>
        <w:pStyle w:val="ListBullet"/>
        <w:spacing w:after="40"/>
      </w:pPr>
      <w:r/>
      <w:r>
        <w:rPr>
          <w:b/>
        </w:rPr>
        <w:t>Heart Rate Variability (HRV - RMSSD, SDNN, HF Power):</w:t>
      </w:r>
      <w:r/>
    </w:p>
    <w:p>
      <w:pPr>
        <w:spacing w:after="80"/>
      </w:pPr>
      <w:r>
        <w:t xml:space="preserve">  * *Metrics Extracted:* Free-living mean HRV, nocturnal sleep HRV, autonomic recovery index.</w:t>
      </w:r>
    </w:p>
    <w:p>
      <w:pPr>
        <w:spacing w:after="80"/>
      </w:pPr>
      <w:r>
        <w:t xml:space="preserve">  * *Clinical Rationale:* Parasympathetic withdrawal leads to diminished beat-to-beat variability, a verified hallmark of subclinical diabetic autonomic neuropathy.</w:t>
      </w:r>
    </w:p>
    <w:p>
      <w:pPr>
        <w:pStyle w:val="ListBullet"/>
        <w:spacing w:after="40"/>
      </w:pPr>
      <w:r/>
      <w:r>
        <w:rPr>
          <w:b/>
        </w:rPr>
        <w:t>Autonomic Stress Ratio ($\text{ASR} = \frac{\text{Mean RHR}}{\text{Mean HRV} + \epsilon}$):</w:t>
      </w:r>
      <w:r/>
    </w:p>
    <w:p>
      <w:pPr>
        <w:spacing w:after="80"/>
      </w:pPr>
      <w:r>
        <w:t xml:space="preserve">  * *Clinical Rationale:* Engineered cross-domain ratio amplifying sympathetic dominance vs. parasympathetic tone.</w:t>
      </w:r>
    </w:p>
    <w:p>
      <w:pPr>
        <w:pStyle w:val="ListBullet"/>
        <w:spacing w:after="40"/>
      </w:pPr>
      <w:r/>
      <w:r>
        <w:rPr>
          <w:b/>
        </w:rPr>
        <w:t>Accelerometry Activity &amp; Sedentary Fragmentation:</w:t>
      </w:r>
      <w:r/>
    </w:p>
    <w:p>
      <w:pPr>
        <w:spacing w:after="80"/>
      </w:pPr>
      <w:r>
        <w:t xml:space="preserve">  * *Metrics Extracted:* Daily step counts, sedentary bout frequency ($&gt; 60\text{ min}$ continuous inactivity), moderate-to-vigorous physical activity (MVPA) minutes.</w:t>
      </w:r>
    </w:p>
    <w:p>
      <w:pPr>
        <w:spacing w:after="80"/>
      </w:pPr>
      <w:r>
        <w:t xml:space="preserve">  * *Clinical Rationale:* Prolonged uninterrupted sitting suppresses skeletal muscle GLUT4 glucose transporter translocation, directly blunting peripheral insulin action.</w:t>
      </w:r>
    </w:p>
    <w:p>
      <w:pPr>
        <w:pStyle w:val="ListBullet"/>
        <w:spacing w:after="40"/>
      </w:pPr>
      <w:r/>
      <w:r>
        <w:rPr>
          <w:b/>
        </w:rPr>
        <w:t>Sleep Architecture &amp; Nocturnal Recovery:</w:t>
      </w:r>
      <w:r/>
    </w:p>
    <w:p>
      <w:pPr>
        <w:spacing w:after="80"/>
      </w:pPr>
      <w:r>
        <w:t xml:space="preserve">  * *Metrics Extracted:* Sleep duration, sleep efficiency %, Wake After Sleep Onset (WASO), REM/Deep sleep ratio, nocturnal dipping profile ($&gt; 10\%$ healthy drop in heart rate).</w:t>
      </w:r>
    </w:p>
    <w:p>
      <w:pPr>
        <w:spacing w:after="80"/>
      </w:pPr>
      <w:r>
        <w:t xml:space="preserve">  * *Clinical Rationale:* Sleep fragmentation and lack of nocturnal heart rate dipping elevate nocturnal cortisol and growth hormone, precipitating morning hepatic insulin resistance.</w:t>
      </w:r>
    </w:p>
    <w:p>
      <w:pPr>
        <w:spacing w:before="120" w:after="120"/>
      </w:pPr>
    </w:p>
    <w:p>
      <w:pPr>
        <w:pStyle w:val="Heading2"/>
        <w:spacing w:before="200" w:after="80"/>
      </w:pPr>
      <w:r>
        <w:rPr>
          <w:rFonts w:ascii="Calibri" w:hAnsi="Calibri"/>
          <w:b/>
          <w:color w:val="2E75B6"/>
          <w:sz w:val="28"/>
        </w:rPr>
        <w:t>3. HOW IT WORKS &amp; CALCULATES: SYSTEM ARCHITECTURE</w:t>
      </w:r>
    </w:p>
    <w:p>
      <w:pPr>
        <w:spacing w:after="80"/>
      </w:pPr>
      <w:r>
        <w:t xml:space="preserve">The end-to-end processing pipeline operates across three tiers: </w:t>
      </w:r>
      <w:r>
        <w:rPr>
          <w:b/>
        </w:rPr>
        <w:t>On-Device Wearable OS</w:t>
      </w:r>
      <w:r>
        <w:t xml:space="preserve">, </w:t>
      </w:r>
      <w:r>
        <w:rPr>
          <w:b/>
        </w:rPr>
        <w:t>Companion Smartphone App</w:t>
      </w:r>
      <w:r>
        <w:t xml:space="preserve">, and </w:t>
      </w:r>
      <w:r>
        <w:rPr>
          <w:b/>
        </w:rPr>
        <w:t>Secure HIPAA Cloud Analytics</w:t>
      </w:r>
      <w:r>
        <w:t>.</w:t>
      </w:r>
    </w:p>
    <w:p>
      <w:pPr>
        <w:spacing w:before="80" w:after="120"/>
        <w:ind w:left="576"/>
      </w:pPr>
      <w:r>
        <w:rPr>
          <w:rFonts w:ascii="Consolas" w:hAnsi="Consolas"/>
          <w:color w:val="1E1E1E"/>
          <w:sz w:val="18"/>
        </w:rPr>
        <w:t>flowchart TD</w:t>
        <w:br/>
        <w:t xml:space="preserve">    subgraph WearableOS["Smartwatch On-Device OS (Tizen / WatchOS / WearOS)"]</w:t>
        <w:br/>
        <w:t xml:space="preserve">        S1["Optical PPG (25-100Hz)"] --&gt; DSP1["LMS Motion Filtering &amp; Peak Detection"]</w:t>
        <w:br/>
        <w:t xml:space="preserve">        S2["3D Accelerometer (50Hz)"] --&gt; DSP2["Calibrated Actigraphy &amp; Epoching"]</w:t>
        <w:br/>
        <w:t xml:space="preserve">        DSP1 &amp; DSP2 --&gt; BF["5-Minute Ring Buffer &amp; Quality Screener"]</w:t>
        <w:br/>
        <w:t xml:space="preserve">        BF --&gt; TFL["Lightweight Feature Extractor (Edge TFLite)"]</w:t>
        <w:br/>
        <w:t xml:space="preserve">    end</w:t>
        <w:br/>
        <w:br/>
        <w:t xml:space="preserve">    subgraph PhoneApp["Smartphone Companion App (iOS / Android)"]</w:t>
        <w:br/>
        <w:t xml:space="preserve">        TFL --&gt; BLE["Encrypted BLE Sync (Hourly / Nightly)"]</w:t>
        <w:br/>
        <w:t xml:space="preserve">        PRO["User Profile Vitals (Age, Sex, WHtR, BP)"] --&gt; FE["Multimodal Feature Vector (d=33)"]</w:t>
        <w:br/>
        <w:t xml:space="preserve">        BLE --&gt; FE</w:t>
        <w:br/>
        <w:t xml:space="preserve">        EHR["Optional Tier 2 Lab Sync (EHR / Apple Health)"] -.-&gt; FE</w:t>
        <w:br/>
        <w:t xml:space="preserve">        FE --&gt; ONNX["On-Device Dual-Task Inference Engine (ONNX Runtime)"]</w:t>
        <w:br/>
        <w:t xml:space="preserve">        ONNX --&gt; OUT1["Continuous HOMA-IR Estimator"]</w:t>
        <w:br/>
        <w:t xml:space="preserve">        ONNX --&gt; OUT2["IR Risk Classifier &amp; Confidence"]</w:t>
        <w:br/>
        <w:t xml:space="preserve">        ONNX --&gt; SHAP["Local TreeSHAP Attribution Engine"]</w:t>
        <w:br/>
        <w:t xml:space="preserve">    end</w:t>
        <w:br/>
        <w:br/>
        <w:t xml:space="preserve">    subgraph CloudCloud["Secure HIPAA Cloud (Optional / Longitudinal)"]</w:t>
        <w:br/>
        <w:t xml:space="preserve">        FE -.-&gt; S3["Encrypted Cloud Sync"]</w:t>
        <w:br/>
        <w:t xml:space="preserve">        S3 --&gt; PYT["Deep Multimodal Latent Autoencoder (z in R^32)"]</w:t>
        <w:br/>
        <w:t xml:space="preserve">        PYT --&gt; LONG["Longitudinal Trajectory &amp; Phenotype Clustering"]</w:t>
        <w:br/>
        <w:t xml:space="preserve">        LONG --&gt; CLIN["Physician Report Generator (FHIR / HL7 PDF)"]</w:t>
        <w:br/>
        <w:t xml:space="preserve">    end</w:t>
        <w:br/>
        <w:br/>
        <w:t xml:space="preserve">    OUT1 &amp; OUT2 &amp; SHAP --&gt; UI["Patient Consumer Dashboard &amp; Actionable Nudges"]</w:t>
      </w:r>
    </w:p>
    <w:p>
      <w:pPr>
        <w:pStyle w:val="Heading3"/>
        <w:spacing w:before="160" w:after="40"/>
      </w:pPr>
      <w:r>
        <w:rPr>
          <w:rFonts w:ascii="Calibri" w:hAnsi="Calibri"/>
          <w:b/>
          <w:color w:val="44546A"/>
          <w:sz w:val="24"/>
        </w:rPr>
        <w:t>3.1 Stage-by-Stage Mathematical Calculations</w:t>
      </w:r>
    </w:p>
    <w:p>
      <w:pPr>
        <w:spacing w:after="80"/>
      </w:pPr>
      <w:r>
        <w:t>#### Stage 1: Digital Signal Processing &amp; Feature Extraction (On-Device)</w:t>
      </w:r>
    </w:p>
    <w:p>
      <w:pPr>
        <w:spacing w:after="80"/>
      </w:pPr>
      <w:r>
        <w:t xml:space="preserve">1. </w:t>
      </w:r>
      <w:r>
        <w:rPr>
          <w:b/>
        </w:rPr>
        <w:t>Motion Artifact Rejection:</w:t>
      </w:r>
      <w:r/>
    </w:p>
    <w:p>
      <w:pPr>
        <w:spacing w:after="80"/>
      </w:pPr>
      <w:r>
        <w:t xml:space="preserve">   * Raw PPG signals are filtered using an Acceleration-Referenced Least-Mean-Squares (LMS) adaptive filter to subtract movement noise:</w:t>
      </w:r>
    </w:p>
    <w:p>
      <w:pPr>
        <w:spacing w:after="80"/>
      </w:pPr>
      <w:r>
        <w:t xml:space="preserve">     $$\hat{s}_{\text{clean}}(t) = s_{\text{raw}}(t) - \sum_{k=0}^{K} w_k(t) \cdot a_{\text{accel}}(t - k)$$</w:t>
      </w:r>
    </w:p>
    <w:p>
      <w:pPr>
        <w:spacing w:after="80"/>
      </w:pPr>
      <w:r>
        <w:t xml:space="preserve">2. </w:t>
      </w:r>
      <w:r>
        <w:rPr>
          <w:b/>
        </w:rPr>
        <w:t>Inter-Beat-Interval (IBI) Quality Verification:</w:t>
      </w:r>
      <w:r/>
    </w:p>
    <w:tbl>
      <w:tblPr>
        <w:tblW w:type="auto" w:w="0"/>
        <w:jc w:val="center"/>
        <w:tblLook w:firstColumn="1" w:firstRow="1" w:lastColumn="0" w:lastRow="0" w:noHBand="0" w:noVBand="1" w:val="04A0"/>
      </w:tblPr>
      <w:tblGrid>
        <w:gridCol w:w="3312"/>
        <w:gridCol w:w="3312"/>
        <w:gridCol w:w="3312"/>
      </w:tblGrid>
      <w:tr>
        <w:tc>
          <w:tcPr>
            <w:tcW w:type="dxa" w:w="3312"/>
            <w:shd w:fill="1F4E79"/>
          </w:tcPr>
          <w:p>
            <w:pPr>
              <w:spacing w:before="60" w:after="60"/>
            </w:pPr>
            <w:r>
              <w:rPr>
                <w:rFonts w:ascii="Calibri" w:hAnsi="Calibri"/>
                <w:b/>
                <w:color w:val="FFFFFF"/>
                <w:sz w:val="19"/>
              </w:rPr>
              <w:t>* Detected systolic peaks are validated using the derivative slope threshold and template matching. Ectopic beats ($</w:t>
            </w:r>
          </w:p>
        </w:tc>
        <w:tc>
          <w:tcPr>
            <w:tcW w:type="dxa" w:w="3312"/>
            <w:shd w:fill="1F4E79"/>
          </w:tcPr>
          <w:p>
            <w:pPr>
              <w:spacing w:before="60" w:after="60"/>
            </w:pPr>
            <w:r>
              <w:rPr>
                <w:rFonts w:ascii="Calibri" w:hAnsi="Calibri"/>
                <w:b/>
                <w:color w:val="FFFFFF"/>
                <w:sz w:val="19"/>
              </w:rPr>
              <w:t>\text{IBI}_t - \text{IBI}_{t-1}</w:t>
            </w:r>
          </w:p>
        </w:tc>
        <w:tc>
          <w:tcPr>
            <w:tcW w:type="dxa" w:w="3312"/>
            <w:shd w:fill="1F4E79"/>
          </w:tcPr>
          <w:p>
            <w:pPr>
              <w:spacing w:before="60" w:after="60"/>
            </w:pPr>
            <w:r>
              <w:rPr>
                <w:rFonts w:ascii="Calibri" w:hAnsi="Calibri"/>
                <w:b/>
                <w:color w:val="FFFFFF"/>
                <w:sz w:val="19"/>
              </w:rPr>
              <w:t>&gt; 0.20 \cdot \text{IBI}_{t-1}$) are filtered out.</w:t>
            </w:r>
          </w:p>
        </w:tc>
      </w:tr>
    </w:tbl>
    <w:p>
      <w:pPr>
        <w:spacing w:after="80"/>
      </w:pPr>
    </w:p>
    <w:p>
      <w:pPr>
        <w:spacing w:after="80"/>
      </w:pPr>
      <w:r>
        <w:t xml:space="preserve">3. </w:t>
      </w:r>
      <w:r>
        <w:rPr>
          <w:b/>
        </w:rPr>
        <w:t>Heart Rate Variability (HRV - RMSSD):</w:t>
      </w:r>
      <w:r/>
    </w:p>
    <w:p>
      <w:pPr>
        <w:spacing w:after="80"/>
      </w:pPr>
      <w:r>
        <w:t xml:space="preserve">   $$\text{RMSSD} = \sqrt{\frac{1}{N-1} \sum_{i=1}^{N-1} (\text{IBI}_{i+1} - \text{IBI}_i)^2}$$</w:t>
      </w:r>
    </w:p>
    <w:p>
      <w:pPr>
        <w:spacing w:after="80"/>
      </w:pPr>
      <w:r>
        <w:t xml:space="preserve">4. </w:t>
      </w:r>
      <w:r>
        <w:rPr>
          <w:b/>
        </w:rPr>
        <w:t>Circadian Rhythm Stability (Nonparametric Metrics):</w:t>
      </w:r>
      <w:r/>
    </w:p>
    <w:p>
      <w:pPr>
        <w:spacing w:after="80"/>
      </w:pPr>
      <w:r>
        <w:t xml:space="preserve">   * Computes the Interdaily Stability (IS) and Intradaily Variability (IV) across 24-hour cycles to quantify circadian disruption:</w:t>
      </w:r>
    </w:p>
    <w:p>
      <w:pPr>
        <w:spacing w:after="80"/>
      </w:pPr>
      <w:r>
        <w:t xml:space="preserve">     $$\text{IS} = \frac{N \sum_{h=1}^{24} (\bar{X}_h - \bar{X})^2}{24 \sum_{i=1}^N (X_i - \bar{X})^2}$$</w:t>
      </w:r>
    </w:p>
    <w:p>
      <w:pPr>
        <w:spacing w:after="80"/>
      </w:pPr>
      <w:r>
        <w:t>#### Stage 2: Multimodal Feature Assembly &amp; Domain Engineering</w:t>
      </w:r>
    </w:p>
    <w:p>
      <w:pPr>
        <w:spacing w:after="80"/>
      </w:pPr>
      <w:r>
        <w:t>Features are aligned into a structured tabular vector $\mathbf{x} \in \mathbb{R}^{33}$:</w:t>
      </w:r>
    </w:p>
    <w:p>
      <w:pPr>
        <w:pStyle w:val="ListBullet"/>
        <w:spacing w:after="40"/>
      </w:pPr>
      <w:r/>
      <w:r>
        <w:rPr>
          <w:b/>
        </w:rPr>
        <w:t>Cardiovascular Sub-vector:</w:t>
      </w:r>
      <w:r>
        <w:t xml:space="preserve"> $\mathbf{x}_{\text{cardio}} = [\text{RHR}_{\text{mean}}, \text{RHR}_{\text{night}}, \text{HRV}_{\text{mean}}, \text{HRV}_{\text{sleep}}, \text{ASR}]$</w:t>
      </w:r>
    </w:p>
    <w:p>
      <w:pPr>
        <w:pStyle w:val="ListBullet"/>
        <w:spacing w:after="40"/>
      </w:pPr>
      <w:r/>
      <w:r>
        <w:rPr>
          <w:b/>
        </w:rPr>
        <w:t>Biomechanical Sub-vector:</w:t>
      </w:r>
      <w:r>
        <w:t xml:space="preserve"> $\mathbf{x}_{\text{bio}} = [\text{Steps}_{\text{daily}}, \text{Sedentary}_{\text{hrs}}, \text{MVPA}_{\text{min}}, \text{Sleep}_{\text{duration}}, \text{Sleep}_{\text{eff}}, \text{WASO}]$</w:t>
      </w:r>
    </w:p>
    <w:p>
      <w:pPr>
        <w:pStyle w:val="ListBullet"/>
        <w:spacing w:after="40"/>
      </w:pPr>
      <w:r/>
      <w:r>
        <w:rPr>
          <w:b/>
        </w:rPr>
        <w:t>Anthropometric Sub-vector:</w:t>
      </w:r>
      <w:r>
        <w:t xml:space="preserve"> $\mathbf{x}_{\text{anthro}} = [\text{Age}, \text{Sex}, \text{BMI}, \text{WHtR}, \text{MAP}, \text{PP}]$</w:t>
      </w:r>
    </w:p>
    <w:p>
      <w:pPr>
        <w:spacing w:after="80"/>
      </w:pPr>
      <w:r>
        <w:t>#### Stage 3: Deep Multimodal Latent Space Encoder ($z \in \mathbb{R}^{32}$)</w:t>
      </w:r>
    </w:p>
    <w:p>
      <w:pPr>
        <w:spacing w:after="80"/>
      </w:pPr>
      <w:r>
        <w:t>When processed through our deep learning pipeline, domain vectors pass through dedicated non-linear projection branches before entering a shared low-dimensional bottleneck:</w:t>
      </w:r>
    </w:p>
    <w:p>
      <w:pPr>
        <w:spacing w:after="80"/>
      </w:pPr>
      <w:r>
        <w:t>$$\mathbf{h}_k = \text{GeLU}(\mathbf{W}_k \mathbf{x}_k + \mathbf{b}_k), \quad k \in \{\text{cardio}, \text{bio}, \text{anthro}\}$$</w:t>
      </w:r>
    </w:p>
    <w:tbl>
      <w:tblPr>
        <w:tblW w:type="auto" w:w="0"/>
        <w:jc w:val="center"/>
        <w:tblLook w:firstColumn="1" w:firstRow="1" w:lastColumn="0" w:lastRow="0" w:noHBand="0" w:noVBand="1" w:val="04A0"/>
      </w:tblPr>
      <w:tblGrid>
        <w:gridCol w:w="3312"/>
        <w:gridCol w:w="3312"/>
        <w:gridCol w:w="3312"/>
      </w:tblGrid>
      <w:tr>
        <w:tc>
          <w:tcPr>
            <w:tcW w:type="dxa" w:w="3312"/>
            <w:shd w:fill="1F4E79"/>
          </w:tcPr>
          <w:p>
            <w:pPr>
              <w:spacing w:before="60" w:after="60"/>
            </w:pPr>
            <w:r>
              <w:rPr>
                <w:rFonts w:ascii="Calibri" w:hAnsi="Calibri"/>
                <w:b/>
                <w:color w:val="FFFFFF"/>
                <w:sz w:val="19"/>
              </w:rPr>
              <w:t>$$\mathbf{z} = \text{LayerNorm}\left(\mathbf{W}_{\text{fusion}} [\mathbf{h}_{\text{cardio}} \,\</w:t>
            </w:r>
          </w:p>
        </w:tc>
        <w:tc>
          <w:tcPr>
            <w:tcW w:type="dxa" w:w="3312"/>
            <w:shd w:fill="1F4E79"/>
          </w:tcPr>
          <w:p>
            <w:pPr>
              <w:spacing w:before="60" w:after="60"/>
            </w:pPr>
            <w:r>
              <w:rPr>
                <w:rFonts w:ascii="Calibri" w:hAnsi="Calibri"/>
                <w:b/>
                <w:color w:val="FFFFFF"/>
                <w:sz w:val="19"/>
              </w:rPr>
              <w:t>\, \mathbf{h}_{\text{bio}} \,\</w:t>
            </w:r>
          </w:p>
        </w:tc>
        <w:tc>
          <w:tcPr>
            <w:tcW w:type="dxa" w:w="3312"/>
            <w:shd w:fill="1F4E79"/>
          </w:tcPr>
          <w:p>
            <w:pPr>
              <w:spacing w:before="60" w:after="60"/>
            </w:pPr>
            <w:r>
              <w:rPr>
                <w:rFonts w:ascii="Calibri" w:hAnsi="Calibri"/>
                <w:b/>
                <w:color w:val="FFFFFF"/>
                <w:sz w:val="19"/>
              </w:rPr>
              <w:t>\, \mathbf{h}_{\text{anthro}}] + \mathbf{b}_{\text{fusion}}\right) \in \mathbb{R}^{32}$$</w:t>
            </w:r>
          </w:p>
        </w:tc>
      </w:tr>
    </w:tbl>
    <w:p>
      <w:pPr>
        <w:spacing w:after="80"/>
      </w:pPr>
    </w:p>
    <w:p>
      <w:pPr>
        <w:spacing w:after="80"/>
      </w:pPr>
      <w:r>
        <w:t>This $32\text{-dimensional}$ latent representation decouples measurement noise while preserving the continuous metabolic manifold.</w:t>
      </w:r>
    </w:p>
    <w:p>
      <w:pPr>
        <w:spacing w:after="80"/>
      </w:pPr>
      <w:r>
        <w:t>#### Stage 4: Dual-Task Inference Engine</w:t>
      </w:r>
    </w:p>
    <w:p>
      <w:pPr>
        <w:spacing w:after="80"/>
      </w:pPr>
      <w:r>
        <w:t>From the latent representation $\mathbf{z}$ (or the engineered tree ensemble input $\mathbf{x}$), two parallel heads execute:</w:t>
      </w:r>
    </w:p>
    <w:p>
      <w:pPr>
        <w:spacing w:after="80"/>
      </w:pPr>
      <w:r>
        <w:t xml:space="preserve">1. </w:t>
      </w:r>
      <w:r>
        <w:rPr>
          <w:b/>
        </w:rPr>
        <w:t>Continuous Regression Head:</w:t>
      </w:r>
      <w:r/>
    </w:p>
    <w:p>
      <w:pPr>
        <w:spacing w:after="80"/>
      </w:pPr>
      <w:r>
        <w:t xml:space="preserve">   * Predicts on the stabilized logarithmic scale:</w:t>
      </w:r>
    </w:p>
    <w:p>
      <w:pPr>
        <w:spacing w:after="80"/>
      </w:pPr>
      <w:r>
        <w:t xml:space="preserve">     $$\hat{y}_{\log} = f_{\text{regressor}}(\mathbf{z}) = \ln(\widehat{\text{HOMA-IR}})$$</w:t>
      </w:r>
    </w:p>
    <w:p>
      <w:pPr>
        <w:spacing w:after="80"/>
      </w:pPr>
      <w:r>
        <w:t xml:space="preserve">   * Inverted to standard clinical units for physician review:</w:t>
      </w:r>
    </w:p>
    <w:p>
      <w:pPr>
        <w:spacing w:after="80"/>
      </w:pPr>
      <w:r>
        <w:t xml:space="preserve">     $$\widehat{\text{HOMA-IR}} = \exp(\hat{y}_{\log})$$</w:t>
      </w:r>
    </w:p>
    <w:p>
      <w:pPr>
        <w:spacing w:after="80"/>
      </w:pPr>
      <w:r>
        <w:t xml:space="preserve">2. </w:t>
      </w:r>
      <w:r>
        <w:rPr>
          <w:b/>
        </w:rPr>
        <w:t>Categorical Risk Classification Head:</w:t>
      </w:r>
      <w:r/>
    </w:p>
    <w:p>
      <w:pPr>
        <w:spacing w:after="80"/>
      </w:pPr>
      <w:r>
        <w:t xml:space="preserve">   * Computes the calibrated posterior probability of clinically significant insulin resistance ($\text{HOMA-IR} \ge 2.9$):</w:t>
      </w:r>
    </w:p>
    <w:p>
      <w:pPr>
        <w:spacing w:after="80"/>
      </w:pPr>
      <w:r>
        <w:t xml:space="preserve">     $$\hat{p}_{\text{IR}} = \sigma\left(f_{\text{classifier}}(\mathbf{z})\right) = \frac{1}{1 + e^{-f_{\text{classifier}}(\mathbf{z})}}$$</w:t>
      </w:r>
    </w:p>
    <w:p>
      <w:pPr>
        <w:spacing w:after="80"/>
      </w:pPr>
      <w:r>
        <w:t xml:space="preserve">   * Calibrated using post-hoc Isotonic Regression to ensure that a predicted probability of $70\%$ translates to exactly 70 out of 100 individuals having verified insulin resistance.</w:t>
      </w:r>
    </w:p>
    <w:p>
      <w:pPr>
        <w:spacing w:before="120" w:after="120"/>
      </w:pPr>
    </w:p>
    <w:p>
      <w:pPr>
        <w:pStyle w:val="Heading2"/>
        <w:spacing w:before="200" w:after="80"/>
      </w:pPr>
      <w:r>
        <w:rPr>
          <w:rFonts w:ascii="Calibri" w:hAnsi="Calibri"/>
          <w:b/>
          <w:color w:val="2E75B6"/>
          <w:sz w:val="28"/>
        </w:rPr>
        <w:t>4. WHAT RESULTS DOES IT OUTPUT? (USER &amp; CLINICAL DELIVERABLES)</w:t>
      </w:r>
    </w:p>
    <w:p>
      <w:pPr>
        <w:spacing w:before="80" w:after="120"/>
        <w:ind w:left="576"/>
      </w:pPr>
      <w:r>
        <w:rPr>
          <w:rFonts w:ascii="Consolas" w:hAnsi="Consolas"/>
          <w:color w:val="1E1E1E"/>
          <w:sz w:val="18"/>
        </w:rPr>
        <w:t>┌──────────────────────────────────────────────────────────────────────────────────────────────────┐</w:t>
        <w:br/>
        <w:t>│                                 METAWATCH AI PRODUCT OUTPUTS                                     │</w:t>
        <w:br/>
        <w:t>├────────────────────────────────┬─────────────────────────────────────────────────────────────────┤</w:t>
        <w:br/>
        <w:t>│ OUTPUT COMPONENT               │ CLINICAL / CONSUMER SPECIFICATION                               │</w:t>
        <w:br/>
        <w:t>├────────────────────────────────┼─────────────────────────────────────────────────────────────────┤</w:t>
        <w:br/>
        <w:t>│ 1. Continuous HOMA-IR Estimate │ • Estimated HOMA-IR value (e.g., 2.35)                          │</w:t>
        <w:br/>
        <w:t>│                                │ • 95% Confidence Interval (e.g., [2.05, 2.65])                   │</w:t>
        <w:br/>
        <w:t>│                                │ • Updated weekly using rolling 7-day wearable telemetry         │</w:t>
        <w:br/>
        <w:t>├────────────────────────────────┼─────────────────────────────────────────────────────────────────┤</w:t>
        <w:br/>
        <w:t>│ 2. Tri-Color Metabolic Risk    │ • GREEN (Low Risk): HOMA-IR &lt; 2.0 (Normal Insulin Sensitivity)  │</w:t>
        <w:br/>
        <w:t>│    Stratification              │ • YELLOW (Borderline): 2.0 &lt;= HOMA-IR &lt; 2.9 (Early Warning Zone)│</w:t>
        <w:br/>
        <w:t>│                                │ • RED (High Risk): HOMA-IR &gt;= 2.9 (Clinically Significant IR)   │</w:t>
        <w:br/>
        <w:t>├────────────────────────────────┼─────────────────────────────────────────────────────────────────┤</w:t>
        <w:br/>
        <w:t>│ 3. Dynamic Metabolic Health    │ • 0 to 100 Composite Score reflecting daily metabolic fitness   │</w:t>
        <w:br/>
        <w:t>│    Index (MHI Score)           │ • Positively driven by: Sleep dipping, active steps, high HRV   │</w:t>
        <w:br/>
        <w:t>│                                │ • Negatively driven by: High sedentary time, autonomic stress   │</w:t>
        <w:br/>
        <w:t>├────────────────────────────────┼─────────────────────────────────────────────────────────────────┤</w:t>
        <w:br/>
        <w:t>│ 4. Explainable AI (SHAP)       │ • Personalized, non-robotic root cause attribution              │</w:t>
        <w:br/>
        <w:t>│    Biomarker Nudges            │ • "Your risk rose 8% this week due to 5.2 hrs uninterrupted     │</w:t>
        <w:br/>
        <w:t>│                                │   sitting. A 15-min post-lunch walk can reduce your risk by 14%"│</w:t>
        <w:br/>
        <w:t>├────────────────────────────────┼─────────────────────────────────────────────────────────────────┤</w:t>
        <w:br/>
        <w:t>│ 5. Physician Clinical Export   │ • Standardized 2-page PDF for primary care consultation         │</w:t>
        <w:br/>
        <w:t>│    Report                      │ • Longitudinal HOMA-IR curve, circadian rhythm plots, autonomic │</w:t>
        <w:br/>
        <w:t>│                                │   balance metrics, and suggested Tier 2 lab orders              │</w:t>
        <w:br/>
        <w:t>└────────────────────────────────┴─────────────────────────────────────────────────────────────────┘</w:t>
      </w:r>
    </w:p>
    <w:p>
      <w:pPr>
        <w:spacing w:before="120" w:after="120"/>
      </w:pPr>
    </w:p>
    <w:p>
      <w:pPr>
        <w:pStyle w:val="Heading2"/>
        <w:spacing w:before="200" w:after="80"/>
      </w:pPr>
      <w:r>
        <w:rPr>
          <w:rFonts w:ascii="Calibri" w:hAnsi="Calibri"/>
          <w:b/>
          <w:color w:val="2E75B6"/>
          <w:sz w:val="28"/>
        </w:rPr>
        <w:t>5. COMPREHENSIVE EXPERIMENTAL RESULTS COMPENDIUM</w:t>
      </w:r>
    </w:p>
    <w:p>
      <w:pPr>
        <w:spacing w:after="80"/>
      </w:pPr>
      <w:r>
        <w:t xml:space="preserve">The following tables synthesize </w:t>
      </w:r>
      <w:r>
        <w:rPr>
          <w:b/>
        </w:rPr>
        <w:t>all benchmark results</w:t>
      </w:r>
      <w:r>
        <w:t xml:space="preserve"> obtained across every development phase, comparing CDC NHANES ($N = 3,296$) and Google Health *Nature* 2026 ($N = 1,165$).</w:t>
      </w:r>
    </w:p>
    <w:p>
      <w:pPr>
        <w:pStyle w:val="Heading3"/>
        <w:spacing w:before="160" w:after="40"/>
      </w:pPr>
      <w:r>
        <w:rPr>
          <w:rFonts w:ascii="Calibri" w:hAnsi="Calibri"/>
          <w:b/>
          <w:color w:val="44546A"/>
          <w:sz w:val="24"/>
        </w:rPr>
        <w:t>5.1 Continuous HOMA-IR Regression Benchmark (All Phases)</w:t>
      </w:r>
    </w:p>
    <w:p>
      <w:pPr>
        <w:spacing w:before="80" w:after="120"/>
        <w:ind w:left="576"/>
      </w:pPr>
      <w:r>
        <w:rPr>
          <w:rFonts w:ascii="Consolas" w:hAnsi="Consolas"/>
          <w:color w:val="1E1E1E"/>
          <w:sz w:val="18"/>
        </w:rPr>
        <w:t>┌───────────────────────────────────────────────────────────────────────────────────────────────────────┐</w:t>
        <w:br/>
        <w:t>│                           CONTINUOUS HOMA-IR REGRESSION PERFORMANCE SUMMARY                           │</w:t>
        <w:br/>
        <w:t>├──────────────────────────────────────────┬──────────────┬──────────┬──────────┬──────────┬────────────┤</w:t>
        <w:br/>
        <w:t>│ DATASET &amp; MODALITY                       │ TARGET SCALE │ R² SCORE │ PEARSON r│ SPEARMAN │ MAE        │</w:t>
        <w:br/>
        <w:t>├──────────────────────────────────────────┼──────────────┼──────────┼──────────┼──────────┼────────────┤</w:t>
        <w:br/>
        <w:t>│ NHANES: Baseline LightGBM (27 feats)     │ Raw HOMA-IR  │  0.2519  │  0.5022  │  0.5891  │ 1.6482     │</w:t>
        <w:br/>
        <w:t>│ NHANES: LightGBM + Interactions (33 feats│ Raw HOMA-IR  │  0.2528  │  0.5034  │  0.5902  │ 1.6465     │</w:t>
        <w:br/>
        <w:t>│ NHANES: Stacked Ensemble (LGB+XGB+RF+Rid)│ Raw HOMA-IR  │  0.2677  │  0.5171  │  0.5988  │ 1.6211     │</w:t>
        <w:br/>
        <w:t>│ NHANES: Baseline LightGBM on ln(HOMA-IR) │ ln(HOMA-IR)  │  0.3913  │  0.6262  │  0.5891  │ 0.4695     │</w:t>
        <w:br/>
        <w:t>│ NHANES: LightGBM + Interactions on ln()  │ ln(HOMA-IR)  │  0.3923  │  0.6270  │  0.5902  │ 0.4696     │</w:t>
        <w:br/>
        <w:t>│ NHANES: Stacked Ensemble on ln(HOMA-IR)  │ ln(HOMA-IR)  │  0.4044  │  0.6364  │  0.5988  │ 0.4643     │</w:t>
        <w:br/>
        <w:t>├──────────────────────────────────────────┼──────────────┼──────────┼──────────┼──────────┼────────────┤</w:t>
        <w:br/>
        <w:t>│ GOOGLE HEALTH: Wearables Alone           │ Raw HOMA-IR  │  0.0873  │  0.3707  │  0.4285  │ 1.2472     │</w:t>
        <w:br/>
        <w:t>│ GOOGLE HEALTH: Wearables Alone           │ ln(HOMA-IR)  │  0.1383  │  0.3821  │  0.4285  │ 0.5331     │</w:t>
        <w:br/>
        <w:t>│ GOOGLE HEALTH: Wearables + Anthro (Tier1)│ Raw HOMA-IR  │  0.2198  │  0.5062  │  0.5845  │ 1.1137     │</w:t>
        <w:br/>
        <w:t>│ GOOGLE HEALTH: Wearables + Anthro (Tier1)│ ln(HOMA-IR)  │  0.3335  │  0.5790  │  0.5845  │ 0.4582     │</w:t>
        <w:br/>
        <w:t>│ GOOGLE HEALTH: Routine Blood Labs Alone  │ Raw HOMA-IR  │  0.4112  │  0.6590  │  0.7180  │ 0.9606     │</w:t>
        <w:br/>
        <w:t>│ GOOGLE HEALTH: Routine Blood Labs Alone  │ ln(HOMA-IR)  │  0.5193  │  0.7206  │  0.7180  │ 0.3918     │</w:t>
        <w:br/>
        <w:t>│ GOOGLE HEALTH: Full Multimodal Fusion    │ Raw HOMA-IR  │  0.4975  │  0.7236  │  0.7707  │ 0.8811     │</w:t>
        <w:br/>
        <w:t>│ GOOGLE HEALTH: Full Multimodal Fusion    │ ln(HOMA-IR)  │  0.5882  │  0.7670  │  0.7707  │ 0.3595     │</w:t>
        <w:br/>
        <w:t>├──────────────────────────────────────────┼──────────────┼──────────┼──────────┼──────────┼────────────┤</w:t>
        <w:br/>
        <w:t>│ GOOGLE HEALTH: PyTorch Latent Encoder z32│ Dual-Task ln │  0.4248  │  0.6708  │  0.7241  │ 0.4190     │</w:t>
        <w:br/>
        <w:t>└──────────────────────────────────────────┴──────────────┴──────────┴──────────┴──────────┴────────────┘</w:t>
      </w:r>
    </w:p>
    <w:p>
      <w:pPr>
        <w:pStyle w:val="Heading3"/>
        <w:spacing w:before="160" w:after="40"/>
      </w:pPr>
      <w:r>
        <w:rPr>
          <w:rFonts w:ascii="Calibri" w:hAnsi="Calibri"/>
          <w:b/>
          <w:color w:val="44546A"/>
          <w:sz w:val="24"/>
        </w:rPr>
        <w:t>5.2 Insulin Resistance Classification Benchmark (All Phases)</w:t>
      </w:r>
    </w:p>
    <w:p>
      <w:pPr>
        <w:spacing w:before="80" w:after="120"/>
        <w:ind w:left="576"/>
      </w:pPr>
      <w:r>
        <w:rPr>
          <w:rFonts w:ascii="Consolas" w:hAnsi="Consolas"/>
          <w:color w:val="1E1E1E"/>
          <w:sz w:val="18"/>
        </w:rPr>
        <w:t>┌───────────────────────────────────────────────────────────────────────────────────────────────────────┐</w:t>
        <w:br/>
        <w:t>│                        INSULIN RESISTANCE CLASSIFICATION PERFORMANCE SUMMARY                          │</w:t>
        <w:br/>
        <w:t>├──────────────────────────────────────────┬──────────────┬──────────┬──────────┬──────────┬────────────┤</w:t>
        <w:br/>
        <w:t>│ DATASET &amp; EXPERIMENTAL CONFIGURATION     │ CUTOFF THRESH│  AUROC   │  AUPRC   │SENSITIVTY│SPECIFICITY │</w:t>
        <w:br/>
        <w:t>├──────────────────────────────────────────┼──────────────┼──────────┼──────────┼──────────┼────────────┤</w:t>
        <w:br/>
        <w:t>│ NHANES: Baseline LightGBM (Zero Blood)   │ HOMA-IR &gt;=2.5│  0.7766  │  0.6840  │  71.8%   │   72.4%    │</w:t>
        <w:br/>
        <w:t>│ NHANES: Cost-Sensitive Calibrated Model  │ HOMA-IR &gt;=2.5│  0.7812  │  0.6915  │  81.4%   │   68.2%    │</w:t>
        <w:br/>
        <w:t>│ NHANES: High-Risk Phenotype Subgroup     │ BMI &gt;= 30    │  0.7925  │  0.7420  │  85.2%   │   65.0%    │</w:t>
        <w:br/>
        <w:t>├──────────────────────────────────────────┼──────────────┼──────────┼──────────┼──────────┼────────────┤</w:t>
        <w:br/>
        <w:t>│ GOOGLE HEALTH: Wearables Alone           │ HOMA-IR &gt;=2.9│  0.6912  │  0.4428  │  63.5%   │   68.1%    │</w:t>
        <w:br/>
        <w:t>│ GOOGLE HEALTH: Wearables + Anthro (Tier1)│ HOMA-IR &gt;=2.9│  0.7942  │  0.5841  │  70.6%   │   75.1%    │</w:t>
        <w:br/>
        <w:t>│ GOOGLE HEALTH: Routine Blood Labs Alone  │ HOMA-IR &gt;=2.9│  0.8621  │  0.7289  │  72.9%   │   83.4%    │</w:t>
        <w:br/>
        <w:t>│ GOOGLE HEALTH: Full Multimodal Fusion    │ HOMA-IR &gt;=2.9│  0.8783  │  0.7699  │  74.3%   │   85.0%    │</w:t>
        <w:br/>
        <w:t>│ GOOGLE HEALTH: High-Risk Subgroup (Tier1)│ BMI&gt;=30 &amp; Sed│  0.8429  │  0.7510  │  89.0%   │   66.7%    │</w:t>
        <w:br/>
        <w:t>├──────────────────────────────────────────┼──────────────┼──────────┼──────────┼──────────┼────────────┤</w:t>
        <w:br/>
        <w:t>│ GOOGLE HEALTH: PyTorch Latent Encoder z32│ Multi-Task   │  0.8414  │  0.6769  │  73.4%   │   74.8%    │</w:t>
        <w:br/>
        <w:t>└──────────────────────────────────────────┴──────────────┴──────────┴──────────┴──────────┴────────────┘</w:t>
      </w:r>
    </w:p>
    <w:p>
      <w:pPr>
        <w:spacing w:before="120" w:after="120"/>
      </w:pPr>
    </w:p>
    <w:p>
      <w:pPr>
        <w:pStyle w:val="Heading2"/>
        <w:spacing w:before="200" w:after="80"/>
      </w:pPr>
      <w:r>
        <w:rPr>
          <w:rFonts w:ascii="Calibri" w:hAnsi="Calibri"/>
          <w:b/>
          <w:color w:val="2E75B6"/>
          <w:sz w:val="28"/>
        </w:rPr>
        <w:t>6. COMPLETE PRODUCT IMPLEMENTATION BLUEPRINT FOR SMARTWATCHES</w:t>
      </w:r>
    </w:p>
    <w:p>
      <w:pPr>
        <w:pStyle w:val="Heading3"/>
        <w:spacing w:before="160" w:after="40"/>
      </w:pPr>
      <w:r>
        <w:rPr>
          <w:rFonts w:ascii="Calibri" w:hAnsi="Calibri"/>
          <w:b/>
          <w:color w:val="44546A"/>
          <w:sz w:val="24"/>
        </w:rPr>
        <w:t>6.1 Hardware &amp; Sensor Specifications</w:t>
      </w:r>
    </w:p>
    <w:p>
      <w:pPr>
        <w:spacing w:after="80"/>
      </w:pPr>
      <w:r>
        <w:t>To run MetaWatch AI in production, the host smartwatch requires the following minimum hardware specifications:</w:t>
      </w:r>
    </w:p>
    <w:p>
      <w:pPr>
        <w:spacing w:before="80" w:after="120"/>
        <w:ind w:left="576"/>
      </w:pPr>
      <w:r>
        <w:rPr>
          <w:rFonts w:ascii="Consolas" w:hAnsi="Consolas"/>
          <w:color w:val="1E1E1E"/>
          <w:sz w:val="18"/>
        </w:rPr>
        <w:t>┌────────────────────────────────────────────────────────────────────────────────────────┐</w:t>
        <w:br/>
        <w:t>│                              SMARTWATCH HARDWARE SPECIFICATION                         │</w:t>
        <w:br/>
        <w:t>├───────────────────┬──────────────────────────────────┬─────────────────────────────────┤</w:t>
        <w:br/>
        <w:t>│ COMPONENT         │ MINIMUM SPECIFICATION            │ RECOMMENDED / FLAGSHIP          │</w:t>
        <w:br/>
        <w:t>├───────────────────┼──────────────────────────────────┼─────────────────────────────────┤</w:t>
        <w:br/>
        <w:t>│ Optical Sensor    │ Dual-wavelength PPG (Green + IR) │ Multi-channel 4-LED PPG         │</w:t>
        <w:br/>
        <w:t>│                   │ Sampling rate: &gt;= 25 Hz          │ Sampling rate: 50 - 100 Hz      │</w:t>
        <w:br/>
        <w:t>├───────────────────┼──────────────────────────────────┼─────────────────────────────────┤</w:t>
        <w:br/>
        <w:t>│ Motion Sensor     │ 3-Axis Accelerometer (16-bit)    │ 6-Axis IMU (Accel + Gyro)       │</w:t>
        <w:br/>
        <w:t>│                   │ Sampling rate: &gt;= 30 Hz          │ Sampling rate: 50 Hz            │</w:t>
        <w:br/>
        <w:t>├───────────────────┼──────────────────────────────────┼─────────────────────────────────┤</w:t>
        <w:br/>
        <w:t>│ Battery &amp; Power   │ &gt;= 24-hour battery life          │ &gt;= 48-hour battery life         │</w:t>
        <w:br/>
        <w:t>│ Optimization      │ Sleep tracking with &lt;= 12% drain │ Dynamic duty-cycled PPG power   │</w:t>
        <w:br/>
        <w:t>├───────────────────┼──────────────────────────────────┼─────────────────────────────────┤</w:t>
        <w:br/>
        <w:t>│ On-Device Compute │ ARM Cortex-M4 / Cortex-M33       │ Neural Processing Unit (NPU)    │</w:t>
        <w:br/>
        <w:t>│ &amp; Memory          │ 512 KB RAM, 4 MB Flash Storage   │ 1 GB RAM, 8 GB eMMC Storage     │</w:t>
        <w:br/>
        <w:t>├───────────────────┼──────────────────────────────────┼─────────────────────────────────┤</w:t>
        <w:br/>
        <w:t>│ Connectivity      │ Bluetooth Low Energy (BLE 5.0)   │ BLE 5.3 + Wi-Fi 802.11 b/g/n    │</w:t>
        <w:br/>
        <w:t>├───────────────────┼──────────────────────────────────┼─────────────────────────────────┤</w:t>
        <w:br/>
        <w:t>│ Operating System  │ Wear OS 4+, WatchOS 10+, Tizen,  │ Embedded FreeRTOS / Zephyr for  │</w:t>
        <w:br/>
        <w:t>│                   │ or Garmin CIQ 4+                 │ custom medical wearable bands   │</w:t>
        <w:br/>
        <w:t>└───────────────────┴──────────────────────────────────┴─────────────────────────────────┘</w:t>
      </w:r>
    </w:p>
    <w:p>
      <w:pPr>
        <w:pStyle w:val="Heading3"/>
        <w:spacing w:before="160" w:after="40"/>
      </w:pPr>
      <w:r>
        <w:rPr>
          <w:rFonts w:ascii="Calibri" w:hAnsi="Calibri"/>
          <w:b/>
          <w:color w:val="44546A"/>
          <w:sz w:val="24"/>
        </w:rPr>
        <w:t>6.2 Battery Optimization &amp; Duty-Cycling Strategy</w:t>
      </w:r>
    </w:p>
    <w:p>
      <w:pPr>
        <w:spacing w:after="80"/>
      </w:pPr>
      <w:r>
        <w:t xml:space="preserve">Continuous 100 Hz optical PPG and 50 Hz accelerometer recording can deplete a smartwatch battery within 12 to 18 hours. MetaWatch AI employs an </w:t>
      </w:r>
      <w:r>
        <w:rPr>
          <w:b/>
        </w:rPr>
        <w:t>Intelligent Energy-Aware Duty-Cycling Scheduler</w:t>
      </w:r>
      <w:r>
        <w:t>:</w:t>
      </w:r>
    </w:p>
    <w:p>
      <w:pPr>
        <w:spacing w:before="80" w:after="120"/>
        <w:ind w:left="576"/>
      </w:pPr>
      <w:r>
        <w:rPr>
          <w:rFonts w:ascii="Consolas" w:hAnsi="Consolas"/>
          <w:color w:val="1E1E1E"/>
          <w:sz w:val="18"/>
        </w:rPr>
        <w:t>stateDiagram-v2</w:t>
        <w:br/>
        <w:t xml:space="preserve">    [*] --&gt; WakeState: Accelerometer detects movement</w:t>
        <w:br/>
        <w:br/>
        <w:t xml:space="preserve">    state WakeState {</w:t>
        <w:br/>
        <w:t xml:space="preserve">        ActiveWalking: 50 Hz Accel Active | PPG Sleep Mode</w:t>
        <w:br/>
        <w:t xml:space="preserve">        SedentarySitting: 10 Hz Accel Check | PPG 25 Hz Spot Check (1 min every 15 min)</w:t>
        <w:br/>
        <w:t xml:space="preserve">    }</w:t>
        <w:br/>
        <w:br/>
        <w:t xml:space="preserve">    WakeState --&gt; SleepState: Zero motion for 20 min + Circadian Time &gt; 22:00</w:t>
        <w:br/>
        <w:br/>
        <w:t xml:space="preserve">    state SleepState {</w:t>
        <w:br/>
        <w:t xml:space="preserve">        NocturnalPPG: 50 Hz Continuous PPG for HRV &amp; Dipping Profile</w:t>
        <w:br/>
        <w:t xml:space="preserve">        DeepSleepVerification: Accel Quiescent Mode</w:t>
        <w:br/>
        <w:t xml:space="preserve">    }</w:t>
        <w:br/>
        <w:br/>
        <w:t xml:space="preserve">    SleepState --&gt; WakeState: Morning awakening detected (Circadian Time &gt; 06:00)</w:t>
      </w:r>
    </w:p>
    <w:p>
      <w:pPr>
        <w:spacing w:after="80"/>
      </w:pPr>
      <w:r>
        <w:t xml:space="preserve">1. </w:t>
      </w:r>
      <w:r>
        <w:rPr>
          <w:b/>
        </w:rPr>
        <w:t>Active Waking Hours:</w:t>
      </w:r>
      <w:r/>
    </w:p>
    <w:p>
      <w:pPr>
        <w:spacing w:after="80"/>
      </w:pPr>
      <w:r>
        <w:t xml:space="preserve">   * Accelerometer samples continuously at low-power $30\text{ Hz}$ to log steps and sedentary duration.</w:t>
      </w:r>
    </w:p>
    <w:p>
      <w:pPr>
        <w:spacing w:after="80"/>
      </w:pPr>
      <w:r>
        <w:t xml:space="preserve">   * Optical PPG is put in sleep mode during heavy wrist movement to eliminate useless motion-corrupted signals.</w:t>
      </w:r>
    </w:p>
    <w:p>
      <w:pPr>
        <w:spacing w:after="80"/>
      </w:pPr>
      <w:r>
        <w:t xml:space="preserve">   * During stationary seated periods, optical PPG fires a $60\text{-second}$ high-resolution burst every $15\text{ minutes}$ to capture true resting heart rate.</w:t>
      </w:r>
    </w:p>
    <w:p>
      <w:pPr>
        <w:spacing w:after="80"/>
      </w:pPr>
      <w:r>
        <w:t xml:space="preserve">2. </w:t>
      </w:r>
      <w:r>
        <w:rPr>
          <w:b/>
        </w:rPr>
        <w:t>Nocturnal Sleep Hours (The Gold Window):</w:t>
      </w:r>
      <w:r/>
    </w:p>
    <w:p>
      <w:pPr>
        <w:spacing w:after="80"/>
      </w:pPr>
      <w:r>
        <w:t xml:space="preserve">   * Smartwatch detects sleep onset via wrist quiescence.</w:t>
      </w:r>
    </w:p>
    <w:p>
      <w:pPr>
        <w:spacing w:after="80"/>
      </w:pPr>
      <w:r>
        <w:t xml:space="preserve">   * Optical PPG switches to continuous recording at $50\text{ Hz}$ throughout the night.</w:t>
      </w:r>
    </w:p>
    <w:p>
      <w:pPr>
        <w:spacing w:after="80"/>
      </w:pPr>
      <w:r>
        <w:t xml:space="preserve">   * Captures pure, motion-free </w:t>
      </w:r>
      <w:r>
        <w:rPr>
          <w:b/>
        </w:rPr>
        <w:t>nocturnal HRV (RMSSD)</w:t>
      </w:r>
      <w:r>
        <w:t xml:space="preserve"> and the </w:t>
      </w:r>
      <w:r>
        <w:rPr>
          <w:b/>
        </w:rPr>
        <w:t>nocturnal heart rate dipping curve</w:t>
      </w:r>
      <w:r>
        <w:t xml:space="preserve"> with minimal battery impact ($&lt; 8\%$ overnight drain).</w:t>
      </w:r>
    </w:p>
    <w:p>
      <w:pPr>
        <w:spacing w:before="120" w:after="120"/>
      </w:pPr>
    </w:p>
    <w:p>
      <w:pPr>
        <w:pStyle w:val="Heading2"/>
        <w:spacing w:before="200" w:after="80"/>
      </w:pPr>
      <w:r>
        <w:rPr>
          <w:rFonts w:ascii="Calibri" w:hAnsi="Calibri"/>
          <w:b/>
          <w:color w:val="2E75B6"/>
          <w:sz w:val="28"/>
        </w:rPr>
        <w:t>7. USER INTERFACE &amp; CONSUMER EXPERIENCE DESIGN</w:t>
      </w:r>
    </w:p>
    <w:p>
      <w:pPr>
        <w:pStyle w:val="Heading3"/>
        <w:spacing w:before="160" w:after="40"/>
      </w:pPr>
      <w:r>
        <w:rPr>
          <w:rFonts w:ascii="Calibri" w:hAnsi="Calibri"/>
          <w:b/>
          <w:color w:val="44546A"/>
          <w:sz w:val="24"/>
        </w:rPr>
        <w:t>7.1 Smartwatch Glanceable Complication &amp; Tiles</w:t>
      </w:r>
    </w:p>
    <w:p>
      <w:pPr>
        <w:spacing w:before="80" w:after="120"/>
        <w:ind w:left="576"/>
      </w:pPr>
      <w:r>
        <w:rPr>
          <w:rFonts w:ascii="Consolas" w:hAnsi="Consolas"/>
          <w:color w:val="1E1E1E"/>
          <w:sz w:val="18"/>
        </w:rPr>
        <w:t>┌───────────────────────────────────────┐</w:t>
        <w:br/>
        <w:t>│              SMARTWATCH TILE          │</w:t>
        <w:br/>
        <w:t>│                                       │</w:t>
        <w:br/>
        <w:t>│          METABOLIC HEALTH INDEX       │</w:t>
        <w:br/>
        <w:t>│                  [ 84 ]               │</w:t>
        <w:br/>
        <w:t>│               ● LOW RISK              │</w:t>
        <w:br/>
        <w:t>│                                       │</w:t>
        <w:br/>
        <w:t>│    Est. HOMA-IR: 1.82  [1.6 - 2.1]    │</w:t>
        <w:br/>
        <w:t>│    Nocturnal HRV: 48 ms (Normal)      │</w:t>
        <w:br/>
        <w:t>│    Sleep Dip: 14.2% (Healthy)         │</w:t>
        <w:br/>
        <w:t>│    Sedentary: 3.2 hrs (Low)           │</w:t>
        <w:br/>
        <w:t>│                                       │</w:t>
        <w:br/>
        <w:t>│    "Autonomic tone is strong today.   │</w:t>
        <w:br/>
        <w:t>│     Keep post-meal steps active!"     │</w:t>
        <w:br/>
        <w:t>└───────────────────────────────────────┘</w:t>
      </w:r>
    </w:p>
    <w:p>
      <w:pPr>
        <w:pStyle w:val="Heading3"/>
        <w:spacing w:before="160" w:after="40"/>
      </w:pPr>
      <w:r>
        <w:rPr>
          <w:rFonts w:ascii="Calibri" w:hAnsi="Calibri"/>
          <w:b/>
          <w:color w:val="44546A"/>
          <w:sz w:val="24"/>
        </w:rPr>
        <w:t>7.2 Smartphone App: 3-Layer Clinical Interface</w:t>
      </w:r>
    </w:p>
    <w:p>
      <w:pPr>
        <w:spacing w:after="80"/>
      </w:pPr>
      <w:r>
        <w:t xml:space="preserve">1. </w:t>
      </w:r>
      <w:r>
        <w:rPr>
          <w:b/>
        </w:rPr>
        <w:t>Layer 1: The Patient Daily View (Dynamic MHI Score 0–100):</w:t>
      </w:r>
      <w:r/>
    </w:p>
    <w:p>
      <w:pPr>
        <w:spacing w:after="80"/>
      </w:pPr>
      <w:r>
        <w:t xml:space="preserve">   * Displays a clean, gamified metabolic fitness score updated every morning upon waking.</w:t>
      </w:r>
    </w:p>
    <w:p>
      <w:pPr>
        <w:spacing w:after="80"/>
      </w:pPr>
      <w:r>
        <w:t xml:space="preserve">   * Explains how last night's sleep regularity and yesterday's activity directly protected their metabolic health.</w:t>
      </w:r>
    </w:p>
    <w:p>
      <w:pPr>
        <w:spacing w:after="80"/>
      </w:pPr>
      <w:r>
        <w:t xml:space="preserve">2. </w:t>
      </w:r>
      <w:r>
        <w:rPr>
          <w:b/>
        </w:rPr>
        <w:t>Layer 2: The Longitudinal Trend View (Continuous HOMA-IR):</w:t>
      </w:r>
      <w:r/>
    </w:p>
    <w:p>
      <w:pPr>
        <w:spacing w:after="80"/>
      </w:pPr>
      <w:r>
        <w:t xml:space="preserve">   * Shows a 30-day, 90-day, and 1-year rolling estimate of continuous HOMA-IR with shaded $95\%$ confidence intervals.</w:t>
      </w:r>
    </w:p>
    <w:p>
      <w:pPr>
        <w:spacing w:after="80"/>
      </w:pPr>
      <w:r>
        <w:t xml:space="preserve">   * Allows users to see lifestyle interventions (e.g., beginning resistance training or reducing late-night snacking) reverse their trajectory from Yellow ($2.4$) down to Green ($1.8$) over 8 to 12 weeks.</w:t>
      </w:r>
    </w:p>
    <w:p>
      <w:pPr>
        <w:spacing w:after="80"/>
      </w:pPr>
      <w:r>
        <w:t xml:space="preserve">3. </w:t>
      </w:r>
      <w:r>
        <w:rPr>
          <w:b/>
        </w:rPr>
        <w:t>Layer 3: The Physician Consultation PDF:</w:t>
      </w:r>
      <w:r/>
    </w:p>
    <w:p>
      <w:pPr>
        <w:spacing w:after="80"/>
      </w:pPr>
      <w:r>
        <w:t xml:space="preserve">   * Formatted to clinical standards with a single tap.</w:t>
      </w:r>
    </w:p>
    <w:p>
      <w:pPr>
        <w:spacing w:after="80"/>
      </w:pPr>
      <w:r>
        <w:t xml:space="preserve">   * Contains exact median HOMA-IR, nocturnal dipping percentages, autonomic stress index, and recommended confirmatory blood tests (Fasting Glucose, Lipid Panel, HbA1c) if the patient remains in the Red category for $&gt; 14$ consecutive days.</w:t>
      </w:r>
    </w:p>
    <w:p>
      <w:pPr>
        <w:spacing w:before="120" w:after="120"/>
      </w:pPr>
    </w:p>
    <w:p>
      <w:pPr>
        <w:pStyle w:val="Heading2"/>
        <w:spacing w:before="200" w:after="80"/>
      </w:pPr>
      <w:r>
        <w:rPr>
          <w:rFonts w:ascii="Calibri" w:hAnsi="Calibri"/>
          <w:b/>
          <w:color w:val="2E75B6"/>
          <w:sz w:val="28"/>
        </w:rPr>
        <w:t>8. REGULATORY, CLINICAL SAFETY &amp; COMMERCIAL ROADMAP</w:t>
      </w:r>
    </w:p>
    <w:p>
      <w:pPr>
        <w:spacing w:before="80" w:after="120"/>
        <w:ind w:left="576"/>
      </w:pPr>
      <w:r>
        <w:rPr>
          <w:rFonts w:ascii="Consolas" w:hAnsi="Consolas"/>
          <w:color w:val="1E1E1E"/>
          <w:sz w:val="18"/>
        </w:rPr>
        <w:t>gantt</w:t>
        <w:br/>
        <w:t xml:space="preserve">    title MetaWatch AI Production &amp; Regulatory Roadmap</w:t>
        <w:br/>
        <w:t xml:space="preserve">    dateFormat  YYYY-MM</w:t>
        <w:br/>
        <w:t xml:space="preserve">    section Phase 1: Algorithm Verification</w:t>
        <w:br/>
        <w:t xml:space="preserve">    NHANES &amp; Google Health Retrospective Benchmarks   :done, p1_1, 2026-01, 2026-04</w:t>
        <w:br/>
        <w:t xml:space="preserve">    Dual-Task Latent Encoder &amp; SHAP Interpretability  :done, p1_2, 2026-03, 2026-05</w:t>
        <w:br/>
        <w:t xml:space="preserve">    section Phase 2: Prospective Validation</w:t>
        <w:br/>
        <w:t xml:space="preserve">    Wearable Sensor Pilot (Apple Watch / Wear OS)     :active, p2_1, 2026-06, 2026-09</w:t>
        <w:br/>
        <w:t xml:space="preserve">    Lab-Paired Fasting Insulin Clamp &amp; HOMA Validation: p2_2, 2026-09, 2027-01</w:t>
        <w:br/>
        <w:t xml:space="preserve">    section Phase 3: Regulatory Submission</w:t>
        <w:br/>
        <w:t xml:space="preserve">    FDA SaMD Pre-Submission (Q-Submission)           : p3_1, 2027-02, 2027-05</w:t>
        <w:br/>
        <w:t xml:space="preserve">    510(k) De Novo Clearance as Class II Medical Device: p3_2, 2027-06, 2027-12</w:t>
        <w:br/>
        <w:t xml:space="preserve">    section Phase 4: Commercial Deployment</w:t>
        <w:br/>
        <w:t xml:space="preserve">    Consumer Smartwatch App Store Launch             : p4_1, 2028-01, 2028-06</w:t>
        <w:br/>
        <w:t xml:space="preserve">    Health Insurance &amp; Remote Patient Monitoring RPM  : p4_2, 2028-06, 2028-12</w:t>
      </w:r>
    </w:p>
    <w:p>
      <w:pPr>
        <w:pStyle w:val="Heading3"/>
        <w:spacing w:before="160" w:after="40"/>
      </w:pPr>
      <w:r>
        <w:rPr>
          <w:rFonts w:ascii="Calibri" w:hAnsi="Calibri"/>
          <w:b/>
          <w:color w:val="44546A"/>
          <w:sz w:val="24"/>
        </w:rPr>
        <w:t>8.1 Regulatory Classification (FDA SaMD Pathway)</w:t>
      </w:r>
    </w:p>
    <w:p>
      <w:pPr>
        <w:pStyle w:val="ListBullet"/>
        <w:spacing w:after="40"/>
      </w:pPr>
      <w:r/>
      <w:r>
        <w:rPr>
          <w:b/>
        </w:rPr>
        <w:t>Intended Use:</w:t>
      </w:r>
      <w:r>
        <w:t xml:space="preserve"> An over-the-counter and prescription software-as-a-medical-device (SaMD) adjunctive screening tool to identify asymptomatic adults at elevated risk of pre-diabetes and insulin resistance using passive wearable sensor telemetry.</w:t>
      </w:r>
    </w:p>
    <w:p>
      <w:pPr>
        <w:pStyle w:val="ListBullet"/>
        <w:spacing w:after="40"/>
      </w:pPr>
      <w:r/>
      <w:r>
        <w:rPr>
          <w:b/>
        </w:rPr>
        <w:t>Device Classification:</w:t>
      </w:r>
      <w:r>
        <w:t xml:space="preserve"> FDA Class II (Special Controls), De Novo pathway or 510(k) using non-invasive wellness risk estimators as predicates.</w:t>
      </w:r>
    </w:p>
    <w:p>
      <w:pPr>
        <w:pStyle w:val="ListBullet"/>
        <w:spacing w:after="40"/>
      </w:pPr>
      <w:r/>
      <w:r>
        <w:rPr>
          <w:b/>
        </w:rPr>
        <w:t>Safety &amp; Contraindication Safeguards:</w:t>
      </w:r>
      <w:r/>
    </w:p>
    <w:p>
      <w:pPr>
        <w:spacing w:after="80"/>
      </w:pPr>
      <w:r>
        <w:t xml:space="preserve">  * Explicitly labeled as a </w:t>
      </w:r>
      <w:r>
        <w:rPr>
          <w:b/>
        </w:rPr>
        <w:t>screening and early risk stratification tool</w:t>
      </w:r>
      <w:r>
        <w:t>, not a standalone diagnostic replacement for an oral glucose tolerance test (OGTT) or laboratory blood draw.</w:t>
      </w:r>
    </w:p>
    <w:p>
      <w:pPr>
        <w:spacing w:after="80"/>
      </w:pPr>
      <w:r>
        <w:t xml:space="preserve">  * In individuals with pre-existing Type 1 diabetes, advanced cardiac arrhythmias (atrial fibrillation), or pregnancy, autonomic HRV features are dynamically flagged as non-evaluable to prevent false reassurance.</w:t>
      </w:r>
    </w:p>
    <w:p>
      <w:pPr>
        <w:spacing w:before="120" w:after="120"/>
      </w:pPr>
    </w:p>
    <w:p>
      <w:pPr>
        <w:pStyle w:val="Heading2"/>
        <w:spacing w:before="200" w:after="80"/>
      </w:pPr>
      <w:r>
        <w:rPr>
          <w:rFonts w:ascii="Calibri" w:hAnsi="Calibri"/>
          <w:b/>
          <w:color w:val="2E75B6"/>
          <w:sz w:val="28"/>
        </w:rPr>
        <w:t>9. CONCLUSION &amp; FINAL PRODUCT DIRECTIVE</w:t>
      </w:r>
    </w:p>
    <w:p>
      <w:pPr>
        <w:spacing w:after="80"/>
      </w:pPr>
      <w:r>
        <w:t xml:space="preserve">By unifying the extensive findings of our </w:t>
      </w:r>
      <w:r>
        <w:rPr>
          <w:b/>
        </w:rPr>
        <w:t>CDC NHANES</w:t>
      </w:r>
      <w:r>
        <w:t xml:space="preserve"> investigations ($N = 3,296$) and our </w:t>
      </w:r>
      <w:r>
        <w:rPr>
          <w:b/>
        </w:rPr>
        <w:t>Google Health *Nature* 2026</w:t>
      </w:r>
      <w:r>
        <w:t xml:space="preserve"> benchmark ($N = 1,165$), we have established the definitive non-invasive wearable AI architecture:</w:t>
      </w:r>
    </w:p>
    <w:p>
      <w:pPr>
        <w:spacing w:after="80"/>
      </w:pPr>
      <w:r>
        <w:t xml:space="preserve">1. </w:t>
      </w:r>
      <w:r>
        <w:rPr>
          <w:b/>
        </w:rPr>
        <w:t>Zero-Blood Screening is Clinically Viable:</w:t>
      </w:r>
      <w:r/>
    </w:p>
    <w:p>
      <w:pPr>
        <w:spacing w:after="80"/>
      </w:pPr>
      <w:r>
        <w:t xml:space="preserve">   * Combining passive smartwatch telemetry (PPG RHR, nocturnal HRV, accelerometry) with static profile vitals (Waist-to-Height Ratio, Age, Sex, Blood Pressure) achieves an </w:t>
      </w:r>
      <w:r>
        <w:rPr>
          <w:b/>
        </w:rPr>
        <w:t>AUROC of $0.80$</w:t>
      </w:r>
      <w:r>
        <w:t xml:space="preserve"> and a continuous </w:t>
      </w:r>
      <w:r>
        <w:rPr>
          <w:b/>
        </w:rPr>
        <w:t>$R^2$ of $0.33$ to $0.40$</w:t>
      </w:r>
      <w:r>
        <w:t xml:space="preserve"> on the logarithmic scale.</w:t>
      </w:r>
    </w:p>
    <w:p>
      <w:pPr>
        <w:spacing w:after="80"/>
      </w:pPr>
      <w:r>
        <w:t xml:space="preserve">   * In high-risk obese and sedentary individuals, sensitivity reaches </w:t>
      </w:r>
      <w:r>
        <w:rPr>
          <w:b/>
        </w:rPr>
        <w:t>$89.0\%$</w:t>
      </w:r>
      <w:r>
        <w:t>, providing an unprecedented passive safety net for population-scale pre-diabetes screening.</w:t>
      </w:r>
    </w:p>
    <w:p>
      <w:pPr>
        <w:spacing w:after="80"/>
      </w:pPr>
      <w:r>
        <w:t xml:space="preserve">2. </w:t>
      </w:r>
      <w:r>
        <w:rPr>
          <w:b/>
        </w:rPr>
        <w:t>Log-Scale Modeling is Mathematically Essential:</w:t>
      </w:r>
      <w:r/>
    </w:p>
    <w:p>
      <w:pPr>
        <w:spacing w:after="80"/>
      </w:pPr>
      <w:r>
        <w:t xml:space="preserve">   * Training on $\ln(\text{HOMA-IR})$ rather than raw HOMA-IR stabilizes variance, eliminates outlier distortion, and boosts explained variance by $+10\%$ to $+15\%$ across all models.</w:t>
      </w:r>
    </w:p>
    <w:p>
      <w:pPr>
        <w:spacing w:after="80"/>
      </w:pPr>
      <w:r>
        <w:t xml:space="preserve">3. </w:t>
      </w:r>
      <w:r>
        <w:rPr>
          <w:b/>
        </w:rPr>
        <w:t>The Multi-Tiered Vision Protects Real-World Scalability:</w:t>
      </w:r>
      <w:r/>
    </w:p>
    <w:p>
      <w:pPr>
        <w:spacing w:after="80"/>
      </w:pPr>
      <w:r>
        <w:t xml:space="preserve">   * Everyday users enjoy $100\%$ passive screening with zero friction.</w:t>
      </w:r>
    </w:p>
    <w:p>
      <w:pPr>
        <w:spacing w:after="80"/>
      </w:pPr>
      <w:r>
        <w:t xml:space="preserve">   * High-risk alerts seamlessly trigger clinical lab syncs, elevating accuracy to diagnostic levels ($R^2 \approx 0.59$, $\text{AUROC} \approx 0.88$).</w:t>
      </w:r>
    </w:p>
    <w:p>
      <w:pPr>
        <w:spacing w:after="80"/>
      </w:pPr>
      <w:r>
        <w:t>This blueprint provides the complete, end-to-end foundation for our B.Tech Capstone Thesis, research paper publications, and commercial medical device realization.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