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</w:pPr>
      <w:r>
        <w:rPr>
          <w:rFonts w:ascii="Calibri" w:hAnsi="Calibri"/>
          <w:b/>
          <w:color w:val="1F4E79"/>
          <w:sz w:val="40"/>
        </w:rPr>
        <w:t>Google Health Benchmark — Phase 2: Insulin Resistance Risk Stratification &amp; Classification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2E75B6"/>
          <w:sz w:val="28"/>
        </w:rPr>
        <w:t>Triage Screening at the Nature 2026 Primary Threshold (HOMA-IR ≥ 2.9) &amp; High-Risk Subgroup Analysis</w:t>
      </w:r>
    </w:p>
    <w:p>
      <w:pPr>
        <w:spacing w:after="80"/>
      </w:pPr>
      <w:r/>
      <w:r>
        <w:rPr>
          <w:b/>
        </w:rPr>
        <w:t>Project Title:</w:t>
      </w:r>
      <w:r>
        <w:t xml:space="preserve"> Wearable AI for Early Metabolic Risk Screening &amp; Continuous HOMA-IR Estimation</w:t>
      </w:r>
    </w:p>
    <w:p>
      <w:pPr>
        <w:spacing w:after="80"/>
      </w:pPr>
      <w:r/>
      <w:r>
        <w:rPr>
          <w:b/>
        </w:rPr>
        <w:t>Dataset:</w:t>
      </w:r>
      <w:r>
        <w:t xml:space="preserve"> Google Health WEAR-ME Cohort ($N = 1,165$ Multi-Ethnic Adults)</w:t>
      </w:r>
    </w:p>
    <w:p>
      <w:pPr>
        <w:spacing w:after="80"/>
      </w:pPr>
      <w:r/>
      <w:r>
        <w:rPr>
          <w:b/>
        </w:rPr>
        <w:t>Author:</w:t>
      </w:r>
      <w:r>
        <w:t xml:space="preserve"> SARVAGYA-TIWARI</w:t>
      </w:r>
    </w:p>
    <w:p>
      <w:pPr>
        <w:spacing w:after="80"/>
      </w:pPr>
      <w:r/>
      <w:r>
        <w:rPr>
          <w:b/>
        </w:rPr>
        <w:t>Date:</w:t>
      </w:r>
      <w:r>
        <w:t xml:space="preserve"> October 2026</w:t>
      </w:r>
    </w:p>
    <w:p>
      <w:pPr>
        <w:spacing w:before="120" w:after="120"/>
      </w:pPr>
    </w:p>
    <w:p>
      <w:pPr>
        <w:pStyle w:val="Heading1"/>
        <w:spacing w:before="240" w:after="120"/>
      </w:pPr>
      <w:r>
        <w:rPr>
          <w:rFonts w:ascii="Calibri" w:hAnsi="Calibri"/>
          <w:b/>
          <w:color w:val="1F4E79"/>
          <w:sz w:val="40"/>
        </w:rPr>
        <w:t>1. Executive Summary &amp; Core Results</w:t>
      </w:r>
    </w:p>
    <w:p>
      <w:pPr>
        <w:spacing w:after="80"/>
      </w:pPr>
      <w:r>
        <w:t>In Phase 2, we implemented the discrete clinical screening and risk stratification suite evaluated in the *Nature* 2026 paper. We evaluated whether smartwatches and clinical vitals can accurately flag individuals with clinically significant Insulin Resistance (</w:t>
      </w:r>
      <w:r>
        <w:rPr>
          <w:b/>
        </w:rPr>
        <w:t>$\text{HOMA-IR} \ge 2.9$</w:t>
      </w:r>
      <w:r>
        <w:t>), the primary cutoff established in endocrinology for initiating preventative lifestyle or pharmacological intervention.</w:t>
      </w:r>
    </w:p>
    <w:p>
      <w:pPr>
        <w:spacing w:after="80"/>
      </w:pPr>
      <w:r>
        <w:t>Across strict 5-Fold Stratified Cross-Validation on all $N = 1,165$ participants:</w:t>
      </w:r>
    </w:p>
    <w:p>
      <w:pPr>
        <w:pStyle w:val="ListBullet"/>
        <w:spacing w:after="40"/>
      </w:pPr>
      <w:r/>
      <w:r>
        <w:rPr>
          <w:b/>
        </w:rPr>
        <w:t>Wearables + Anthropometrics &amp; Vitals (Zero Blood Access):</w:t>
      </w:r>
      <w:r/>
    </w:p>
    <w:p>
      <w:pPr>
        <w:spacing w:after="80"/>
      </w:pPr>
      <w:r>
        <w:t xml:space="preserve">  * </w:t>
      </w:r>
      <w:r>
        <w:rPr>
          <w:b/>
        </w:rPr>
        <w:t>Logistic Regression:</w:t>
      </w:r>
      <w:r>
        <w:t xml:space="preserve"> Achieved </w:t>
      </w:r>
      <w:r>
        <w:rPr>
          <w:b/>
        </w:rPr>
        <w:t>$\text{AUROC} = \mathbf{0.7942}$</w:t>
      </w:r>
      <w:r>
        <w:t xml:space="preserve">, $\text{AUPRC} = \mathbf{0.5841}$, </w:t>
      </w:r>
      <w:r>
        <w:rPr>
          <w:b/>
        </w:rPr>
        <w:t>Sensitivity $= 70.6\%$</w:t>
      </w:r>
      <w:r>
        <w:t xml:space="preserve">, </w:t>
      </w:r>
      <w:r>
        <w:rPr>
          <w:b/>
        </w:rPr>
        <w:t>Specificity $= 75.1\%$</w:t>
      </w:r>
      <w:r>
        <w:t xml:space="preserve">, and </w:t>
      </w:r>
      <w:r>
        <w:rPr>
          <w:b/>
        </w:rPr>
        <w:t>Balanced Accuracy $= 72.8\%$</w:t>
      </w:r>
      <w:r>
        <w:t>!</w:t>
      </w:r>
    </w:p>
    <w:p>
      <w:pPr>
        <w:spacing w:after="80"/>
      </w:pPr>
      <w:r>
        <w:t xml:space="preserve">  * </w:t>
      </w:r>
      <w:r>
        <w:rPr>
          <w:b/>
        </w:rPr>
        <w:t>XGBoost:</w:t>
      </w:r>
      <w:r>
        <w:t xml:space="preserve"> Achieved </w:t>
      </w:r>
      <w:r>
        <w:rPr>
          <w:b/>
        </w:rPr>
        <w:t>$\text{AUROC} = \mathbf{0.7781}$</w:t>
      </w:r>
      <w:r>
        <w:t xml:space="preserve">, $\text{AUPRC} = \mathbf{0.5254}$, </w:t>
      </w:r>
      <w:r>
        <w:rPr>
          <w:b/>
        </w:rPr>
        <w:t>Sensitivity $= 66.0\%$</w:t>
      </w:r>
      <w:r>
        <w:t xml:space="preserve">, and </w:t>
      </w:r>
      <w:r>
        <w:rPr>
          <w:b/>
        </w:rPr>
        <w:t>Specificity $= 78.5\%$</w:t>
      </w:r>
      <w:r>
        <w:t>.</w:t>
      </w:r>
    </w:p>
    <w:p>
      <w:pPr>
        <w:spacing w:after="80"/>
      </w:pPr>
      <w:r>
        <w:t xml:space="preserve">  * *Clinical Takeaway:* Matches published literature in *Nature Digital Medicine* showing that smartwatches + non-invasive body vitals reach $\text{AUROC} \approx 0.78 - 0.80$ without requiring blood draws!</w:t>
      </w:r>
    </w:p>
    <w:p>
      <w:pPr>
        <w:pStyle w:val="ListBullet"/>
        <w:spacing w:after="40"/>
      </w:pPr>
      <w:r/>
      <w:r>
        <w:rPr>
          <w:b/>
        </w:rPr>
        <w:t>Full Multimodal Fusion (Wearables + Anthropometrics + Routine Blood Labs):</w:t>
      </w:r>
      <w:r/>
    </w:p>
    <w:p>
      <w:pPr>
        <w:spacing w:after="80"/>
      </w:pPr>
      <w:r>
        <w:t xml:space="preserve">  * </w:t>
      </w:r>
      <w:r>
        <w:rPr>
          <w:b/>
        </w:rPr>
        <w:t>LightGBM:</w:t>
      </w:r>
      <w:r>
        <w:t xml:space="preserve"> Achieved </w:t>
      </w:r>
      <w:r>
        <w:rPr>
          <w:b/>
        </w:rPr>
        <w:t>$\text{AUROC} = \mathbf{0.8780}$</w:t>
      </w:r>
      <w:r>
        <w:t xml:space="preserve">, $\text{AUPRC} = \mathbf{0.7398}$, </w:t>
      </w:r>
      <w:r>
        <w:rPr>
          <w:b/>
        </w:rPr>
        <w:t>Sensitivity $= 73.9\%$</w:t>
      </w:r>
      <w:r>
        <w:t xml:space="preserve">, </w:t>
      </w:r>
      <w:r>
        <w:rPr>
          <w:b/>
        </w:rPr>
        <w:t>Specificity $= 84.6\%$</w:t>
      </w:r>
      <w:r>
        <w:t xml:space="preserve">, and </w:t>
      </w:r>
      <w:r>
        <w:rPr>
          <w:b/>
        </w:rPr>
        <w:t>Balanced Accuracy $= 79.2\%$</w:t>
      </w:r>
      <w:r>
        <w:t>!</w:t>
      </w:r>
    </w:p>
    <w:p>
      <w:pPr>
        <w:spacing w:after="80"/>
      </w:pPr>
      <w:r>
        <w:t xml:space="preserve">  * </w:t>
      </w:r>
      <w:r>
        <w:rPr>
          <w:b/>
        </w:rPr>
        <w:t>XGBoost:</w:t>
      </w:r>
      <w:r>
        <w:t xml:space="preserve"> Achieved </w:t>
      </w:r>
      <w:r>
        <w:rPr>
          <w:b/>
        </w:rPr>
        <w:t>$\text{AUROC} = \mathbf{0.8760}$</w:t>
      </w:r>
      <w:r>
        <w:t xml:space="preserve">, $\text{AUPRC} = \mathbf{0.7396}$, </w:t>
      </w:r>
      <w:r>
        <w:rPr>
          <w:b/>
        </w:rPr>
        <w:t>Sensitivity $= 74.3\%$</w:t>
      </w:r>
      <w:r>
        <w:t xml:space="preserve">, </w:t>
      </w:r>
      <w:r>
        <w:rPr>
          <w:b/>
        </w:rPr>
        <w:t>Specificity $= 85.0\%$</w:t>
      </w:r>
      <w:r>
        <w:t xml:space="preserve">, and </w:t>
      </w:r>
      <w:r>
        <w:rPr>
          <w:b/>
        </w:rPr>
        <w:t>Balanced Accuracy $= 79.6\%$</w:t>
      </w:r>
      <w:r>
        <w:t>!</w:t>
      </w:r>
    </w:p>
    <w:p>
      <w:pPr>
        <w:spacing w:after="80"/>
      </w:pPr>
      <w:r>
        <w:t xml:space="preserve">  * </w:t>
      </w:r>
      <w:r>
        <w:rPr>
          <w:b/>
        </w:rPr>
        <w:t>Logistic Regression:</w:t>
      </w:r>
      <w:r>
        <w:t xml:space="preserve"> Achieved </w:t>
      </w:r>
      <w:r>
        <w:rPr>
          <w:b/>
        </w:rPr>
        <w:t>$\text{AUROC} = \mathbf{0.8783}$</w:t>
      </w:r>
      <w:r>
        <w:t xml:space="preserve">, $\text{AUPRC} = \mathbf{0.7451}$, </w:t>
      </w:r>
      <w:r>
        <w:rPr>
          <w:b/>
        </w:rPr>
        <w:t>Sensitivity $= 76.6\%$</w:t>
      </w:r>
      <w:r>
        <w:t xml:space="preserve">, and </w:t>
      </w:r>
      <w:r>
        <w:rPr>
          <w:b/>
        </w:rPr>
        <w:t>Specificity $= 82.4\%$</w:t>
      </w:r>
      <w:r>
        <w:t>!</w:t>
      </w:r>
    </w:p>
    <w:p>
      <w:pPr>
        <w:pStyle w:val="ListBullet"/>
        <w:spacing w:after="40"/>
      </w:pPr>
      <w:r/>
      <w:r>
        <w:rPr>
          <w:b/>
        </w:rPr>
        <w:t>High-Risk Subgroup Performance (Obese $\text{BMI} \ge 30$ &amp; Sedentary, $N = 531$):</w:t>
      </w:r>
      <w:r/>
    </w:p>
    <w:p>
      <w:pPr>
        <w:spacing w:after="80"/>
      </w:pPr>
      <w:r>
        <w:t xml:space="preserve">  * When evaluated in the high-risk cohort (matching the Nature paper's subgroup analysis), XGBoost sensitivity jumped to </w:t>
      </w:r>
      <w:r>
        <w:rPr>
          <w:b/>
        </w:rPr>
        <w:t>$89.0\%$</w:t>
      </w:r>
      <w:r>
        <w:t xml:space="preserve"> with an </w:t>
      </w:r>
      <w:r>
        <w:rPr>
          <w:b/>
        </w:rPr>
        <w:t>$\text{AUROC} = \mathbf{0.8429}$</w:t>
      </w:r>
      <w:r>
        <w:t>!</w:t>
      </w:r>
    </w:p>
    <w:p>
      <w:pPr>
        <w:spacing w:before="120" w:after="120"/>
      </w:pPr>
    </w:p>
    <w:p>
      <w:pPr>
        <w:pStyle w:val="Heading1"/>
        <w:spacing w:before="240" w:after="120"/>
      </w:pPr>
      <w:r>
        <w:rPr>
          <w:rFonts w:ascii="Calibri" w:hAnsi="Calibri"/>
          <w:b/>
          <w:color w:val="1F4E79"/>
          <w:sz w:val="40"/>
        </w:rPr>
        <w:t>2. What We Did: Clinical Problem Formulation</w:t>
      </w:r>
    </w:p>
    <w:p>
      <w:pPr>
        <w:spacing w:before="80" w:after="120"/>
        <w:ind w:left="576"/>
      </w:pPr>
      <w:r>
        <w:rPr>
          <w:rFonts w:ascii="Consolas" w:hAnsi="Consolas"/>
          <w:color w:val="1E1E1E"/>
          <w:sz w:val="18"/>
        </w:rPr>
        <w:t xml:space="preserve">                        PHASE 2 CLASSIFICATION PIPELINE</w:t>
        <w:br/>
        <w:t xml:space="preserve"> ┌────────────────────────────────────────────────────────────────────────────────────────┐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<w:br/>
        <w:t xml:space="preserve"> │ CLINICAL TARGET: BINARY INSULIN RESISTANCE (HOMA-IR &gt;= 2.9)                            │</w:t>
        <w:br/>
        <w:t xml:space="preserve"> │ • Negative Class (Low / Normal IR): HOMA-IR &lt; 2.9  (N = 862, 74.0%)                    │</w:t>
        <w:br/>
        <w:t xml:space="preserve"> │ • Positive Class (High Insulin Resistance): HOMA-IR &gt;= 2.9  (N = 303, 26.0%)           │</w:t>
        <w:br/>
        <w:t xml:space="preserve"> └──────────────────────────────────────────┬─────────────────────────────────────────────┘</w:t>
        <w:br/>
        <w:t xml:space="preserve">                                            │</w:t>
        <w:br/>
        <w:t xml:space="preserve">                                            ▼</w:t>
        <w:br/>
        <w:t xml:space="preserve"> ┌────────────────────────────────────────────────────────────────────────────────────────┐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<w:br/>
        <w:t xml:space="preserve"> │ 5-FOLD STRATIFIED CROSS-VALIDATION                                                     │</w:t>
        <w:br/>
        <w:t xml:space="preserve"> │ • Exact class proportions preserved across all folds                                   │</w:t>
        <w:br/>
        <w:t xml:space="preserve"> │ • Class Imbalance Management via scale_pos_weight = 2.85 &amp; Balanced Cost-Sensitivity   │</w:t>
        <w:br/>
        <w:t xml:space="preserve"> └──────────────────────────────────────────┬─────────────────────────────────────────────┘</w:t>
        <w:br/>
        <w:t xml:space="preserve">                                            │</w:t>
        <w:br/>
        <w:t xml:space="preserve">                                            ▼</w:t>
        <w:br/>
        <w:t xml:space="preserve"> ┌────────────────────────────────────────────────────────────────────────────────────────┐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<w:br/>
        <w:t xml:space="preserve"> │ 4 COMPETING ARCHITECTURES                                                              │</w:t>
        <w:br/>
        <w:t xml:space="preserve"> │ • L2-Regularized Logistic Regression | Balanced Random Forest | LightGBM | XGBoost     │</w:t>
        <w:br/>
        <w:t xml:space="preserve"> └──────────────────────────────────────────┬─────────────────────────────────────────────┘</w:t>
        <w:br/>
        <w:t xml:space="preserve">                                            │</w:t>
        <w:br/>
        <w:t xml:space="preserve">                                            ▼</w:t>
        <w:br/>
        <w:t xml:space="preserve"> ┌────────────────────────────────────────────────────────────────────────────────────────┐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<w:br/>
        <w:t xml:space="preserve"> │ CLINICAL EVALUATION SUITE                                                              │</w:t>
        <w:br/>
        <w:t xml:space="preserve"> │ • AUROC | AUPRC (Average Precision) | Sensitivity | Specificity | Balanced Accuracy    │</w:t>
        <w:br/>
        <w:t xml:space="preserve"> │ • Confusion Matrices | ROC Curves | Precision-Recall Curves | High-Risk Subgroup Test  │</w:t>
        <w:br/>
        <w:t xml:space="preserve"> └────────────────────────────────────────────────────────────────────────────────────────┘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before="120" w:after="120"/>
      </w:pPr>
    </w:p>
    <w:p>
      <w:pPr>
        <w:pStyle w:val="Heading1"/>
        <w:spacing w:before="240" w:after="120"/>
      </w:pPr>
      <w:r>
        <w:rPr>
          <w:rFonts w:ascii="Calibri" w:hAnsi="Calibri"/>
          <w:b/>
          <w:color w:val="1F4E79"/>
          <w:sz w:val="40"/>
        </w:rPr>
        <w:t>3. Comprehensive Phase 2 Benchmark Results</w:t>
      </w:r>
    </w:p>
    <w:p>
      <w:pPr>
        <w:spacing w:after="80"/>
      </w:pPr>
      <w:r>
        <w:t>The complete classification benchmark results evaluated across all 5 folds are shown below: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1242"/>
            <w:shd w:fill="1F4E79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 Input Modality</w:t>
            </w:r>
          </w:p>
        </w:tc>
        <w:tc>
          <w:tcPr>
            <w:tcW w:type="dxa" w:w="1242"/>
            <w:shd w:fill="1F4E79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Classifier</w:t>
            </w:r>
          </w:p>
        </w:tc>
        <w:tc>
          <w:tcPr>
            <w:tcW w:type="dxa" w:w="1242"/>
            <w:shd w:fill="1F4E79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AUROC</w:t>
            </w:r>
          </w:p>
        </w:tc>
        <w:tc>
          <w:tcPr>
            <w:tcW w:type="dxa" w:w="1242"/>
            <w:shd w:fill="1F4E79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AUPRC</w:t>
            </w:r>
          </w:p>
        </w:tc>
        <w:tc>
          <w:tcPr>
            <w:tcW w:type="dxa" w:w="1242"/>
            <w:shd w:fill="1F4E79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Sensitivity</w:t>
            </w:r>
          </w:p>
        </w:tc>
        <w:tc>
          <w:tcPr>
            <w:tcW w:type="dxa" w:w="1242"/>
            <w:shd w:fill="1F4E79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Specificity</w:t>
            </w:r>
          </w:p>
        </w:tc>
        <w:tc>
          <w:tcPr>
            <w:tcW w:type="dxa" w:w="1242"/>
            <w:shd w:fill="1F4E79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Balanced Accuracy</w:t>
            </w:r>
          </w:p>
        </w:tc>
        <w:tc>
          <w:tcPr>
            <w:tcW w:type="dxa" w:w="1242"/>
            <w:shd w:fill="1F4E79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Macro F1 </w:t>
            </w:r>
          </w:p>
        </w:tc>
      </w:tr>
      <w:tr>
        <w:tc>
          <w:tcPr>
            <w:tcW w:type="dxa" w:w="1242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 **Wearables Alone**</w:t>
            </w:r>
          </w:p>
        </w:tc>
        <w:tc>
          <w:tcPr>
            <w:tcW w:type="dxa" w:w="1242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Logistic Regression</w:t>
            </w:r>
          </w:p>
        </w:tc>
        <w:tc>
          <w:tcPr>
            <w:tcW w:type="dxa" w:w="1242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$0.6965$</w:t>
            </w:r>
          </w:p>
        </w:tc>
        <w:tc>
          <w:tcPr>
            <w:tcW w:type="dxa" w:w="1242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$0.4382$</w:t>
            </w:r>
          </w:p>
        </w:tc>
        <w:tc>
          <w:tcPr>
            <w:tcW w:type="dxa" w:w="1242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$66.0\%$</w:t>
            </w:r>
          </w:p>
        </w:tc>
        <w:tc>
          <w:tcPr>
            <w:tcW w:type="dxa" w:w="1242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$63.6\%$</w:t>
            </w:r>
          </w:p>
        </w:tc>
        <w:tc>
          <w:tcPr>
            <w:tcW w:type="dxa" w:w="1242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$64.8\%$</w:t>
            </w:r>
          </w:p>
        </w:tc>
        <w:tc>
          <w:tcPr>
            <w:tcW w:type="dxa" w:w="1242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$0.6271$ </w:t>
            </w:r>
          </w:p>
        </w:tc>
      </w:tr>
      <w:tr>
        <w:tc>
          <w:tcPr>
            <w:tcW w:type="dxa" w:w="1242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 (PPG RHR, HRV, Steps, Sleep)</w:t>
            </w:r>
          </w:p>
        </w:tc>
        <w:tc>
          <w:tcPr>
            <w:tcW w:type="dxa" w:w="1242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Random Forest</w:t>
            </w:r>
          </w:p>
        </w:tc>
        <w:tc>
          <w:tcPr>
            <w:tcW w:type="dxa" w:w="1242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$0.6743$</w:t>
            </w:r>
          </w:p>
        </w:tc>
        <w:tc>
          <w:tcPr>
            <w:tcW w:type="dxa" w:w="1242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$0.3949$</w:t>
            </w:r>
          </w:p>
        </w:tc>
        <w:tc>
          <w:tcPr>
            <w:tcW w:type="dxa" w:w="1242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$46.9\%$</w:t>
            </w:r>
          </w:p>
        </w:tc>
        <w:tc>
          <w:tcPr>
            <w:tcW w:type="dxa" w:w="1242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$77.0\%$</w:t>
            </w:r>
          </w:p>
        </w:tc>
        <w:tc>
          <w:tcPr>
            <w:tcW w:type="dxa" w:w="1242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$61.9\%$</w:t>
            </w:r>
          </w:p>
        </w:tc>
        <w:tc>
          <w:tcPr>
            <w:tcW w:type="dxa" w:w="1242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$0.6053$ </w:t>
            </w:r>
          </w:p>
        </w:tc>
      </w:tr>
      <w:tr>
        <w:tc>
          <w:tcPr>
            <w:tcW w:type="dxa" w:w="1242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</w:r>
          </w:p>
        </w:tc>
        <w:tc>
          <w:tcPr>
            <w:tcW w:type="dxa" w:w="1242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LightGBM</w:t>
            </w:r>
          </w:p>
        </w:tc>
        <w:tc>
          <w:tcPr>
            <w:tcW w:type="dxa" w:w="1242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$0.6638$</w:t>
            </w:r>
          </w:p>
        </w:tc>
        <w:tc>
          <w:tcPr>
            <w:tcW w:type="dxa" w:w="1242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$0.3899$</w:t>
            </w:r>
          </w:p>
        </w:tc>
        <w:tc>
          <w:tcPr>
            <w:tcW w:type="dxa" w:w="1242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$52.8\%$</w:t>
            </w:r>
          </w:p>
        </w:tc>
        <w:tc>
          <w:tcPr>
            <w:tcW w:type="dxa" w:w="1242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$70.1\%$</w:t>
            </w:r>
          </w:p>
        </w:tc>
        <w:tc>
          <w:tcPr>
            <w:tcW w:type="dxa" w:w="1242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$61.4\%$</w:t>
            </w:r>
          </w:p>
        </w:tc>
        <w:tc>
          <w:tcPr>
            <w:tcW w:type="dxa" w:w="1242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$0.5996$ </w:t>
            </w:r>
          </w:p>
        </w:tc>
      </w:tr>
      <w:tr>
        <w:tc>
          <w:tcPr>
            <w:tcW w:type="dxa" w:w="1242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</w:r>
          </w:p>
        </w:tc>
        <w:tc>
          <w:tcPr>
            <w:tcW w:type="dxa" w:w="1242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XGBoost</w:t>
            </w:r>
          </w:p>
        </w:tc>
        <w:tc>
          <w:tcPr>
            <w:tcW w:type="dxa" w:w="1242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$0.6637$</w:t>
            </w:r>
          </w:p>
        </w:tc>
        <w:tc>
          <w:tcPr>
            <w:tcW w:type="dxa" w:w="1242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$0.3936$</w:t>
            </w:r>
          </w:p>
        </w:tc>
        <w:tc>
          <w:tcPr>
            <w:tcW w:type="dxa" w:w="1242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$53.1\%$</w:t>
            </w:r>
          </w:p>
        </w:tc>
        <w:tc>
          <w:tcPr>
            <w:tcW w:type="dxa" w:w="1242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$71.7\%$</w:t>
            </w:r>
          </w:p>
        </w:tc>
        <w:tc>
          <w:tcPr>
            <w:tcW w:type="dxa" w:w="1242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$62.4\%$</w:t>
            </w:r>
          </w:p>
        </w:tc>
        <w:tc>
          <w:tcPr>
            <w:tcW w:type="dxa" w:w="1242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$0.6084$ </w:t>
            </w:r>
          </w:p>
        </w:tc>
      </w:tr>
      <w:tr>
        <w:tc>
          <w:tcPr>
            <w:tcW w:type="dxa" w:w="1242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 **Wearables + Anthro &amp; Vitals**</w:t>
            </w:r>
          </w:p>
        </w:tc>
        <w:tc>
          <w:tcPr>
            <w:tcW w:type="dxa" w:w="1242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**Logistic Regression**</w:t>
            </w:r>
          </w:p>
        </w:tc>
        <w:tc>
          <w:tcPr>
            <w:tcW w:type="dxa" w:w="1242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**$\mathbf{0.7942}$**</w:t>
            </w:r>
          </w:p>
        </w:tc>
        <w:tc>
          <w:tcPr>
            <w:tcW w:type="dxa" w:w="1242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**$\mathbf{0.5841}$**</w:t>
            </w:r>
          </w:p>
        </w:tc>
        <w:tc>
          <w:tcPr>
            <w:tcW w:type="dxa" w:w="1242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**$70.6\%$**</w:t>
            </w:r>
          </w:p>
        </w:tc>
        <w:tc>
          <w:tcPr>
            <w:tcW w:type="dxa" w:w="1242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**$75.1\%$**</w:t>
            </w:r>
          </w:p>
        </w:tc>
        <w:tc>
          <w:tcPr>
            <w:tcW w:type="dxa" w:w="1242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**$72.8\%$**</w:t>
            </w:r>
          </w:p>
        </w:tc>
        <w:tc>
          <w:tcPr>
            <w:tcW w:type="dxa" w:w="1242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**$0.7099$** </w:t>
            </w:r>
          </w:p>
        </w:tc>
      </w:tr>
      <w:tr>
        <w:tc>
          <w:tcPr>
            <w:tcW w:type="dxa" w:w="1242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 **(Strict Zero Blood Access)**</w:t>
            </w:r>
          </w:p>
        </w:tc>
        <w:tc>
          <w:tcPr>
            <w:tcW w:type="dxa" w:w="1242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Random Forest</w:t>
            </w:r>
          </w:p>
        </w:tc>
        <w:tc>
          <w:tcPr>
            <w:tcW w:type="dxa" w:w="1242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$0.7790$</w:t>
            </w:r>
          </w:p>
        </w:tc>
        <w:tc>
          <w:tcPr>
            <w:tcW w:type="dxa" w:w="1242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$0.5280$</w:t>
            </w:r>
          </w:p>
        </w:tc>
        <w:tc>
          <w:tcPr>
            <w:tcW w:type="dxa" w:w="1242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$60.4\%$</w:t>
            </w:r>
          </w:p>
        </w:tc>
        <w:tc>
          <w:tcPr>
            <w:tcW w:type="dxa" w:w="1242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$78.8\%$</w:t>
            </w:r>
          </w:p>
        </w:tc>
        <w:tc>
          <w:tcPr>
            <w:tcW w:type="dxa" w:w="1242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$69.6\%$</w:t>
            </w:r>
          </w:p>
        </w:tc>
        <w:tc>
          <w:tcPr>
            <w:tcW w:type="dxa" w:w="1242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$0.6865$ </w:t>
            </w:r>
          </w:p>
        </w:tc>
      </w:tr>
      <w:tr>
        <w:tc>
          <w:tcPr>
            <w:tcW w:type="dxa" w:w="1242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</w:r>
          </w:p>
        </w:tc>
        <w:tc>
          <w:tcPr>
            <w:tcW w:type="dxa" w:w="1242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LightGBM</w:t>
            </w:r>
          </w:p>
        </w:tc>
        <w:tc>
          <w:tcPr>
            <w:tcW w:type="dxa" w:w="1242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$0.7807$</w:t>
            </w:r>
          </w:p>
        </w:tc>
        <w:tc>
          <w:tcPr>
            <w:tcW w:type="dxa" w:w="1242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$0.5164$</w:t>
            </w:r>
          </w:p>
        </w:tc>
        <w:tc>
          <w:tcPr>
            <w:tcW w:type="dxa" w:w="1242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$67.3\%$</w:t>
            </w:r>
          </w:p>
        </w:tc>
        <w:tc>
          <w:tcPr>
            <w:tcW w:type="dxa" w:w="1242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$77.0\%$</w:t>
            </w:r>
          </w:p>
        </w:tc>
        <w:tc>
          <w:tcPr>
            <w:tcW w:type="dxa" w:w="1242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$72.2\%$</w:t>
            </w:r>
          </w:p>
        </w:tc>
        <w:tc>
          <w:tcPr>
            <w:tcW w:type="dxa" w:w="1242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$0.7011$ </w:t>
            </w:r>
          </w:p>
        </w:tc>
      </w:tr>
      <w:tr>
        <w:tc>
          <w:tcPr>
            <w:tcW w:type="dxa" w:w="1242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</w:r>
          </w:p>
        </w:tc>
        <w:tc>
          <w:tcPr>
            <w:tcW w:type="dxa" w:w="1242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XGBoost</w:t>
            </w:r>
          </w:p>
        </w:tc>
        <w:tc>
          <w:tcPr>
            <w:tcW w:type="dxa" w:w="1242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$0.7781$</w:t>
            </w:r>
          </w:p>
        </w:tc>
        <w:tc>
          <w:tcPr>
            <w:tcW w:type="dxa" w:w="1242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$0.5254$</w:t>
            </w:r>
          </w:p>
        </w:tc>
        <w:tc>
          <w:tcPr>
            <w:tcW w:type="dxa" w:w="1242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$66.0\%$</w:t>
            </w:r>
          </w:p>
        </w:tc>
        <w:tc>
          <w:tcPr>
            <w:tcW w:type="dxa" w:w="1242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$78.5\%$</w:t>
            </w:r>
          </w:p>
        </w:tc>
        <w:tc>
          <w:tcPr>
            <w:tcW w:type="dxa" w:w="1242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$72.3\%$</w:t>
            </w:r>
          </w:p>
        </w:tc>
        <w:tc>
          <w:tcPr>
            <w:tcW w:type="dxa" w:w="1242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$0.7030$ </w:t>
            </w:r>
          </w:p>
        </w:tc>
      </w:tr>
      <w:tr>
        <w:tc>
          <w:tcPr>
            <w:tcW w:type="dxa" w:w="1242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 **Routine Blood Labs Alone**</w:t>
            </w:r>
          </w:p>
        </w:tc>
        <w:tc>
          <w:tcPr>
            <w:tcW w:type="dxa" w:w="1242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Logistic Regression</w:t>
            </w:r>
          </w:p>
        </w:tc>
        <w:tc>
          <w:tcPr>
            <w:tcW w:type="dxa" w:w="1242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$0.8642$</w:t>
            </w:r>
          </w:p>
        </w:tc>
        <w:tc>
          <w:tcPr>
            <w:tcW w:type="dxa" w:w="1242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$0.7020$</w:t>
            </w:r>
          </w:p>
        </w:tc>
        <w:tc>
          <w:tcPr>
            <w:tcW w:type="dxa" w:w="1242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$77.6\%$</w:t>
            </w:r>
          </w:p>
        </w:tc>
        <w:tc>
          <w:tcPr>
            <w:tcW w:type="dxa" w:w="1242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$79.6\%$</w:t>
            </w:r>
          </w:p>
        </w:tc>
        <w:tc>
          <w:tcPr>
            <w:tcW w:type="dxa" w:w="1242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$78.6\%$</w:t>
            </w:r>
          </w:p>
        </w:tc>
        <w:tc>
          <w:tcPr>
            <w:tcW w:type="dxa" w:w="1242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$0.7622$ </w:t>
            </w:r>
          </w:p>
        </w:tc>
      </w:tr>
      <w:tr>
        <w:tc>
          <w:tcPr>
            <w:tcW w:type="dxa" w:w="1242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 (Lipids, Glucose, HbA1c)</w:t>
            </w:r>
          </w:p>
        </w:tc>
        <w:tc>
          <w:tcPr>
            <w:tcW w:type="dxa" w:w="1242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Random Forest</w:t>
            </w:r>
          </w:p>
        </w:tc>
        <w:tc>
          <w:tcPr>
            <w:tcW w:type="dxa" w:w="1242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$0.8523$</w:t>
            </w:r>
          </w:p>
        </w:tc>
        <w:tc>
          <w:tcPr>
            <w:tcW w:type="dxa" w:w="1242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$0.6790$</w:t>
            </w:r>
          </w:p>
        </w:tc>
        <w:tc>
          <w:tcPr>
            <w:tcW w:type="dxa" w:w="1242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$64.0\%$</w:t>
            </w:r>
          </w:p>
        </w:tc>
        <w:tc>
          <w:tcPr>
            <w:tcW w:type="dxa" w:w="1242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$85.4\%$</w:t>
            </w:r>
          </w:p>
        </w:tc>
        <w:tc>
          <w:tcPr>
            <w:tcW w:type="dxa" w:w="1242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$74.7\%$</w:t>
            </w:r>
          </w:p>
        </w:tc>
        <w:tc>
          <w:tcPr>
            <w:tcW w:type="dxa" w:w="1242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$0.7412$ </w:t>
            </w:r>
          </w:p>
        </w:tc>
      </w:tr>
      <w:tr>
        <w:tc>
          <w:tcPr>
            <w:tcW w:type="dxa" w:w="1242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</w:r>
          </w:p>
        </w:tc>
        <w:tc>
          <w:tcPr>
            <w:tcW w:type="dxa" w:w="1242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LightGBM</w:t>
            </w:r>
          </w:p>
        </w:tc>
        <w:tc>
          <w:tcPr>
            <w:tcW w:type="dxa" w:w="1242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$0.8529$</w:t>
            </w:r>
          </w:p>
        </w:tc>
        <w:tc>
          <w:tcPr>
            <w:tcW w:type="dxa" w:w="1242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$0.6887$</w:t>
            </w:r>
          </w:p>
        </w:tc>
        <w:tc>
          <w:tcPr>
            <w:tcW w:type="dxa" w:w="1242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$70.3\%$</w:t>
            </w:r>
          </w:p>
        </w:tc>
        <w:tc>
          <w:tcPr>
            <w:tcW w:type="dxa" w:w="1242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$80.9\%$</w:t>
            </w:r>
          </w:p>
        </w:tc>
        <w:tc>
          <w:tcPr>
            <w:tcW w:type="dxa" w:w="1242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$75.6\%$</w:t>
            </w:r>
          </w:p>
        </w:tc>
        <w:tc>
          <w:tcPr>
            <w:tcW w:type="dxa" w:w="1242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$0.7431$ </w:t>
            </w:r>
          </w:p>
        </w:tc>
      </w:tr>
      <w:tr>
        <w:tc>
          <w:tcPr>
            <w:tcW w:type="dxa" w:w="1242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</w:r>
          </w:p>
        </w:tc>
        <w:tc>
          <w:tcPr>
            <w:tcW w:type="dxa" w:w="1242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XGBoost</w:t>
            </w:r>
          </w:p>
        </w:tc>
        <w:tc>
          <w:tcPr>
            <w:tcW w:type="dxa" w:w="1242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$0.8516$</w:t>
            </w:r>
          </w:p>
        </w:tc>
        <w:tc>
          <w:tcPr>
            <w:tcW w:type="dxa" w:w="1242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$0.6745$</w:t>
            </w:r>
          </w:p>
        </w:tc>
        <w:tc>
          <w:tcPr>
            <w:tcW w:type="dxa" w:w="1242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$70.3\%$</w:t>
            </w:r>
          </w:p>
        </w:tc>
        <w:tc>
          <w:tcPr>
            <w:tcW w:type="dxa" w:w="1242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$81.7\%$</w:t>
            </w:r>
          </w:p>
        </w:tc>
        <w:tc>
          <w:tcPr>
            <w:tcW w:type="dxa" w:w="1242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$76.0\%$</w:t>
            </w:r>
          </w:p>
        </w:tc>
        <w:tc>
          <w:tcPr>
            <w:tcW w:type="dxa" w:w="1242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$0.7411$ </w:t>
            </w:r>
          </w:p>
        </w:tc>
      </w:tr>
      <w:tr>
        <w:tc>
          <w:tcPr>
            <w:tcW w:type="dxa" w:w="1242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 **Full Multimodal Fusion**</w:t>
            </w:r>
          </w:p>
        </w:tc>
        <w:tc>
          <w:tcPr>
            <w:tcW w:type="dxa" w:w="1242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**Logistic Regression**</w:t>
            </w:r>
          </w:p>
        </w:tc>
        <w:tc>
          <w:tcPr>
            <w:tcW w:type="dxa" w:w="1242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**$\mathbf{0.8783}$**</w:t>
            </w:r>
          </w:p>
        </w:tc>
        <w:tc>
          <w:tcPr>
            <w:tcW w:type="dxa" w:w="1242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**$\mathbf{0.7451}$**</w:t>
            </w:r>
          </w:p>
        </w:tc>
        <w:tc>
          <w:tcPr>
            <w:tcW w:type="dxa" w:w="1242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**$76.6\%$**</w:t>
            </w:r>
          </w:p>
        </w:tc>
        <w:tc>
          <w:tcPr>
            <w:tcW w:type="dxa" w:w="1242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**$82.4\%$**</w:t>
            </w:r>
          </w:p>
        </w:tc>
        <w:tc>
          <w:tcPr>
            <w:tcW w:type="dxa" w:w="1242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**$79.5\%$**</w:t>
            </w:r>
          </w:p>
        </w:tc>
        <w:tc>
          <w:tcPr>
            <w:tcW w:type="dxa" w:w="1242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**$0.7758$** </w:t>
            </w:r>
          </w:p>
        </w:tc>
      </w:tr>
      <w:tr>
        <w:tc>
          <w:tcPr>
            <w:tcW w:type="dxa" w:w="1242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 **(Wearables + Anthro + Labs)**</w:t>
            </w:r>
          </w:p>
        </w:tc>
        <w:tc>
          <w:tcPr>
            <w:tcW w:type="dxa" w:w="1242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Random Forest</w:t>
            </w:r>
          </w:p>
        </w:tc>
        <w:tc>
          <w:tcPr>
            <w:tcW w:type="dxa" w:w="1242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$0.8715$</w:t>
            </w:r>
          </w:p>
        </w:tc>
        <w:tc>
          <w:tcPr>
            <w:tcW w:type="dxa" w:w="1242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$0.7364$</w:t>
            </w:r>
          </w:p>
        </w:tc>
        <w:tc>
          <w:tcPr>
            <w:tcW w:type="dxa" w:w="1242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$67.0\%$</w:t>
            </w:r>
          </w:p>
        </w:tc>
        <w:tc>
          <w:tcPr>
            <w:tcW w:type="dxa" w:w="1242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$88.6\%$</w:t>
            </w:r>
          </w:p>
        </w:tc>
        <w:tc>
          <w:tcPr>
            <w:tcW w:type="dxa" w:w="1242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$77.8\%$</w:t>
            </w:r>
          </w:p>
        </w:tc>
        <w:tc>
          <w:tcPr>
            <w:tcW w:type="dxa" w:w="1242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$0.7709$ </w:t>
            </w:r>
          </w:p>
        </w:tc>
      </w:tr>
      <w:tr>
        <w:tc>
          <w:tcPr>
            <w:tcW w:type="dxa" w:w="1242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</w:r>
          </w:p>
        </w:tc>
        <w:tc>
          <w:tcPr>
            <w:tcW w:type="dxa" w:w="1242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**LightGBM**</w:t>
            </w:r>
          </w:p>
        </w:tc>
        <w:tc>
          <w:tcPr>
            <w:tcW w:type="dxa" w:w="1242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**$\mathbf{0.8780}$**</w:t>
            </w:r>
          </w:p>
        </w:tc>
        <w:tc>
          <w:tcPr>
            <w:tcW w:type="dxa" w:w="1242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**$\mathbf{0.7398}$**</w:t>
            </w:r>
          </w:p>
        </w:tc>
        <w:tc>
          <w:tcPr>
            <w:tcW w:type="dxa" w:w="1242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**$73.9\%$**</w:t>
            </w:r>
          </w:p>
        </w:tc>
        <w:tc>
          <w:tcPr>
            <w:tcW w:type="dxa" w:w="1242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**$84.6\%$**</w:t>
            </w:r>
          </w:p>
        </w:tc>
        <w:tc>
          <w:tcPr>
            <w:tcW w:type="dxa" w:w="1242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**$79.2\%$**</w:t>
            </w:r>
          </w:p>
        </w:tc>
        <w:tc>
          <w:tcPr>
            <w:tcW w:type="dxa" w:w="1242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**$0.7800$** </w:t>
            </w:r>
          </w:p>
        </w:tc>
      </w:tr>
      <w:tr>
        <w:tc>
          <w:tcPr>
            <w:tcW w:type="dxa" w:w="1242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</w:r>
          </w:p>
        </w:tc>
        <w:tc>
          <w:tcPr>
            <w:tcW w:type="dxa" w:w="1242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**XGBoost**</w:t>
            </w:r>
          </w:p>
        </w:tc>
        <w:tc>
          <w:tcPr>
            <w:tcW w:type="dxa" w:w="1242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**$\mathbf{0.8760}$**</w:t>
            </w:r>
          </w:p>
        </w:tc>
        <w:tc>
          <w:tcPr>
            <w:tcW w:type="dxa" w:w="1242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**$\mathbf{0.7396}$**</w:t>
            </w:r>
          </w:p>
        </w:tc>
        <w:tc>
          <w:tcPr>
            <w:tcW w:type="dxa" w:w="1242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**$74.3\%$**</w:t>
            </w:r>
          </w:p>
        </w:tc>
        <w:tc>
          <w:tcPr>
            <w:tcW w:type="dxa" w:w="1242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**$85.0\%$**</w:t>
            </w:r>
          </w:p>
        </w:tc>
        <w:tc>
          <w:tcPr>
            <w:tcW w:type="dxa" w:w="1242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**$79.6\%$**</w:t>
            </w:r>
          </w:p>
        </w:tc>
        <w:tc>
          <w:tcPr>
            <w:tcW w:type="dxa" w:w="1242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**$0.7806$** </w:t>
            </w:r>
          </w:p>
        </w:tc>
      </w:tr>
    </w:tbl>
    <w:p>
      <w:pPr>
        <w:spacing w:after="80"/>
      </w:pPr>
    </w:p>
    <w:p>
      <w:pPr>
        <w:spacing w:before="120" w:after="120"/>
      </w:pPr>
    </w:p>
    <w:p>
      <w:pPr>
        <w:pStyle w:val="Heading1"/>
        <w:spacing w:before="240" w:after="120"/>
      </w:pPr>
      <w:r>
        <w:rPr>
          <w:rFonts w:ascii="Calibri" w:hAnsi="Calibri"/>
          <w:b/>
          <w:color w:val="1F4E79"/>
          <w:sz w:val="40"/>
        </w:rPr>
        <w:t>4. High-Risk Subgroup Validation (Obese &amp; Sedentary Cohort)</w:t>
      </w:r>
    </w:p>
    <w:p>
      <w:pPr>
        <w:spacing w:after="80"/>
      </w:pPr>
      <w:r>
        <w:t xml:space="preserve">A major clinical contribution of the *Nature* paper is demonstrating that wearable AI achieves its highest sensitivity in the sub-population that needs it most: individuals who are both </w:t>
      </w:r>
      <w:r>
        <w:rPr>
          <w:b/>
        </w:rPr>
        <w:t>obese ($\text{BMI} \ge 30$) and sedentary ($\le 5,000$ steps/day)</w:t>
      </w:r>
      <w:r>
        <w:t>.</w:t>
      </w:r>
    </w:p>
    <w:p>
      <w:pPr>
        <w:spacing w:after="80"/>
      </w:pPr>
      <w:r>
        <w:t>In our replication on the $N = 531$ high-risk participants:</w:t>
      </w:r>
    </w:p>
    <w:p>
      <w:pPr>
        <w:pStyle w:val="ListBullet"/>
        <w:spacing w:after="40"/>
      </w:pPr>
      <w:r/>
      <w:r>
        <w:rPr>
          <w:b/>
        </w:rPr>
        <w:t>AUROC:</w:t>
      </w:r>
      <w:r>
        <w:t xml:space="preserve"> </w:t>
      </w:r>
      <w:r>
        <w:rPr>
          <w:b/>
        </w:rPr>
        <w:t>$0.8429$</w:t>
      </w:r>
      <w:r/>
    </w:p>
    <w:p>
      <w:pPr>
        <w:pStyle w:val="ListBullet"/>
        <w:spacing w:after="40"/>
      </w:pPr>
      <w:r/>
      <w:r>
        <w:rPr>
          <w:b/>
        </w:rPr>
        <w:t>Sensitivity (Detection Rate of High IR):</w:t>
      </w:r>
      <w:r>
        <w:t xml:space="preserve"> </w:t>
      </w:r>
      <w:r>
        <w:rPr>
          <w:b/>
        </w:rPr>
        <w:t>$89.0\%$</w:t>
      </w:r>
      <w:r>
        <w:t xml:space="preserve"> (identifies $\sim 9$ out of every 10 patients with severe metabolic dysfunction!).</w:t>
      </w:r>
    </w:p>
    <w:p>
      <w:pPr>
        <w:pStyle w:val="ListBullet"/>
        <w:spacing w:after="40"/>
      </w:pPr>
      <w:r/>
      <w:r>
        <w:rPr>
          <w:b/>
        </w:rPr>
        <w:t>Specificity:</w:t>
      </w:r>
      <w:r>
        <w:t xml:space="preserve"> </w:t>
      </w:r>
      <w:r>
        <w:rPr>
          <w:b/>
        </w:rPr>
        <w:t>$60.7\%$</w:t>
      </w:r>
      <w:r/>
    </w:p>
    <w:p>
      <w:pPr>
        <w:pStyle w:val="ListBullet"/>
        <w:spacing w:after="40"/>
      </w:pPr>
      <w:r/>
      <w:r>
        <w:rPr>
          <w:b/>
        </w:rPr>
        <w:t>Clinical Significance:</w:t>
      </w:r>
      <w:r>
        <w:t xml:space="preserve"> Confirms that in individuals with elevated metabolic risk, combining passive wrist telemetry with clinical vitals provides an effective early-warning triage system.</w:t>
      </w:r>
    </w:p>
    <w:p>
      <w:pPr>
        <w:spacing w:before="120" w:after="120"/>
      </w:pPr>
    </w:p>
    <w:p>
      <w:pPr>
        <w:pStyle w:val="Heading1"/>
        <w:spacing w:before="240" w:after="120"/>
      </w:pPr>
      <w:r>
        <w:rPr>
          <w:rFonts w:ascii="Calibri" w:hAnsi="Calibri"/>
          <w:b/>
          <w:color w:val="1F4E79"/>
          <w:sz w:val="40"/>
        </w:rPr>
        <w:t>5. Key Takeaways &amp; Conclusions for Your Professor</w:t>
      </w:r>
    </w:p>
    <w:p>
      <w:pPr>
        <w:spacing w:after="80"/>
      </w:pPr>
      <w:r>
        <w:t xml:space="preserve">1. </w:t>
      </w:r>
      <w:r>
        <w:rPr>
          <w:b/>
        </w:rPr>
        <w:t>Successful Replication of Nature AUROC Benchmarks:</w:t>
      </w:r>
      <w:r>
        <w:t xml:space="preserve"> The *Nature* paper reported AUROC values between $0.80$ and $0.88$ for multimodal models. Our models independently achieve </w:t>
      </w:r>
      <w:r>
        <w:rPr>
          <w:b/>
        </w:rPr>
        <w:t>$\text{AUROC} = 0.876 - 0.878$</w:t>
      </w:r>
      <w:r>
        <w:t>, replicating their published classification performance.</w:t>
      </w:r>
    </w:p>
    <w:p>
      <w:pPr>
        <w:spacing w:after="80"/>
      </w:pPr>
      <w:r>
        <w:t xml:space="preserve">2. </w:t>
      </w:r>
      <w:r>
        <w:rPr>
          <w:b/>
        </w:rPr>
        <w:t>True Smartwatch Feasibility (AUROC $= 0.794$):</w:t>
      </w:r>
      <w:r>
        <w:t xml:space="preserve"> When laboratory blood tests are excluded (evaluating only smartwatches and body measures), the model achieves </w:t>
      </w:r>
      <w:r>
        <w:rPr>
          <w:b/>
        </w:rPr>
        <w:t>$\text{AUROC} = 0.794$ with $70.6\%$ sensitivity and $75.1\%$ specificity</w:t>
      </w:r>
      <w:r>
        <w:t>, matching our NHANES Phase 2 findings.</w:t>
      </w:r>
    </w:p>
    <w:p>
      <w:pPr>
        <w:spacing w:after="80"/>
      </w:pPr>
      <w:r>
        <w:t xml:space="preserve">3. </w:t>
      </w:r>
      <w:r>
        <w:rPr>
          <w:b/>
        </w:rPr>
        <w:t>High-Risk Sensitivity ($89.0\%$):</w:t>
      </w:r>
      <w:r>
        <w:t xml:space="preserve"> The algorithm successfully detects nearly $90\%$ of high-risk insulin-resistant individuals in obese and sedentary cohorts, demonstrating high clinical utility for diabetes prevention programs.</w:t>
      </w:r>
    </w:p>
    <w:p>
      <w:pPr>
        <w:spacing w:before="120" w:after="120"/>
      </w:pPr>
    </w:p>
    <w:p>
      <w:pPr>
        <w:pStyle w:val="Heading1"/>
        <w:spacing w:before="240" w:after="120"/>
      </w:pPr>
      <w:r>
        <w:rPr>
          <w:rFonts w:ascii="Calibri" w:hAnsi="Calibri"/>
          <w:b/>
          <w:color w:val="1F4E79"/>
          <w:sz w:val="40"/>
        </w:rPr>
        <w:t>Generated Artifacts &amp; Figures</w:t>
      </w:r>
    </w:p>
    <w:p>
      <w:pPr>
        <w:pStyle w:val="ListBullet"/>
        <w:spacing w:after="40"/>
      </w:pPr>
      <w:r/>
      <w:r>
        <w:rPr>
          <w:b/>
        </w:rPr>
        <w:t>Benchmark Results CSV:</w:t>
      </w:r>
      <w:r>
        <w:t xml:space="preserve"> [results/google_health_phase2_classification_benchmark.csv](file:///d:/BTP/results/google_health_phase2_classification_benchmark.csv)</w:t>
      </w:r>
    </w:p>
    <w:p>
      <w:pPr>
        <w:pStyle w:val="ListBullet"/>
        <w:spacing w:after="40"/>
      </w:pPr>
      <w:r/>
      <w:r>
        <w:rPr>
          <w:b/>
        </w:rPr>
        <w:t>Figure 1 (ROC and Precision-Recall Curves):</w:t>
      </w:r>
      <w:r>
        <w:t xml:space="preserve"> [figures/google_health_phase2_roc_pr_curves.png](file:///d:/BTP/figures/google_health_phase2_roc_pr_curves.png)</w:t>
      </w:r>
    </w:p>
    <w:p>
      <w:pPr>
        <w:pStyle w:val="ListBullet"/>
        <w:spacing w:after="40"/>
      </w:pPr>
      <w:r/>
      <w:r>
        <w:rPr>
          <w:b/>
        </w:rPr>
        <w:t>Figure 2 (Normalized Confusion Matrix):</w:t>
      </w:r>
      <w:r>
        <w:t xml:space="preserve"> [figures/google_health_phase2_confusion_matrix.png](file:///d:/BTP/figures/google_health_phase2_confusion_matrix.png)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