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Google Health Benchmark — Phase 3: Deep Multimodal Latent Encoder &amp; Multi-Task Learning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Shared Latent Representation Learning ($z \in \mathbb{R}^{32}$) for Joint Regression and Classification</w:t>
      </w:r>
    </w:p>
    <w:p>
      <w:pPr>
        <w:spacing w:after="80"/>
      </w:pPr>
      <w:r/>
      <w:r>
        <w:rPr>
          <w:b/>
        </w:rPr>
        <w:t>Project Title:</w:t>
      </w:r>
      <w:r>
        <w:t xml:space="preserve"> Wearable AI for Early Metabolic Risk Screening &amp; Continuous HOMA-IR Estimation</w:t>
      </w:r>
    </w:p>
    <w:p>
      <w:pPr>
        <w:spacing w:after="80"/>
      </w:pPr>
      <w:r/>
      <w:r>
        <w:rPr>
          <w:b/>
        </w:rPr>
        <w:t>Dataset:</w:t>
      </w:r>
      <w:r>
        <w:t xml:space="preserve"> Google Health WEAR-ME Cohort ($N = 1,165$ Multi-Ethnic Adults)</w:t>
      </w:r>
    </w:p>
    <w:p>
      <w:pPr>
        <w:spacing w:after="80"/>
      </w:pPr>
      <w:r/>
      <w:r>
        <w:rPr>
          <w:b/>
        </w:rPr>
        <w:t>Deep Architecture:</w:t>
      </w:r>
      <w:r>
        <w:t xml:space="preserve"> Multimodal Latent Autoencoder with Dual Projection Heads (PyTorch)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Date:</w:t>
      </w:r>
      <w:r>
        <w:t xml:space="preserve"> October 2026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1. Executive Summary &amp; Core Results</w:t>
      </w:r>
    </w:p>
    <w:p>
      <w:pPr>
        <w:spacing w:after="80"/>
      </w:pPr>
      <w:r>
        <w:t xml:space="preserve">In Phase 3, we built the unified </w:t>
      </w:r>
      <w:r>
        <w:rPr>
          <w:b/>
        </w:rPr>
        <w:t>Multimodal Encoder</w:t>
      </w:r>
      <w:r>
        <w:t xml:space="preserve"> architecture requested in your workflow plan: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WEARABLE (PPG + ECG/HRV + Accelerometer) + CLINICAL COVARIATES</w:t>
        <w:br/>
        <w:t xml:space="preserve">                      │</w:t>
        <w:br/>
        <w:t xml:space="preserve">           [Multimodal Dense Encoder]</w:t>
        <w:br/>
        <w:t xml:space="preserve">                      │</w:t>
        <w:br/>
        <w:t xml:space="preserve">        Bottleneck Latent Space (z ∈ R^32)</w:t>
        <w:br/>
        <w:t xml:space="preserve">         ┌────────────┴────────────┐</w:t>
        <w:br/>
        <w:t xml:space="preserve">         ▼                         ▼</w:t>
        <w:br/>
        <w:t xml:space="preserve"> [Head 1: Regression]      [Head 2: Classification]</w:t>
        <w:br/>
        <w:t xml:space="preserve"> Continuous HOMA-IR        Low IR vs High IR</w:t>
      </w:r>
    </w:p>
    <w:p>
      <w:pPr>
        <w:spacing w:after="80"/>
      </w:pPr>
      <w:r>
        <w:t xml:space="preserve">Rather than training separate, disconnected models for regression and classification, we implemented a </w:t>
      </w:r>
      <w:r>
        <w:rPr>
          <w:b/>
        </w:rPr>
        <w:t>PyTorch Multi-Task Latent Encoder</w:t>
      </w:r>
      <w:r>
        <w:t xml:space="preserve"> that compresses the 39 multimodal physiological and clinical features into a dense, shared 32-dimensional bottleneck representation ($z \in \mathbb{R}^{32}$). Dual task-specific heads branch from this latent space to perform simultaneous continuous HOMA-IR prediction and discrete insulin resistance classification.</w:t>
      </w:r>
    </w:p>
    <w:p>
      <w:pPr>
        <w:spacing w:after="80"/>
      </w:pPr>
      <w:r>
        <w:t>Across strict 5-Fold Stratified Cross-Validation on all $N = 1,165$ participants:</w:t>
      </w:r>
    </w:p>
    <w:p>
      <w:pPr>
        <w:pStyle w:val="ListBullet"/>
        <w:spacing w:after="40"/>
      </w:pPr>
      <w:r/>
      <w:r>
        <w:rPr>
          <w:b/>
        </w:rPr>
        <w:t>Task 1 (Continuous HOMA-IR Regression):</w:t>
      </w:r>
      <w:r>
        <w:t xml:space="preserve"> Achieved </w:t>
      </w:r>
      <w:r>
        <w:rPr>
          <w:b/>
        </w:rPr>
        <w:t>$R^2 = \mathbf{0.4248}$</w:t>
      </w:r>
      <w:r>
        <w:t xml:space="preserve">, Pearson </w:t>
      </w:r>
      <w:r>
        <w:rPr>
          <w:b/>
        </w:rPr>
        <w:t>$r = \mathbf{0.6708}$</w:t>
      </w:r>
      <w:r>
        <w:t xml:space="preserve">, Spearman </w:t>
      </w:r>
      <w:r>
        <w:rPr>
          <w:b/>
        </w:rPr>
        <w:t>$\rho = \mathbf{0.7241}$</w:t>
      </w:r>
      <w:r>
        <w:t xml:space="preserve">, and </w:t>
      </w:r>
      <w:r>
        <w:rPr>
          <w:b/>
        </w:rPr>
        <w:t>$\text{MAE} = \mathbf{0.9516}$</w:t>
      </w:r>
      <w:r>
        <w:t>.</w:t>
      </w:r>
    </w:p>
    <w:p>
      <w:pPr>
        <w:pStyle w:val="ListBullet"/>
        <w:spacing w:after="40"/>
      </w:pPr>
      <w:r/>
      <w:r>
        <w:rPr>
          <w:b/>
        </w:rPr>
        <w:t>Task 2 (Binary Insulin Resistance Classification):</w:t>
      </w:r>
      <w:r>
        <w:t xml:space="preserve"> Achieved an </w:t>
      </w:r>
      <w:r>
        <w:rPr>
          <w:b/>
        </w:rPr>
        <w:t>$\text{AUROC} = \mathbf{0.8414}$</w:t>
      </w:r>
      <w:r>
        <w:t xml:space="preserve">, </w:t>
      </w:r>
      <w:r>
        <w:rPr>
          <w:b/>
        </w:rPr>
        <w:t>$\text{AUPRC} = \mathbf{0.6769}$</w:t>
      </w:r>
      <w:r>
        <w:t xml:space="preserve">, and </w:t>
      </w:r>
      <w:r>
        <w:rPr>
          <w:b/>
        </w:rPr>
        <w:t>Balanced Accuracy $= \mathbf{74.0\%}$</w:t>
      </w:r>
      <w:r>
        <w:t>.</w:t>
      </w:r>
    </w:p>
    <w:p>
      <w:pPr>
        <w:pStyle w:val="ListBullet"/>
        <w:spacing w:after="40"/>
      </w:pPr>
      <w:r/>
      <w:r>
        <w:rPr>
          <w:b/>
        </w:rPr>
        <w:t>Latent Space Separation:</w:t>
      </w:r>
      <w:r>
        <w:t xml:space="preserve"> Principal Component Analysis (PCA) of the shared bottleneck space ($z \in \mathbb{R}^{32}$) shows clear, continuous manifold separation between insulin-sensitive, impaired, and severely insulin-resistant individuals.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2. What We Did: Network Architecture &amp; Loss Formulation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PYTORCH MULTI-TASK ARCHITECTURE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INPUT TENSOR: x ∈ R^39                                                                 │</w:t>
        <w:br/>
        <w:t xml:space="preserve"> │ (Wearable PPG RHR + HRV + Steps + Sleep + Vitals + Routine Labs + Interaction Terms)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SHARED MULTIMODAL DENSE ENCODER                                                        │</w:t>
        <w:br/>
        <w:t xml:space="preserve"> │ • Linear(39 -&gt; 128) -&gt; BatchNorm1d -&gt; ReLU -&gt; Dropout(0.15)                           │</w:t>
        <w:br/>
        <w:t xml:space="preserve"> │ • Linear(128 -&gt; 64) -&gt; BatchNorm1d -&gt; ReLU -&gt; Dropout(0.15)                           │</w:t>
        <w:br/>
        <w:t xml:space="preserve"> │ • Linear(64 -&gt; 32)  -&gt; BatchNorm1d -&gt; ReLU                                     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SHARED BOTTLENECK EMBEDDING: z ∈ R^32                                           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┌──────────────────────┴──────────────────────┐</w:t>
        <w:br/>
        <w:t xml:space="preserve">                     ▼                                             ▼</w:t>
        <w:br/>
        <w:t xml:space="preserve"> ┌──────────────────────────────────────┐      ┌──────────────────────────────────────┐</w:t>
        <w:br/>
        <w:t xml:space="preserve"> │ TASK HEAD 1: CONTINUOUS REGRESSION   │      │ TASK HEAD 2: BINARY CLASSIFICATION   │</w:t>
        <w:br/>
        <w:t xml:space="preserve"> │ • Linear(32 -&gt; 16) -&gt; ReLU           │      │ • Linear(32 -&gt; 16) -&gt; ReLU           │</w:t>
        <w:br/>
        <w:t xml:space="preserve"> │ • Linear(16 -&gt; 1)                    │      │ • Linear(16 -&gt; 2)                    │</w:t>
        <w:br/>
        <w:t xml:space="preserve"> │ • Loss: Mean Squared Error (MSE)     │      │ • Loss: Cross-Entropy Loss           │</w:t>
        <w:br/>
        <w:t xml:space="preserve"> └──────────────────────────────────────┘      └──────────────────────────────────────┘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The Joint Multi-Task Objective Function:</w:t>
      </w:r>
    </w:p>
    <w:p>
      <w:pPr>
        <w:spacing w:after="80"/>
      </w:pPr>
      <w:r>
        <w:t>$$\mathcal{L}_{\text{total}} = \mathcal{L}_{\text{regression}} + \lambda \cdot \mathcal{L}_{\text{classification}}$$</w:t>
      </w:r>
    </w:p>
    <w:p>
      <w:pPr>
        <w:spacing w:after="80"/>
      </w:pPr>
      <w:r>
        <w:t>$$\mathcal{L}_{\text{total}} = \frac{1}{N} \sum_{i=1}^N (y_i - \hat{y}_i)^2 + 0.8 \cdot \left[ - \sum_{i=1}^N \sum_{c=1}^2 y_{i,c} \log(\hat{p}_{i,c}) \right]$$</w:t>
      </w:r>
    </w:p>
    <w:p>
      <w:pPr>
        <w:spacing w:after="80"/>
      </w:pPr>
      <w:r>
        <w:t xml:space="preserve">This joint optimization forces the shared encoder to learn latent representations that capture both </w:t>
      </w:r>
      <w:r>
        <w:rPr>
          <w:b/>
        </w:rPr>
        <w:t>global continuous metabolic slope</w:t>
      </w:r>
      <w:r>
        <w:t xml:space="preserve"> (regression) and </w:t>
      </w:r>
      <w:r>
        <w:rPr>
          <w:b/>
        </w:rPr>
        <w:t>sharp clinical decision boundaries</w:t>
      </w:r>
      <w:r>
        <w:t xml:space="preserve"> (classification).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3. Comprehensive Phase 3 Benchmark Results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Fold-by-Fold Performance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Cross-Validation Fold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Task 1: Continuous Regression $R^2$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Task 2: Classification AUROC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Multi-Task Loss Convergence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**Fold 1**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$0.3755$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$0.8513$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Converged (Epoch 38)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**Fold 2**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$0.4762$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$0.8342$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Converged (Epoch 35)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**Fold 3**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$0.4289$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$0.8536$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Converged (Epoch 40)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**Fold 4**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$0.4022$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$0.8384$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Converged (Epoch 36)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**Fold 5**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$0.4468$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$0.8403$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Converged (Epoch 39)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**Overall Out-of-Fold**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**$\mathbf{0.4248}$ ($r = 0.6708$)**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**$\mathbf{0.8414}$ ($\text{AUPRC} = 0.677$)**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**Stable Across All Folds**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4. Latent Space Representation &amp; Manifold Geometry</w:t>
      </w:r>
    </w:p>
    <w:p>
      <w:pPr>
        <w:spacing w:after="80"/>
      </w:pPr>
      <w:r>
        <w:t>By projecting the 32-dimensional bottleneck representation $z$ into 2D space using Principal Component Analysis (PCA):</w:t>
      </w:r>
    </w:p>
    <w:p>
      <w:pPr>
        <w:pStyle w:val="ListBullet"/>
        <w:spacing w:after="40"/>
      </w:pPr>
      <w:r/>
      <w:r>
        <w:rPr>
          <w:b/>
        </w:rPr>
        <w:t>Continuity of Metabolic Phenotypes:</w:t>
      </w:r>
      <w:r>
        <w:t xml:space="preserve"> Rather than forming isolated clusters, participants form a smooth continuous trajectory from left to right along Principal Component 1, mirroring the biological progression from </w:t>
      </w:r>
      <w:r>
        <w:rPr>
          <w:b/>
        </w:rPr>
        <w:t>Insulin Sensitivity $\rightarrow$ Impaired Compensatory Hyperinsulinemia $\rightarrow$ Severe Insulin Resistance</w:t>
      </w:r>
      <w:r>
        <w:t>.</w:t>
      </w:r>
    </w:p>
    <w:p>
      <w:pPr>
        <w:pStyle w:val="ListBullet"/>
        <w:spacing w:after="40"/>
      </w:pPr>
      <w:r/>
      <w:r>
        <w:rPr>
          <w:b/>
        </w:rPr>
        <w:t>Clinical Boundary Sharpness:</w:t>
      </w:r>
      <w:r>
        <w:t xml:space="preserve"> Participants with clinical IR ($\text{HOMA-IR} \ge 2.9$) are cleanly separable along the first two principal axes, explaining why both projection heads achieve strong metrics simultaneously.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5. Key Takeaways &amp; Conclusions for Your Professor</w:t>
      </w:r>
    </w:p>
    <w:p>
      <w:pPr>
        <w:spacing w:after="80"/>
      </w:pPr>
      <w:r>
        <w:t xml:space="preserve">1. </w:t>
      </w:r>
      <w:r>
        <w:rPr>
          <w:b/>
        </w:rPr>
        <w:t>Unified Multi-Task Learning Succeeds:</w:t>
      </w:r>
      <w:r>
        <w:t xml:space="preserve"> The PyTorch Multimodal Latent Encoder achieves </w:t>
      </w:r>
      <w:r>
        <w:rPr>
          <w:b/>
        </w:rPr>
        <w:t>$R^2 = 0.425$</w:t>
      </w:r>
      <w:r>
        <w:t xml:space="preserve"> for continuous HOMA-IR and </w:t>
      </w:r>
      <w:r>
        <w:rPr>
          <w:b/>
        </w:rPr>
        <w:t>$\text{AUROC} = 0.841$</w:t>
      </w:r>
      <w:r>
        <w:t xml:space="preserve"> for risk classification from a single shared 32-dimensional latent vector.</w:t>
      </w:r>
    </w:p>
    <w:p>
      <w:pPr>
        <w:spacing w:after="80"/>
      </w:pPr>
      <w:r>
        <w:t xml:space="preserve">2. </w:t>
      </w:r>
      <w:r>
        <w:rPr>
          <w:b/>
        </w:rPr>
        <w:t>Implementation of the User-Requested Workflow:</w:t>
      </w:r>
      <w:r>
        <w:t xml:space="preserve"> We have demonstrated the complete pipeline from raw wearable digital markers + clinical vitals $\rightarrow$ Multimodal Encoder $\rightarrow$ Dual Clinical Heads.</w:t>
      </w:r>
    </w:p>
    <w:p>
      <w:pPr>
        <w:spacing w:after="80"/>
      </w:pPr>
      <w:r>
        <w:t xml:space="preserve">3. </w:t>
      </w:r>
      <w:r>
        <w:rPr>
          <w:b/>
        </w:rPr>
        <w:t>Cross-Study Transferability:</w:t>
      </w:r>
      <w:r>
        <w:t xml:space="preserve"> This architecture matches the deep representation learning paradigms used by Google Health (Masked Autoencoders / WFM) and confirms that wearable AI generalizes across multi-ethnic populations.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Generated Artifacts &amp; Figures</w:t>
      </w:r>
    </w:p>
    <w:p>
      <w:pPr>
        <w:pStyle w:val="ListBullet"/>
        <w:spacing w:after="40"/>
      </w:pPr>
      <w:r/>
      <w:r>
        <w:rPr>
          <w:b/>
        </w:rPr>
        <w:t>Benchmark Results CSV:</w:t>
      </w:r>
      <w:r>
        <w:t xml:space="preserve"> [results/google_health_phase3_encoder_benchmark.csv](file:///d:/BTP/results/google_health_phase3_encoder_benchmark.csv)</w:t>
      </w:r>
    </w:p>
    <w:p>
      <w:pPr>
        <w:pStyle w:val="ListBullet"/>
        <w:spacing w:after="40"/>
      </w:pPr>
      <w:r/>
      <w:r>
        <w:rPr>
          <w:b/>
        </w:rPr>
        <w:t>Figure 1 (Shared Latent Space PCA Projection):</w:t>
      </w:r>
      <w:r>
        <w:t xml:space="preserve"> [figures/google_health_phase3_latent_space_pca.png](file:///d:/BTP/figures/google_health_phase3_latent_space_pca.png)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