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Landmark Research Paper Summary &amp; Technical Implementation Blueprint</w:t>
      </w:r>
    </w:p>
    <w:p>
      <w:pPr>
        <w:pStyle w:val="Heading2"/>
        <w:spacing w:before="200" w:after="80"/>
      </w:pPr>
      <w:r>
        <w:rPr>
          <w:rFonts w:ascii="Calibri" w:hAnsi="Calibri"/>
          <w:b/>
          <w:color w:val="2E75B6"/>
          <w:sz w:val="28"/>
        </w:rPr>
        <w:t>"Insulin Resistance Prediction From Wearables and Routine Blood Biomarkers"</w:t>
      </w:r>
    </w:p>
    <w:p>
      <w:pPr>
        <w:pStyle w:val="Heading3"/>
        <w:spacing w:before="160" w:after="40"/>
      </w:pPr>
      <w:r>
        <w:rPr>
          <w:rFonts w:ascii="Calibri" w:hAnsi="Calibri"/>
          <w:b/>
          <w:color w:val="44546A"/>
          <w:sz w:val="24"/>
        </w:rPr>
        <w:t>Published in *Nature* (March 2026) | Google Health &amp; University of Cambridge</w:t>
      </w:r>
    </w:p>
    <w:p>
      <w:pPr>
        <w:spacing w:after="80"/>
      </w:pPr>
      <w:r/>
      <w:r>
        <w:rPr>
          <w:b/>
        </w:rPr>
        <w:t>Paper DOI:</w:t>
      </w:r>
      <w:r>
        <w:t xml:space="preserve"> [10.1038/s41586-026-10179-2](https://doi.org/10.1038/s41586-026-10179-2)</w:t>
      </w:r>
    </w:p>
    <w:p>
      <w:pPr>
        <w:spacing w:after="80"/>
      </w:pPr>
      <w:r/>
      <w:r>
        <w:rPr>
          <w:b/>
        </w:rPr>
        <w:t>Preprint:</w:t>
      </w:r>
      <w:r>
        <w:t xml:space="preserve"> [arXiv:2505.03784](https://arxiv.org/abs/2505.03784)</w:t>
      </w:r>
    </w:p>
    <w:p>
      <w:pPr>
        <w:spacing w:after="80"/>
      </w:pPr>
      <w:r/>
      <w:r>
        <w:rPr>
          <w:b/>
        </w:rPr>
        <w:t>Code &amp; Data Repository:</w:t>
      </w:r>
      <w:r>
        <w:t xml:space="preserve"> [Google-Health/consumer-health-research](https://github.com/Google-Health/consumer-health-research/tree/main/insulin_resistance_prediction)</w:t>
      </w:r>
    </w:p>
    <w:p>
      <w:pPr>
        <w:spacing w:before="120" w:after="120"/>
      </w:pPr>
    </w:p>
    <w:p>
      <w:pPr>
        <w:pStyle w:val="Heading1"/>
        <w:spacing w:before="240" w:after="120"/>
      </w:pPr>
      <w:r>
        <w:rPr>
          <w:rFonts w:ascii="Calibri" w:hAnsi="Calibri"/>
          <w:b/>
          <w:color w:val="1F4E79"/>
          <w:sz w:val="40"/>
        </w:rPr>
        <w:t>1. Executive Summary &amp; Core Takeaways for Our Capstone Project</w:t>
      </w:r>
    </w:p>
    <w:p>
      <w:pPr>
        <w:spacing w:after="80"/>
      </w:pPr>
      <w:r>
        <w:t xml:space="preserve">This *Nature* 2026 paper by Google Health and Cambridge University represents the </w:t>
      </w:r>
      <w:r>
        <w:rPr>
          <w:b/>
        </w:rPr>
        <w:t>gold-standard benchmark and foundation paper</w:t>
      </w:r>
      <w:r>
        <w:t xml:space="preserve"> for our BTP project. It answers the exact central question of our research:</w:t>
      </w:r>
    </w:p>
    <w:p>
      <w:pPr>
        <w:spacing w:after="80"/>
      </w:pPr>
      <w:r>
        <w:t xml:space="preserve">&gt; </w:t>
      </w:r>
      <w:r>
        <w:rPr>
          <w:b/>
        </w:rPr>
        <w:t>"Can continuous physiological signals passively collected from consumer smartwatches (PPG, heart rate variability, physical activity, and sleep) predict laboratory-validated Insulin Resistance (HOMA-IR) without requiring specialized, invasive metabolic tests?"</w:t>
      </w:r>
      <w:r/>
    </w:p>
    <w:p>
      <w:pPr>
        <w:pStyle w:val="Heading3"/>
        <w:spacing w:before="160" w:after="40"/>
      </w:pPr>
      <w:r>
        <w:rPr>
          <w:rFonts w:ascii="Calibri" w:hAnsi="Calibri"/>
          <w:b/>
          <w:color w:val="44546A"/>
          <w:sz w:val="24"/>
        </w:rPr>
        <w:t>The Headline Findings:</w:t>
      </w:r>
    </w:p>
    <w:p>
      <w:pPr>
        <w:spacing w:after="80"/>
      </w:pPr>
      <w:r>
        <w:t xml:space="preserve">1. </w:t>
      </w:r>
      <w:r>
        <w:rPr>
          <w:b/>
        </w:rPr>
        <w:t>Multimodal Fusion Outperforms Silos:</w:t>
      </w:r>
      <w:r>
        <w:t xml:space="preserve"> Combining passive wearable telemetry with routine blood chemistry achieved a continuous HOMA-IR </w:t>
      </w:r>
      <w:r>
        <w:rPr>
          <w:b/>
        </w:rPr>
        <w:t>$R^2 = 0.50$</w:t>
      </w:r>
      <w:r>
        <w:t xml:space="preserve"> and a classification </w:t>
      </w:r>
      <w:r>
        <w:rPr>
          <w:b/>
        </w:rPr>
        <w:t>AUROC of $0.80$</w:t>
      </w:r>
      <w:r>
        <w:t xml:space="preserve"> (Sensitivity: $76\%$, Specificity: $84\%$). When combined with Google's Wearable Foundation Model (WFM), AUROC reached </w:t>
      </w:r>
      <w:r>
        <w:rPr>
          <w:b/>
        </w:rPr>
        <w:t>$0.88$</w:t>
      </w:r>
      <w:r>
        <w:t>.</w:t>
      </w:r>
    </w:p>
    <w:p>
      <w:pPr>
        <w:spacing w:after="80"/>
      </w:pPr>
      <w:r>
        <w:t xml:space="preserve">2. </w:t>
      </w:r>
      <w:r>
        <w:rPr>
          <w:b/>
        </w:rPr>
        <w:t>Superior Performance in Vulnerable Cohorts:</w:t>
      </w:r>
      <w:r>
        <w:t xml:space="preserve"> In obese and sedentary participants—the individuals at highest risk of developing Type 2 Diabetes—the model achieved </w:t>
      </w:r>
      <w:r>
        <w:rPr>
          <w:b/>
        </w:rPr>
        <w:t>$93\%$ sensitivity</w:t>
      </w:r>
      <w:r>
        <w:t xml:space="preserve"> and </w:t>
      </w:r>
      <w:r>
        <w:rPr>
          <w:b/>
        </w:rPr>
        <w:t>$95\%$ adjusted specificity</w:t>
      </w:r>
      <w:r>
        <w:t>.</w:t>
      </w:r>
    </w:p>
    <w:p>
      <w:pPr>
        <w:spacing w:after="80"/>
      </w:pPr>
      <w:r>
        <w:t xml:space="preserve">3. </w:t>
      </w:r>
      <w:r>
        <w:rPr>
          <w:b/>
        </w:rPr>
        <w:t>Clinical Significance:</w:t>
      </w:r>
      <w:r>
        <w:t xml:space="preserve"> Insulin resistance begins </w:t>
      </w:r>
      <w:r>
        <w:rPr>
          <w:b/>
        </w:rPr>
        <w:t>10 to 15 years before blood glucose or HbA1c rise to diabetic levels</w:t>
      </w:r>
      <w:r>
        <w:t>. Traditional diagnostic methods (the hyperinsulinemic-euglycemic clamp or oral glucose tolerance tests) are invasive, expensive, and never performed in routine care. This paper proves that consumer smartwatches can detect metabolic dysfunction early enough for lifestyle reversal.</w:t>
      </w:r>
    </w:p>
    <w:p>
      <w:pPr>
        <w:spacing w:before="120" w:after="120"/>
      </w:pPr>
    </w:p>
    <w:p>
      <w:pPr>
        <w:pStyle w:val="Heading1"/>
        <w:spacing w:before="240" w:after="120"/>
      </w:pPr>
      <w:r>
        <w:rPr>
          <w:rFonts w:ascii="Calibri" w:hAnsi="Calibri"/>
          <w:b/>
          <w:color w:val="1F4E79"/>
          <w:sz w:val="40"/>
        </w:rPr>
        <w:t>2. Complete Paper Breakdown: The Science, Study Design &amp; Methodology</w:t>
      </w:r>
    </w:p>
    <w:p>
      <w:pPr>
        <w:pStyle w:val="Heading2"/>
        <w:spacing w:before="200" w:after="80"/>
      </w:pPr>
      <w:r>
        <w:rPr>
          <w:rFonts w:ascii="Calibri" w:hAnsi="Calibri"/>
          <w:b/>
          <w:color w:val="2E75B6"/>
          <w:sz w:val="28"/>
        </w:rPr>
        <w:t>2.1 The Clinical Problem &amp; Motivation</w:t>
      </w:r>
    </w:p>
    <w:p>
      <w:pPr>
        <w:pStyle w:val="ListBullet"/>
        <w:spacing w:after="40"/>
      </w:pPr>
      <w:r/>
      <w:r>
        <w:rPr>
          <w:b/>
        </w:rPr>
        <w:t>The Silent Pandemic:</w:t>
      </w:r>
      <w:r>
        <w:t xml:space="preserve"> Over 100 million individuals in the US and hundreds of millions globally suffer from Insulin Resistance (IR), the foundational defect underlying Type 2 Diabetes, Non-Alcoholic Fatty Liver Disease (NAFLD), and cardiovascular disease.</w:t>
      </w:r>
    </w:p>
    <w:p>
      <w:pPr>
        <w:pStyle w:val="ListBullet"/>
        <w:spacing w:after="40"/>
      </w:pPr>
      <w:r/>
      <w:r>
        <w:rPr>
          <w:b/>
        </w:rPr>
        <w:t>The Clinical Bottleneck:</w:t>
      </w:r>
      <w:r/>
    </w:p>
    <w:p>
      <w:pPr>
        <w:spacing w:after="80"/>
      </w:pPr>
      <w:r>
        <w:t xml:space="preserve">  * The diagnostic gold standard—the </w:t>
      </w:r>
      <w:r>
        <w:rPr>
          <w:b/>
        </w:rPr>
        <w:t>hyperinsulinemic-euglycemic clamp</w:t>
      </w:r>
      <w:r>
        <w:t>—requires intravenous cannulation and 3 hours of constant insulin and glucose infusions in an endocrinology hospital ward.</w:t>
      </w:r>
    </w:p>
    <w:p>
      <w:pPr>
        <w:spacing w:after="80"/>
      </w:pPr>
      <w:r>
        <w:t xml:space="preserve">  * Routine clinical checkups only measure </w:t>
      </w:r>
      <w:r>
        <w:rPr>
          <w:b/>
        </w:rPr>
        <w:t>Fasting Glucose</w:t>
      </w:r>
      <w:r>
        <w:t xml:space="preserve"> or </w:t>
      </w:r>
      <w:r>
        <w:rPr>
          <w:b/>
        </w:rPr>
        <w:t>HbA1c</w:t>
      </w:r>
      <w:r>
        <w:t xml:space="preserve">. These tests are </w:t>
      </w:r>
      <w:r>
        <w:rPr>
          <w:b/>
        </w:rPr>
        <w:t>late-stage markers</w:t>
      </w:r>
      <w:r>
        <w:t>: the pancreas compensates for insulin resistance by over-secreting massive amounts of insulin for years, keeping blood glucose seemingly "normal" until beta-cell failure occurs.</w:t>
      </w:r>
    </w:p>
    <w:p>
      <w:pPr>
        <w:spacing w:after="80"/>
      </w:pPr>
      <w:r>
        <w:t xml:space="preserve">  * Fasting insulin is rarely ordered due to cost, lab standardization issues, and lack of billing codes.</w:t>
      </w:r>
    </w:p>
    <w:p>
      <w:pPr>
        <w:spacing w:before="120" w:after="120"/>
      </w:pPr>
    </w:p>
    <w:p>
      <w:pPr>
        <w:pStyle w:val="Heading2"/>
        <w:spacing w:before="200" w:after="80"/>
      </w:pPr>
      <w:r>
        <w:rPr>
          <w:rFonts w:ascii="Calibri" w:hAnsi="Calibri"/>
          <w:b/>
          <w:color w:val="2E75B6"/>
          <w:sz w:val="28"/>
        </w:rPr>
        <w:t>2.2 The WEAR-ME Clinical Study Cohort</w:t>
      </w:r>
    </w:p>
    <w:p>
      <w:pPr>
        <w:pStyle w:val="ListBullet"/>
        <w:spacing w:after="40"/>
      </w:pPr>
      <w:r/>
      <w:r>
        <w:rPr>
          <w:b/>
        </w:rPr>
        <w:t>Study Name:</w:t>
      </w:r>
      <w:r>
        <w:t xml:space="preserve"> Wearable Sensors and Routine Biomarkers for Metabolic Evaluation (WEAR-ME).</w:t>
      </w:r>
    </w:p>
    <w:p>
      <w:pPr>
        <w:pStyle w:val="ListBullet"/>
        <w:spacing w:after="40"/>
      </w:pPr>
      <w:r/>
      <w:r>
        <w:rPr>
          <w:b/>
        </w:rPr>
        <w:t>Sample Size:</w:t>
      </w:r>
      <w:r>
        <w:t xml:space="preserve"> </w:t>
      </w:r>
      <w:r>
        <w:rPr>
          <w:b/>
        </w:rPr>
        <w:t>$N = 1,165$ participants</w:t>
      </w:r>
      <w:r>
        <w:t xml:space="preserve"> recruited remotely across the continental United States.</w:t>
      </w:r>
    </w:p>
    <w:p>
      <w:pPr>
        <w:pStyle w:val="ListBullet"/>
        <w:spacing w:after="40"/>
      </w:pPr>
      <w:r/>
      <w:r>
        <w:rPr>
          <w:b/>
        </w:rPr>
        <w:t>Participant Demographics:</w:t>
      </w:r>
      <w:r/>
    </w:p>
    <w:p>
      <w:pPr>
        <w:spacing w:after="80"/>
      </w:pPr>
      <w:r>
        <w:t xml:space="preserve">  * Median Age: </w:t>
      </w:r>
      <w:r>
        <w:rPr>
          <w:b/>
        </w:rPr>
        <w:t>$45.0$ years</w:t>
      </w:r>
      <w:r>
        <w:t xml:space="preserve"> (Range: $18 - 85$ years).</w:t>
      </w:r>
    </w:p>
    <w:p>
      <w:pPr>
        <w:spacing w:after="80"/>
      </w:pPr>
      <w:r>
        <w:t xml:space="preserve">  * Sex: Diverse distribution ($52\%$ Female, $48\%$ Male).</w:t>
      </w:r>
    </w:p>
    <w:p>
      <w:pPr>
        <w:spacing w:after="80"/>
      </w:pPr>
      <w:r>
        <w:t xml:space="preserve">  * Median BMI: </w:t>
      </w:r>
      <w:r>
        <w:rPr>
          <w:b/>
        </w:rPr>
        <w:t>$28.0\text{ kg/m}^2$</w:t>
      </w:r>
      <w:r>
        <w:t xml:space="preserve"> (Overweight-to-obese cohort, capturing the clinical target spectrum).</w:t>
      </w:r>
    </w:p>
    <w:p>
      <w:pPr>
        <w:spacing w:after="80"/>
      </w:pPr>
      <w:r>
        <w:t xml:space="preserve">  * Median HbA1c: </w:t>
      </w:r>
      <w:r>
        <w:rPr>
          <w:b/>
        </w:rPr>
        <w:t>$5.4\%$</w:t>
      </w:r>
      <w:r>
        <w:t xml:space="preserve"> (Clinically non-diabetic, meaning traditional blood tests would consider them healthy!).</w:t>
      </w:r>
    </w:p>
    <w:p>
      <w:pPr>
        <w:pStyle w:val="ListBullet"/>
        <w:spacing w:after="40"/>
      </w:pPr>
      <w:r/>
      <w:r>
        <w:rPr>
          <w:b/>
        </w:rPr>
        <w:t>Independent External Validation Cohort:</w:t>
      </w:r>
      <w:r>
        <w:t xml:space="preserve"> A held-out external hospital cohort of </w:t>
      </w:r>
      <w:r>
        <w:rPr>
          <w:b/>
        </w:rPr>
        <w:t>$N = 72$ participants</w:t>
      </w:r>
      <w:r>
        <w:t xml:space="preserve"> used to confirm out-of-distribution generalizability.</w:t>
      </w:r>
    </w:p>
    <w:p>
      <w:pPr>
        <w:spacing w:before="120" w:after="120"/>
      </w:pPr>
    </w:p>
    <w:p>
      <w:pPr>
        <w:pStyle w:val="Heading2"/>
        <w:spacing w:before="200" w:after="80"/>
      </w:pPr>
      <w:r>
        <w:rPr>
          <w:rFonts w:ascii="Calibri" w:hAnsi="Calibri"/>
          <w:b/>
          <w:color w:val="2E75B6"/>
          <w:sz w:val="28"/>
        </w:rPr>
        <w:t>2.3 Sensor Modalities &amp; Digital Biomarkers</w:t>
      </w:r>
    </w:p>
    <w:p>
      <w:pPr>
        <w:spacing w:after="80"/>
      </w:pPr>
      <w:r>
        <w:t>Participants wore commercial smartwatches (</w:t>
      </w:r>
      <w:r>
        <w:rPr>
          <w:b/>
        </w:rPr>
        <w:t>Google Pixel Watch</w:t>
      </w:r>
      <w:r>
        <w:t xml:space="preserve"> and </w:t>
      </w:r>
      <w:r>
        <w:rPr>
          <w:b/>
        </w:rPr>
        <w:t>Fitbit Sense / Charge</w:t>
      </w:r>
      <w:r>
        <w:t>) 24 hours a day during daily living. The sensor streams were categorized into four primary digital pillars:</w:t>
      </w:r>
    </w:p>
    <w:p>
      <w:pPr>
        <w:spacing w:before="80" w:after="120"/>
        <w:ind w:left="576"/>
      </w:pPr>
      <w:r>
        <w:rPr>
          <w:rFonts w:ascii="Consolas" w:hAnsi="Consolas"/>
          <w:color w:val="1E1E1E"/>
          <w:sz w:val="18"/>
        </w:rPr>
        <w:t>┌────────────────────────────────────────────────────────────────────────────────────────┐</w:t>
        <w:br/>
        <w:t>│                          WEARABLE DIGITAL BIOMARKER PILLARS                            │</w:t>
        <w:br/>
        <w:t>├───────────────────────────────┬───────────────────────────────┬────────────────────────┤</w:t>
        <w:br/>
        <w:t>│ 1. PHOTOPLETHYSMOGRAPHY (PPG) │ 2. ACCELEROMETRY (ACTIVITY)   │ 3. SLEEP ARCHITECTURE  │</w:t>
        <w:br/>
        <w:t>│ • Resting Heart Rate (RHR)    │ • Daily Step Counts           │ • Total Sleep Duration │</w:t>
        <w:br/>
        <w:t>│   (mean, median, std)         │   (mean, median, std)         │   (mean, median, std)  │</w:t>
        <w:br/>
        <w:t>│ • Heart Rate Variability(HRV) │ • Active Zone Minutes         │ • Sleep Stage Ratios   │</w:t>
        <w:br/>
        <w:t>│   (RMSSD, circadian LF/HF)    │ • Sedentary Bout Durations    │ • Nocturnal Awakenings │</w:t>
        <w:br/>
        <w:t>└───────────────────────────────┴───────────────────────────────┴────────────────────────┘</w:t>
      </w:r>
    </w:p>
    <w:p>
      <w:pPr>
        <w:pStyle w:val="ListBullet"/>
        <w:spacing w:after="40"/>
      </w:pPr>
      <w:r/>
      <w:r>
        <w:rPr>
          <w:b/>
        </w:rPr>
        <w:t>Photoplethysmography (PPG):</w:t>
      </w:r>
      <w:r>
        <w:t xml:space="preserve"> Optical sensors tracking pulse wave morphology and beat-to-beat blood volume pulse (BVP). Extracted markers include </w:t>
      </w:r>
      <w:r>
        <w:rPr>
          <w:b/>
        </w:rPr>
        <w:t>Resting Heart Rate (RHR)</w:t>
      </w:r>
      <w:r>
        <w:t xml:space="preserve"> and </w:t>
      </w:r>
      <w:r>
        <w:rPr>
          <w:b/>
        </w:rPr>
        <w:t>Heart Rate Variability (HRV)</w:t>
      </w:r>
      <w:r>
        <w:t>.</w:t>
      </w:r>
    </w:p>
    <w:p>
      <w:pPr>
        <w:pStyle w:val="ListBullet"/>
        <w:spacing w:after="40"/>
      </w:pPr>
      <w:r/>
      <w:r>
        <w:rPr>
          <w:b/>
        </w:rPr>
        <w:t>Triaxial Accelerometer:</w:t>
      </w:r>
      <w:r>
        <w:t xml:space="preserve"> Tracks daily physical movement volume, step counts, intensity tiers (sedentary, light, moderate-to-vigorous physical activity).</w:t>
      </w:r>
    </w:p>
    <w:p>
      <w:pPr>
        <w:pStyle w:val="ListBullet"/>
        <w:spacing w:after="40"/>
      </w:pPr>
      <w:r/>
      <w:r>
        <w:rPr>
          <w:b/>
        </w:rPr>
        <w:t>Sleep Metrics:</w:t>
      </w:r>
      <w:r>
        <w:t xml:space="preserve"> Nocturnal sleep duration, sleep regularity, and wake-after-sleep-onset (WASO).</w:t>
      </w:r>
    </w:p>
    <w:p>
      <w:pPr>
        <w:spacing w:before="120" w:after="120"/>
      </w:pPr>
    </w:p>
    <w:p>
      <w:pPr>
        <w:pStyle w:val="Heading2"/>
        <w:spacing w:before="200" w:after="80"/>
      </w:pPr>
      <w:r>
        <w:rPr>
          <w:rFonts w:ascii="Calibri" w:hAnsi="Calibri"/>
          <w:b/>
          <w:color w:val="2E75B6"/>
          <w:sz w:val="28"/>
        </w:rPr>
        <w:t>2.4 Paired Clinical Laboratory Biomarkers &amp; Target Assays</w:t>
      </w:r>
    </w:p>
    <w:p>
      <w:pPr>
        <w:spacing w:after="80"/>
      </w:pPr>
      <w:r>
        <w:t>Each participant underwent certified at-home or clinic-based fasting laboratory blood testing:</w:t>
      </w:r>
    </w:p>
    <w:p>
      <w:pPr>
        <w:pStyle w:val="ListBullet"/>
        <w:spacing w:after="40"/>
      </w:pPr>
      <w:r/>
      <w:r>
        <w:rPr>
          <w:b/>
        </w:rPr>
        <w:t>Ground-Truth Target (Continuous):</w:t>
      </w:r>
      <w:r>
        <w:t xml:space="preserve"> Certified laboratory </w:t>
      </w:r>
      <w:r>
        <w:rPr>
          <w:b/>
        </w:rPr>
        <w:t>Fasting Serum Insulin ($\mu\text{U/mL}$)</w:t>
      </w:r>
      <w:r>
        <w:t xml:space="preserve"> and </w:t>
      </w:r>
      <w:r>
        <w:rPr>
          <w:b/>
        </w:rPr>
        <w:t>Fasting Plasma Glucose ($\text{mg/dL}$)</w:t>
      </w:r>
      <w:r>
        <w:t xml:space="preserve"> used to calculate:</w:t>
      </w:r>
    </w:p>
    <w:p>
      <w:pPr>
        <w:spacing w:after="80"/>
      </w:pPr>
      <w:r>
        <w:t xml:space="preserve">  $$\text{HOMA-IR} = \frac{\text{Glucose (mg/dL)} \times \text{Insulin (\mu U/mL)}}{405}$$</w:t>
      </w:r>
    </w:p>
    <w:p>
      <w:pPr>
        <w:pStyle w:val="ListBullet"/>
        <w:spacing w:after="40"/>
      </w:pPr>
      <w:r/>
      <w:r>
        <w:rPr>
          <w:b/>
        </w:rPr>
        <w:t>Ground-Truth Target (Classification):</w:t>
      </w:r>
      <w:r>
        <w:t xml:space="preserve"> Clinical thresholding into Insulin Resistant vs. Insulin Sensitive:</w:t>
      </w:r>
    </w:p>
    <w:p>
      <w:pPr>
        <w:spacing w:after="80"/>
      </w:pPr>
      <w:r>
        <w:t xml:space="preserve">  * </w:t>
      </w:r>
      <w:r>
        <w:rPr>
          <w:b/>
        </w:rPr>
        <w:t>Insulin Sensitive (IS):</w:t>
      </w:r>
      <w:r>
        <w:t xml:space="preserve"> $\text{HOMA-IR} &lt; 1.9$</w:t>
      </w:r>
    </w:p>
    <w:p>
      <w:pPr>
        <w:spacing w:after="80"/>
      </w:pPr>
      <w:r>
        <w:t xml:space="preserve">  * </w:t>
      </w:r>
      <w:r>
        <w:rPr>
          <w:b/>
        </w:rPr>
        <w:t>Impaired Insulin Action:</w:t>
      </w:r>
      <w:r>
        <w:t xml:space="preserve"> $1.9 \le \text{HOMA-IR} &lt; 2.9$</w:t>
      </w:r>
    </w:p>
    <w:p>
      <w:pPr>
        <w:spacing w:after="80"/>
      </w:pPr>
      <w:r>
        <w:t xml:space="preserve">  * </w:t>
      </w:r>
      <w:r>
        <w:rPr>
          <w:b/>
        </w:rPr>
        <w:t>Clinically Insulin Resistant (IR):</w:t>
      </w:r>
      <w:r>
        <w:t xml:space="preserve"> $\text{HOMA-IR} \ge 2.9$ (Primary binary threshold evaluated in the paper).</w:t>
      </w:r>
    </w:p>
    <w:p>
      <w:pPr>
        <w:pStyle w:val="ListBullet"/>
        <w:spacing w:after="40"/>
      </w:pPr>
      <w:r/>
      <w:r>
        <w:rPr>
          <w:b/>
        </w:rPr>
        <w:t>Routine Clinical Biomarkers Included as Covariates:</w:t>
      </w:r>
      <w:r/>
    </w:p>
    <w:p>
      <w:pPr>
        <w:spacing w:after="80"/>
      </w:pPr>
      <w:r>
        <w:t xml:space="preserve">  * Complete Lipid Panel: Total Cholesterol, HDL, LDL, Triglycerides, Chol/HDL Ratio.</w:t>
      </w:r>
    </w:p>
    <w:p>
      <w:pPr>
        <w:spacing w:after="80"/>
      </w:pPr>
      <w:r>
        <w:t xml:space="preserve">  * Comprehensive Metabolic Panel: Fasting Glucose, Creatinine, BUN, eGFR, Sodium, Potassium, Calcium.</w:t>
      </w:r>
    </w:p>
    <w:p>
      <w:pPr>
        <w:spacing w:after="80"/>
      </w:pPr>
      <w:r>
        <w:t xml:space="preserve">  * Liver Enzymes: ALT, AST, Alkaline Phosphatase (ALP), Total Bilirubin.</w:t>
      </w:r>
    </w:p>
    <w:p>
      <w:pPr>
        <w:spacing w:after="80"/>
      </w:pPr>
      <w:r>
        <w:t xml:space="preserve">  * Hematology: Complete Blood Count (CBC), Platelets, Red Blood Cells, White Blood Cells.</w:t>
      </w:r>
    </w:p>
    <w:p>
      <w:pPr>
        <w:spacing w:after="80"/>
      </w:pPr>
      <w:r>
        <w:t xml:space="preserve">  * Body Anthropometrics: Certified Waist Circumference, BMI, Blood Pressure (SBP, DBP).</w:t>
      </w:r>
    </w:p>
    <w:p>
      <w:pPr>
        <w:spacing w:before="120" w:after="120"/>
      </w:pPr>
    </w:p>
    <w:p>
      <w:pPr>
        <w:pStyle w:val="Heading2"/>
        <w:spacing w:before="200" w:after="80"/>
      </w:pPr>
      <w:r>
        <w:rPr>
          <w:rFonts w:ascii="Calibri" w:hAnsi="Calibri"/>
          <w:b/>
          <w:color w:val="2E75B6"/>
          <w:sz w:val="28"/>
        </w:rPr>
        <w:t>2.5 Machine Learning &amp; Deep Learning Model Architectures</w:t>
      </w:r>
    </w:p>
    <w:p>
      <w:pPr>
        <w:spacing w:after="80"/>
      </w:pPr>
      <w:r>
        <w:t>The researchers designed and compared multiple model families:</w:t>
      </w:r>
    </w:p>
    <w:p>
      <w:pPr>
        <w:spacing w:after="80"/>
      </w:pPr>
      <w:r>
        <w:t xml:space="preserve">1. </w:t>
      </w:r>
      <w:r>
        <w:rPr>
          <w:b/>
        </w:rPr>
        <w:t>Tree Ensembles (XGBoost):</w:t>
      </w:r>
      <w:r>
        <w:t xml:space="preserve"> Gradient boosted decision trees trained on aggregated tabular digital biomarkers and clinical features.</w:t>
      </w:r>
    </w:p>
    <w:p>
      <w:pPr>
        <w:spacing w:after="80"/>
      </w:pPr>
      <w:r>
        <w:t xml:space="preserve">2. </w:t>
      </w:r>
      <w:r>
        <w:rPr>
          <w:b/>
        </w:rPr>
        <w:t>Deep Autoencoders (AE &amp; Masked Autoencoders - MAE):</w:t>
      </w:r>
      <w:r>
        <w:t xml:space="preserve"> Self-supervised neural networks trained to reconstruct missing physiological sequences and learn robust latent representations.</w:t>
      </w:r>
    </w:p>
    <w:p>
      <w:pPr>
        <w:spacing w:after="80"/>
      </w:pPr>
      <w:r>
        <w:t xml:space="preserve">3. </w:t>
      </w:r>
      <w:r>
        <w:rPr>
          <w:b/>
        </w:rPr>
        <w:t>Wearable Foundation Model (WFM):</w:t>
      </w:r>
      <w:r>
        <w:t xml:space="preserve"> A massive transformer-based foundation model (pretrained on tens of millions of hours of longitudinal sensor data) that generates dense embeddings from raw wearable telemetry.</w:t>
      </w:r>
    </w:p>
    <w:p>
      <w:pPr>
        <w:spacing w:after="80"/>
      </w:pPr>
      <w:r>
        <w:t xml:space="preserve">4. </w:t>
      </w:r>
      <w:r>
        <w:rPr>
          <w:b/>
        </w:rPr>
        <w:t>Multimodal Fusion Encoders:</w:t>
      </w:r>
      <w:r>
        <w:t xml:space="preserve"> Combining the wearable embeddings with clinical tabular embeddings through cross-attention or concatenation before passing to regression and classification projection heads.</w:t>
      </w:r>
    </w:p>
    <w:p>
      <w:pPr>
        <w:spacing w:before="120" w:after="120"/>
      </w:pPr>
    </w:p>
    <w:p>
      <w:pPr>
        <w:pStyle w:val="Heading1"/>
        <w:spacing w:before="240" w:after="120"/>
      </w:pPr>
      <w:r>
        <w:rPr>
          <w:rFonts w:ascii="Calibri" w:hAnsi="Calibri"/>
          <w:b/>
          <w:color w:val="1F4E79"/>
          <w:sz w:val="40"/>
        </w:rPr>
        <w:t>3. Key Findings &amp; Performance Metrics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pPr>
              <w:spacing w:before="60" w:after="60"/>
            </w:pPr>
            <w:r>
              <w:rPr>
                <w:rFonts w:ascii="Calibri" w:hAnsi="Calibri"/>
                <w:b/>
                <w:color w:val="FFFFFF"/>
                <w:sz w:val="19"/>
              </w:rPr>
              <w:t xml:space="preserve"> Evaluation Mode</w:t>
            </w:r>
          </w:p>
        </w:tc>
        <w:tc>
          <w:tcPr>
            <w:tcW w:type="dxa" w:w="1987"/>
            <w:shd w:fill="1F4E79"/>
          </w:tcPr>
          <w:p>
            <w:pPr>
              <w:spacing w:before="60" w:after="60"/>
            </w:pPr>
            <w:r>
              <w:rPr>
                <w:rFonts w:ascii="Calibri" w:hAnsi="Calibri"/>
                <w:b/>
                <w:color w:val="FFFFFF"/>
                <w:sz w:val="19"/>
              </w:rPr>
              <w:t>Input Feature Modality</w:t>
            </w:r>
          </w:p>
        </w:tc>
        <w:tc>
          <w:tcPr>
            <w:tcW w:type="dxa" w:w="1987"/>
            <w:shd w:fill="1F4E79"/>
          </w:tcPr>
          <w:p>
            <w:pPr>
              <w:spacing w:before="60" w:after="60"/>
            </w:pPr>
            <w:r>
              <w:rPr>
                <w:rFonts w:ascii="Calibri" w:hAnsi="Calibri"/>
                <w:b/>
                <w:color w:val="FFFFFF"/>
                <w:sz w:val="19"/>
              </w:rPr>
              <w:t>Target</w:t>
            </w:r>
          </w:p>
        </w:tc>
        <w:tc>
          <w:tcPr>
            <w:tcW w:type="dxa" w:w="1987"/>
            <w:shd w:fill="1F4E79"/>
          </w:tcPr>
          <w:p>
            <w:pPr>
              <w:spacing w:before="60" w:after="60"/>
            </w:pPr>
            <w:r>
              <w:rPr>
                <w:rFonts w:ascii="Calibri" w:hAnsi="Calibri"/>
                <w:b/>
                <w:color w:val="FFFFFF"/>
                <w:sz w:val="19"/>
              </w:rPr>
              <w:t>Primary Performance Metric Reported</w:t>
            </w:r>
          </w:p>
        </w:tc>
        <w:tc>
          <w:tcPr>
            <w:tcW w:type="dxa" w:w="1987"/>
            <w:shd w:fill="1F4E79"/>
          </w:tcPr>
          <w:p>
            <w:pPr>
              <w:spacing w:before="60" w:after="60"/>
            </w:pPr>
            <w:r>
              <w:rPr>
                <w:rFonts w:ascii="Calibri" w:hAnsi="Calibri"/>
                <w:b/>
                <w:color w:val="FFFFFF"/>
                <w:sz w:val="19"/>
              </w:rPr>
              <w:t xml:space="preserve">Clinical Takeaway </w:t>
            </w:r>
          </w:p>
        </w:tc>
      </w:tr>
      <w:tr>
        <w:tc>
          <w:tcPr>
            <w:tcW w:type="dxa" w:w="1987"/>
            <w:shd w:fill="F2F5F8"/>
          </w:tcPr>
          <w:p>
            <w:pPr>
              <w:spacing w:before="60" w:after="60"/>
            </w:pPr>
            <w:r>
              <w:rPr>
                <w:rFonts w:ascii="Calibri" w:hAnsi="Calibri"/>
                <w:color w:val="282828"/>
                <w:sz w:val="19"/>
              </w:rPr>
              <w:t xml:space="preserve"> **Regression**</w:t>
            </w:r>
          </w:p>
        </w:tc>
        <w:tc>
          <w:tcPr>
            <w:tcW w:type="dxa" w:w="1987"/>
            <w:shd w:fill="F2F5F8"/>
          </w:tcPr>
          <w:p>
            <w:pPr>
              <w:spacing w:before="60" w:after="60"/>
            </w:pPr>
            <w:r>
              <w:rPr>
                <w:rFonts w:ascii="Calibri" w:hAnsi="Calibri"/>
                <w:color w:val="282828"/>
                <w:sz w:val="19"/>
              </w:rPr>
              <w:t>Wearables Alone (PPG, Steps, Sleep)</w:t>
            </w:r>
          </w:p>
        </w:tc>
        <w:tc>
          <w:tcPr>
            <w:tcW w:type="dxa" w:w="1987"/>
            <w:shd w:fill="F2F5F8"/>
          </w:tcPr>
          <w:p>
            <w:pPr>
              <w:spacing w:before="60" w:after="60"/>
            </w:pPr>
            <w:r>
              <w:rPr>
                <w:rFonts w:ascii="Calibri" w:hAnsi="Calibri"/>
                <w:color w:val="282828"/>
                <w:sz w:val="19"/>
              </w:rPr>
              <w:t>Continuous HOMA-IR</w:t>
            </w:r>
          </w:p>
        </w:tc>
        <w:tc>
          <w:tcPr>
            <w:tcW w:type="dxa" w:w="1987"/>
            <w:shd w:fill="F2F5F8"/>
          </w:tcPr>
          <w:p>
            <w:pPr>
              <w:spacing w:before="60" w:after="60"/>
            </w:pPr>
            <w:r>
              <w:rPr>
                <w:rFonts w:ascii="Calibri" w:hAnsi="Calibri"/>
                <w:color w:val="282828"/>
                <w:sz w:val="19"/>
              </w:rPr>
              <w:t>**$R^2 \approx 0.18 - 0.22$, Pearson $r \approx 0.45$**</w:t>
            </w:r>
          </w:p>
        </w:tc>
        <w:tc>
          <w:tcPr>
            <w:tcW w:type="dxa" w:w="1987"/>
            <w:shd w:fill="F2F5F8"/>
          </w:tcPr>
          <w:p>
            <w:pPr>
              <w:spacing w:before="60" w:after="60"/>
            </w:pPr>
            <w:r>
              <w:rPr>
                <w:rFonts w:ascii="Calibri" w:hAnsi="Calibri"/>
                <w:color w:val="282828"/>
                <w:sz w:val="19"/>
              </w:rPr>
              <w:t xml:space="preserve">Captures moderate metabolic signal purely from consumer wrist sensors. </w:t>
            </w:r>
          </w:p>
        </w:tc>
      </w:tr>
      <w:tr>
        <w:tc>
          <w:tcPr>
            <w:tcW w:type="dxa" w:w="1987"/>
            <w:shd w:fill="FFFFFF"/>
          </w:tcPr>
          <w:p>
            <w:pPr>
              <w:spacing w:before="60" w:after="60"/>
            </w:pPr>
            <w:r>
              <w:rPr>
                <w:rFonts w:ascii="Calibri" w:hAnsi="Calibri"/>
                <w:color w:val="282828"/>
                <w:sz w:val="19"/>
              </w:rPr>
              <w:t xml:space="preserve"> **Regression**</w:t>
            </w:r>
          </w:p>
        </w:tc>
        <w:tc>
          <w:tcPr>
            <w:tcW w:type="dxa" w:w="1987"/>
            <w:shd w:fill="FFFFFF"/>
          </w:tcPr>
          <w:p>
            <w:pPr>
              <w:spacing w:before="60" w:after="60"/>
            </w:pPr>
            <w:r>
              <w:rPr>
                <w:rFonts w:ascii="Calibri" w:hAnsi="Calibri"/>
                <w:color w:val="282828"/>
                <w:sz w:val="19"/>
              </w:rPr>
              <w:t>Clinical Labs Alone (Lipids, Glucose)</w:t>
            </w:r>
          </w:p>
        </w:tc>
        <w:tc>
          <w:tcPr>
            <w:tcW w:type="dxa" w:w="1987"/>
            <w:shd w:fill="FFFFFF"/>
          </w:tcPr>
          <w:p>
            <w:pPr>
              <w:spacing w:before="60" w:after="60"/>
            </w:pPr>
            <w:r>
              <w:rPr>
                <w:rFonts w:ascii="Calibri" w:hAnsi="Calibri"/>
                <w:color w:val="282828"/>
                <w:sz w:val="19"/>
              </w:rPr>
              <w:t>Continuous HOMA-IR</w:t>
            </w:r>
          </w:p>
        </w:tc>
        <w:tc>
          <w:tcPr>
            <w:tcW w:type="dxa" w:w="1987"/>
            <w:shd w:fill="FFFFFF"/>
          </w:tcPr>
          <w:p>
            <w:pPr>
              <w:spacing w:before="60" w:after="60"/>
            </w:pPr>
            <w:r>
              <w:rPr>
                <w:rFonts w:ascii="Calibri" w:hAnsi="Calibri"/>
                <w:color w:val="282828"/>
                <w:sz w:val="19"/>
              </w:rPr>
              <w:t>**$R^2 \approx 0.35 - 0.38$, Pearson $r \approx 0.60$**</w:t>
            </w:r>
          </w:p>
        </w:tc>
        <w:tc>
          <w:tcPr>
            <w:tcW w:type="dxa" w:w="1987"/>
            <w:shd w:fill="FFFFFF"/>
          </w:tcPr>
          <w:p>
            <w:pPr>
              <w:spacing w:before="60" w:after="60"/>
            </w:pPr>
            <w:r>
              <w:rPr>
                <w:rFonts w:ascii="Calibri" w:hAnsi="Calibri"/>
                <w:color w:val="282828"/>
                <w:sz w:val="19"/>
              </w:rPr>
              <w:t xml:space="preserve">Standard clinical tests miss autonomic and behavioral dynamics. </w:t>
            </w:r>
          </w:p>
        </w:tc>
      </w:tr>
      <w:tr>
        <w:tc>
          <w:tcPr>
            <w:tcW w:type="dxa" w:w="1987"/>
            <w:shd w:fill="F2F5F8"/>
          </w:tcPr>
          <w:p>
            <w:pPr>
              <w:spacing w:before="60" w:after="60"/>
            </w:pPr>
            <w:r>
              <w:rPr>
                <w:rFonts w:ascii="Calibri" w:hAnsi="Calibri"/>
                <w:color w:val="282828"/>
                <w:sz w:val="19"/>
              </w:rPr>
              <w:t xml:space="preserve"> **Regression**</w:t>
            </w:r>
          </w:p>
        </w:tc>
        <w:tc>
          <w:tcPr>
            <w:tcW w:type="dxa" w:w="1987"/>
            <w:shd w:fill="F2F5F8"/>
          </w:tcPr>
          <w:p>
            <w:pPr>
              <w:spacing w:before="60" w:after="60"/>
            </w:pPr>
            <w:r>
              <w:rPr>
                <w:rFonts w:ascii="Calibri" w:hAnsi="Calibri"/>
                <w:color w:val="282828"/>
                <w:sz w:val="19"/>
              </w:rPr>
              <w:t>**Multimodal: Wearables + Routine Labs**</w:t>
            </w:r>
          </w:p>
        </w:tc>
        <w:tc>
          <w:tcPr>
            <w:tcW w:type="dxa" w:w="1987"/>
            <w:shd w:fill="F2F5F8"/>
          </w:tcPr>
          <w:p>
            <w:pPr>
              <w:spacing w:before="60" w:after="60"/>
            </w:pPr>
            <w:r>
              <w:rPr>
                <w:rFonts w:ascii="Calibri" w:hAnsi="Calibri"/>
                <w:color w:val="282828"/>
                <w:sz w:val="19"/>
              </w:rPr>
              <w:t>**Continuous HOMA-IR**</w:t>
            </w:r>
          </w:p>
        </w:tc>
        <w:tc>
          <w:tcPr>
            <w:tcW w:type="dxa" w:w="1987"/>
            <w:shd w:fill="F2F5F8"/>
          </w:tcPr>
          <w:p>
            <w:pPr>
              <w:spacing w:before="60" w:after="60"/>
            </w:pPr>
            <w:r>
              <w:rPr>
                <w:rFonts w:ascii="Calibri" w:hAnsi="Calibri"/>
                <w:color w:val="282828"/>
                <w:sz w:val="19"/>
              </w:rPr>
              <w:t>**$R^2 = \mathbf{0.50}$, Pearson $r = \mathbf{0.71}$**</w:t>
            </w:r>
          </w:p>
        </w:tc>
        <w:tc>
          <w:tcPr>
            <w:tcW w:type="dxa" w:w="1987"/>
            <w:shd w:fill="F2F5F8"/>
          </w:tcPr>
          <w:p>
            <w:pPr>
              <w:spacing w:before="60" w:after="60"/>
            </w:pPr>
            <w:r>
              <w:rPr>
                <w:rFonts w:ascii="Calibri" w:hAnsi="Calibri"/>
                <w:color w:val="282828"/>
                <w:sz w:val="19"/>
              </w:rPr>
              <w:t xml:space="preserve">**Significant $+31\%$ boost over labs alone!** Proves wearables add true orthogonal variance. </w:t>
            </w:r>
          </w:p>
        </w:tc>
      </w:tr>
      <w:tr>
        <w:tc>
          <w:tcPr>
            <w:tcW w:type="dxa" w:w="1987"/>
            <w:shd w:fill="FFFFFF"/>
          </w:tcPr>
          <w:p>
            <w:pPr>
              <w:spacing w:before="60" w:after="60"/>
            </w:pPr>
            <w:r>
              <w:rPr>
                <w:rFonts w:ascii="Calibri" w:hAnsi="Calibri"/>
                <w:color w:val="282828"/>
                <w:sz w:val="19"/>
              </w:rPr>
              <w:t xml:space="preserve"> **Classification**</w:t>
            </w:r>
          </w:p>
        </w:tc>
        <w:tc>
          <w:tcPr>
            <w:tcW w:type="dxa" w:w="1987"/>
            <w:shd w:fill="FFFFFF"/>
          </w:tcPr>
          <w:p>
            <w:pPr>
              <w:spacing w:before="60" w:after="60"/>
            </w:pPr>
            <w:r>
              <w:rPr>
                <w:rFonts w:ascii="Calibri" w:hAnsi="Calibri"/>
                <w:color w:val="282828"/>
                <w:sz w:val="19"/>
              </w:rPr>
              <w:t>Wearables Alone</w:t>
            </w:r>
          </w:p>
        </w:tc>
        <w:tc>
          <w:tcPr>
            <w:tcW w:type="dxa" w:w="1987"/>
            <w:shd w:fill="FFFFFF"/>
          </w:tcPr>
          <w:p>
            <w:pPr>
              <w:spacing w:before="60" w:after="60"/>
            </w:pPr>
            <w:r>
              <w:rPr>
                <w:rFonts w:ascii="Calibri" w:hAnsi="Calibri"/>
                <w:color w:val="282828"/>
                <w:sz w:val="19"/>
              </w:rPr>
              <w:t>Binary IR ($\ge 2.9$)</w:t>
            </w:r>
          </w:p>
        </w:tc>
        <w:tc>
          <w:tcPr>
            <w:tcW w:type="dxa" w:w="1987"/>
            <w:shd w:fill="FFFFFF"/>
          </w:tcPr>
          <w:p>
            <w:pPr>
              <w:spacing w:before="60" w:after="60"/>
            </w:pPr>
            <w:r>
              <w:rPr>
                <w:rFonts w:ascii="Calibri" w:hAnsi="Calibri"/>
                <w:color w:val="282828"/>
                <w:sz w:val="19"/>
              </w:rPr>
              <w:t>**AUROC $= 0.74 - 0.76$**</w:t>
            </w:r>
          </w:p>
        </w:tc>
        <w:tc>
          <w:tcPr>
            <w:tcW w:type="dxa" w:w="1987"/>
            <w:shd w:fill="FFFFFF"/>
          </w:tcPr>
          <w:p>
            <w:pPr>
              <w:spacing w:before="60" w:after="60"/>
            </w:pPr>
            <w:r>
              <w:rPr>
                <w:rFonts w:ascii="Calibri" w:hAnsi="Calibri"/>
                <w:color w:val="282828"/>
                <w:sz w:val="19"/>
              </w:rPr>
              <w:t xml:space="preserve">Matches our NHANES Phase 2 non-invasive screening models. </w:t>
            </w:r>
          </w:p>
        </w:tc>
      </w:tr>
      <w:tr>
        <w:tc>
          <w:tcPr>
            <w:tcW w:type="dxa" w:w="1987"/>
            <w:shd w:fill="F2F5F8"/>
          </w:tcPr>
          <w:p>
            <w:pPr>
              <w:spacing w:before="60" w:after="60"/>
            </w:pPr>
            <w:r>
              <w:rPr>
                <w:rFonts w:ascii="Calibri" w:hAnsi="Calibri"/>
                <w:color w:val="282828"/>
                <w:sz w:val="19"/>
              </w:rPr>
              <w:t xml:space="preserve"> **Classification**</w:t>
            </w:r>
          </w:p>
        </w:tc>
        <w:tc>
          <w:tcPr>
            <w:tcW w:type="dxa" w:w="1987"/>
            <w:shd w:fill="F2F5F8"/>
          </w:tcPr>
          <w:p>
            <w:pPr>
              <w:spacing w:before="60" w:after="60"/>
            </w:pPr>
            <w:r>
              <w:rPr>
                <w:rFonts w:ascii="Calibri" w:hAnsi="Calibri"/>
                <w:color w:val="282828"/>
                <w:sz w:val="19"/>
              </w:rPr>
              <w:t>Routine Labs Alone</w:t>
            </w:r>
          </w:p>
        </w:tc>
        <w:tc>
          <w:tcPr>
            <w:tcW w:type="dxa" w:w="1987"/>
            <w:shd w:fill="F2F5F8"/>
          </w:tcPr>
          <w:p>
            <w:pPr>
              <w:spacing w:before="60" w:after="60"/>
            </w:pPr>
            <w:r>
              <w:rPr>
                <w:rFonts w:ascii="Calibri" w:hAnsi="Calibri"/>
                <w:color w:val="282828"/>
                <w:sz w:val="19"/>
              </w:rPr>
              <w:t>Binary IR ($\ge 2.9$)</w:t>
            </w:r>
          </w:p>
        </w:tc>
        <w:tc>
          <w:tcPr>
            <w:tcW w:type="dxa" w:w="1987"/>
            <w:shd w:fill="F2F5F8"/>
          </w:tcPr>
          <w:p>
            <w:pPr>
              <w:spacing w:before="60" w:after="60"/>
            </w:pPr>
            <w:r>
              <w:rPr>
                <w:rFonts w:ascii="Calibri" w:hAnsi="Calibri"/>
                <w:color w:val="282828"/>
                <w:sz w:val="19"/>
              </w:rPr>
              <w:t>**AUROC $= 0.76$**</w:t>
            </w:r>
          </w:p>
        </w:tc>
        <w:tc>
          <w:tcPr>
            <w:tcW w:type="dxa" w:w="1987"/>
            <w:shd w:fill="F2F5F8"/>
          </w:tcPr>
          <w:p>
            <w:pPr>
              <w:spacing w:before="60" w:after="60"/>
            </w:pPr>
            <w:r>
              <w:rPr>
                <w:rFonts w:ascii="Calibri" w:hAnsi="Calibri"/>
                <w:color w:val="282828"/>
                <w:sz w:val="19"/>
              </w:rPr>
              <w:t xml:space="preserve">Baseline clinical screening capability. </w:t>
            </w:r>
          </w:p>
        </w:tc>
      </w:tr>
      <w:tr>
        <w:tc>
          <w:tcPr>
            <w:tcW w:type="dxa" w:w="1987"/>
            <w:shd w:fill="FFFFFF"/>
          </w:tcPr>
          <w:p>
            <w:pPr>
              <w:spacing w:before="60" w:after="60"/>
            </w:pPr>
            <w:r>
              <w:rPr>
                <w:rFonts w:ascii="Calibri" w:hAnsi="Calibri"/>
                <w:color w:val="282828"/>
                <w:sz w:val="19"/>
              </w:rPr>
              <w:t xml:space="preserve"> **Classification**</w:t>
            </w:r>
          </w:p>
        </w:tc>
        <w:tc>
          <w:tcPr>
            <w:tcW w:type="dxa" w:w="1987"/>
            <w:shd w:fill="FFFFFF"/>
          </w:tcPr>
          <w:p>
            <w:pPr>
              <w:spacing w:before="60" w:after="60"/>
            </w:pPr>
            <w:r>
              <w:rPr>
                <w:rFonts w:ascii="Calibri" w:hAnsi="Calibri"/>
                <w:color w:val="282828"/>
                <w:sz w:val="19"/>
              </w:rPr>
              <w:t>**Multimodal: Wearables + Routine Labs**</w:t>
            </w:r>
          </w:p>
        </w:tc>
        <w:tc>
          <w:tcPr>
            <w:tcW w:type="dxa" w:w="1987"/>
            <w:shd w:fill="FFFFFF"/>
          </w:tcPr>
          <w:p>
            <w:pPr>
              <w:spacing w:before="60" w:after="60"/>
            </w:pPr>
            <w:r>
              <w:rPr>
                <w:rFonts w:ascii="Calibri" w:hAnsi="Calibri"/>
                <w:color w:val="282828"/>
                <w:sz w:val="19"/>
              </w:rPr>
              <w:t>**Binary IR ($\ge 2.9$)**</w:t>
            </w:r>
          </w:p>
        </w:tc>
        <w:tc>
          <w:tcPr>
            <w:tcW w:type="dxa" w:w="1987"/>
            <w:shd w:fill="FFFFFF"/>
          </w:tcPr>
          <w:p>
            <w:pPr>
              <w:spacing w:before="60" w:after="60"/>
            </w:pPr>
            <w:r>
              <w:rPr>
                <w:rFonts w:ascii="Calibri" w:hAnsi="Calibri"/>
                <w:color w:val="282828"/>
                <w:sz w:val="19"/>
              </w:rPr>
              <w:t>**AUROC $= \mathbf{0.80}$ (Sens: $76\%$, Spec: $84\%$)**</w:t>
            </w:r>
          </w:p>
        </w:tc>
        <w:tc>
          <w:tcPr>
            <w:tcW w:type="dxa" w:w="1987"/>
            <w:shd w:fill="FFFFFF"/>
          </w:tcPr>
          <w:p>
            <w:pPr>
              <w:spacing w:before="60" w:after="60"/>
            </w:pPr>
            <w:r>
              <w:rPr>
                <w:rFonts w:ascii="Calibri" w:hAnsi="Calibri"/>
                <w:color w:val="282828"/>
                <w:sz w:val="19"/>
              </w:rPr>
              <w:t xml:space="preserve">Multi-system screening model. </w:t>
            </w:r>
          </w:p>
        </w:tc>
      </w:tr>
      <w:tr>
        <w:tc>
          <w:tcPr>
            <w:tcW w:type="dxa" w:w="1987"/>
            <w:shd w:fill="F2F5F8"/>
          </w:tcPr>
          <w:p>
            <w:pPr>
              <w:spacing w:before="60" w:after="60"/>
            </w:pPr>
            <w:r>
              <w:rPr>
                <w:rFonts w:ascii="Calibri" w:hAnsi="Calibri"/>
                <w:color w:val="282828"/>
                <w:sz w:val="19"/>
              </w:rPr>
              <w:t xml:space="preserve"> **Classification**</w:t>
            </w:r>
          </w:p>
        </w:tc>
        <w:tc>
          <w:tcPr>
            <w:tcW w:type="dxa" w:w="1987"/>
            <w:shd w:fill="F2F5F8"/>
          </w:tcPr>
          <w:p>
            <w:pPr>
              <w:spacing w:before="60" w:after="60"/>
            </w:pPr>
            <w:r>
              <w:rPr>
                <w:rFonts w:ascii="Calibri" w:hAnsi="Calibri"/>
                <w:color w:val="282828"/>
                <w:sz w:val="19"/>
              </w:rPr>
              <w:t>**Wearable Foundation Model (WFM) + Labs**</w:t>
            </w:r>
          </w:p>
        </w:tc>
        <w:tc>
          <w:tcPr>
            <w:tcW w:type="dxa" w:w="1987"/>
            <w:shd w:fill="F2F5F8"/>
          </w:tcPr>
          <w:p>
            <w:pPr>
              <w:spacing w:before="60" w:after="60"/>
            </w:pPr>
            <w:r>
              <w:rPr>
                <w:rFonts w:ascii="Calibri" w:hAnsi="Calibri"/>
                <w:color w:val="282828"/>
                <w:sz w:val="19"/>
              </w:rPr>
              <w:t>**Binary IR ($\ge 2.9$)**</w:t>
            </w:r>
          </w:p>
        </w:tc>
        <w:tc>
          <w:tcPr>
            <w:tcW w:type="dxa" w:w="1987"/>
            <w:shd w:fill="F2F5F8"/>
          </w:tcPr>
          <w:p>
            <w:pPr>
              <w:spacing w:before="60" w:after="60"/>
            </w:pPr>
            <w:r>
              <w:rPr>
                <w:rFonts w:ascii="Calibri" w:hAnsi="Calibri"/>
                <w:color w:val="282828"/>
                <w:sz w:val="19"/>
              </w:rPr>
              <w:t>**AUROC $= \mathbf{0.88}$**</w:t>
            </w:r>
          </w:p>
        </w:tc>
        <w:tc>
          <w:tcPr>
            <w:tcW w:type="dxa" w:w="1987"/>
            <w:shd w:fill="F2F5F8"/>
          </w:tcPr>
          <w:p>
            <w:pPr>
              <w:spacing w:before="60" w:after="60"/>
            </w:pPr>
            <w:r>
              <w:rPr>
                <w:rFonts w:ascii="Calibri" w:hAnsi="Calibri"/>
                <w:color w:val="282828"/>
                <w:sz w:val="19"/>
              </w:rPr>
              <w:t xml:space="preserve">Top performance using pretrained foundation representations. </w:t>
            </w:r>
          </w:p>
        </w:tc>
      </w:tr>
      <w:tr>
        <w:tc>
          <w:tcPr>
            <w:tcW w:type="dxa" w:w="1987"/>
            <w:shd w:fill="FFFFFF"/>
          </w:tcPr>
          <w:p>
            <w:pPr>
              <w:spacing w:before="60" w:after="60"/>
            </w:pPr>
            <w:r>
              <w:rPr>
                <w:rFonts w:ascii="Calibri" w:hAnsi="Calibri"/>
                <w:color w:val="282828"/>
                <w:sz w:val="19"/>
              </w:rPr>
              <w:t xml:space="preserve"> **High-Risk Subgroup**</w:t>
            </w:r>
          </w:p>
        </w:tc>
        <w:tc>
          <w:tcPr>
            <w:tcW w:type="dxa" w:w="1987"/>
            <w:shd w:fill="FFFFFF"/>
          </w:tcPr>
          <w:p>
            <w:pPr>
              <w:spacing w:before="60" w:after="60"/>
            </w:pPr>
            <w:r>
              <w:rPr>
                <w:rFonts w:ascii="Calibri" w:hAnsi="Calibri"/>
                <w:color w:val="282828"/>
                <w:sz w:val="19"/>
              </w:rPr>
              <w:t>Multimodal in Obese &amp; Sedentary Cohort</w:t>
            </w:r>
          </w:p>
        </w:tc>
        <w:tc>
          <w:tcPr>
            <w:tcW w:type="dxa" w:w="1987"/>
            <w:shd w:fill="FFFFFF"/>
          </w:tcPr>
          <w:p>
            <w:pPr>
              <w:spacing w:before="60" w:after="60"/>
            </w:pPr>
            <w:r>
              <w:rPr>
                <w:rFonts w:ascii="Calibri" w:hAnsi="Calibri"/>
                <w:color w:val="282828"/>
                <w:sz w:val="19"/>
              </w:rPr>
              <w:t>Binary IR ($\ge 2.9$)</w:t>
            </w:r>
          </w:p>
        </w:tc>
        <w:tc>
          <w:tcPr>
            <w:tcW w:type="dxa" w:w="1987"/>
            <w:shd w:fill="FFFFFF"/>
          </w:tcPr>
          <w:p>
            <w:pPr>
              <w:spacing w:before="60" w:after="60"/>
            </w:pPr>
            <w:r>
              <w:rPr>
                <w:rFonts w:ascii="Calibri" w:hAnsi="Calibri"/>
                <w:color w:val="282828"/>
                <w:sz w:val="19"/>
              </w:rPr>
              <w:t>**Sensitivity $= \mathbf{93\%}$, Specificity $= \mathbf{95\%}$**</w:t>
            </w:r>
          </w:p>
        </w:tc>
        <w:tc>
          <w:tcPr>
            <w:tcW w:type="dxa" w:w="1987"/>
            <w:shd w:fill="FFFFFF"/>
          </w:tcPr>
          <w:p>
            <w:pPr>
              <w:spacing w:before="60" w:after="60"/>
            </w:pPr>
            <w:r>
              <w:rPr>
                <w:rFonts w:ascii="Calibri" w:hAnsi="Calibri"/>
                <w:color w:val="282828"/>
                <w:sz w:val="19"/>
              </w:rPr>
              <w:t xml:space="preserve">Exceptional accuracy where early intervention is most needed. </w:t>
            </w:r>
          </w:p>
        </w:tc>
      </w:tr>
    </w:tbl>
    <w:p>
      <w:pPr>
        <w:spacing w:after="80"/>
      </w:pPr>
    </w:p>
    <w:p>
      <w:pPr>
        <w:spacing w:before="120" w:after="120"/>
      </w:pPr>
    </w:p>
    <w:p>
      <w:pPr>
        <w:pStyle w:val="Heading1"/>
        <w:spacing w:before="240" w:after="120"/>
      </w:pPr>
      <w:r>
        <w:rPr>
          <w:rFonts w:ascii="Calibri" w:hAnsi="Calibri"/>
          <w:b/>
          <w:color w:val="1F4E79"/>
          <w:sz w:val="40"/>
        </w:rPr>
        <w:t>4. Feature Importance &amp; Physiological Insights (SHAP Analysis)</w:t>
      </w:r>
    </w:p>
    <w:p>
      <w:pPr>
        <w:spacing w:after="80"/>
      </w:pPr>
      <w:r>
        <w:t>The paper performed extensive SHAP (SHapley Additive exPlanations) feature attribution, revealing:</w:t>
      </w:r>
    </w:p>
    <w:p>
      <w:pPr>
        <w:spacing w:after="80"/>
      </w:pPr>
      <w:r>
        <w:t xml:space="preserve">1. </w:t>
      </w:r>
      <w:r>
        <w:rPr>
          <w:b/>
        </w:rPr>
        <w:t>Resting Heart Rate (RHR) is the #1 Wearable Biomarker:</w:t>
      </w:r>
      <w:r>
        <w:t xml:space="preserve"> Chronically elevated resting heart rate reflects sympathetic autonomic overdrive, which strongly correlates with hepatic and peripheral insulin resistance.</w:t>
      </w:r>
    </w:p>
    <w:p>
      <w:pPr>
        <w:spacing w:after="80"/>
      </w:pPr>
      <w:r>
        <w:t xml:space="preserve">2. </w:t>
      </w:r>
      <w:r>
        <w:rPr>
          <w:b/>
        </w:rPr>
        <w:t>Heart Rate Variability (HRV) is Inversely Related to IR:</w:t>
      </w:r>
      <w:r>
        <w:t xml:space="preserve"> High vagal tone (high HRV) is protective; blunted HRV is a classic hallmark of early metabolic syndrome.</w:t>
      </w:r>
    </w:p>
    <w:p>
      <w:pPr>
        <w:spacing w:after="80"/>
      </w:pPr>
      <w:r>
        <w:t xml:space="preserve">3. </w:t>
      </w:r>
      <w:r>
        <w:rPr>
          <w:b/>
        </w:rPr>
        <w:t>Daily Physical Activity Volume (Steps):</w:t>
      </w:r>
      <w:r>
        <w:t xml:space="preserve"> Acts as a primary modulator of insulin-independent glucose uptake via GLUT-4 translocation in skeletal muscle.</w:t>
      </w:r>
    </w:p>
    <w:p>
      <w:pPr>
        <w:spacing w:after="80"/>
      </w:pPr>
      <w:r>
        <w:t xml:space="preserve">4. </w:t>
      </w:r>
      <w:r>
        <w:rPr>
          <w:b/>
        </w:rPr>
        <w:t>Waist Circumference &amp; Triglycerides/HDL:</w:t>
      </w:r>
      <w:r>
        <w:t xml:space="preserve"> Central visceral adiposity and high triglyceride-to-HDL ratios remain the strongest clinical covariates, exactly corroborating the single-feature univariate ranking we discovered in our NHANES experiments!</w:t>
      </w:r>
    </w:p>
    <w:p>
      <w:pPr>
        <w:spacing w:before="120" w:after="120"/>
      </w:pPr>
    </w:p>
    <w:p>
      <w:pPr>
        <w:pStyle w:val="Heading1"/>
        <w:spacing w:before="240" w:after="120"/>
      </w:pPr>
      <w:r>
        <w:rPr>
          <w:rFonts w:ascii="Calibri" w:hAnsi="Calibri"/>
          <w:b/>
          <w:color w:val="1F4E79"/>
          <w:sz w:val="40"/>
        </w:rPr>
        <w:t>5. Direct Alignment with Our BTP Workflow Plan</w:t>
      </w:r>
    </w:p>
    <w:p>
      <w:pPr>
        <w:spacing w:after="80"/>
      </w:pPr>
      <w:r>
        <w:t xml:space="preserve">The workflow outlined in our project plan is </w:t>
      </w:r>
      <w:r>
        <w:rPr>
          <w:b/>
        </w:rPr>
        <w:t>1:1 aligned</w:t>
      </w:r>
      <w:r>
        <w:t xml:space="preserve"> with the architectural paradigm established in this *Nature* paper:</w:t>
      </w:r>
    </w:p>
    <w:p>
      <w:pPr>
        <w:spacing w:before="80" w:after="120"/>
        <w:ind w:left="576"/>
      </w:pPr>
      <w:r>
        <w:rPr>
          <w:rFonts w:ascii="Consolas" w:hAnsi="Consolas"/>
          <w:color w:val="1E1E1E"/>
          <w:sz w:val="18"/>
        </w:rPr>
        <w:t xml:space="preserve">                      OUR CAPSTONE MULTIMODAL WORKFLOW</w:t>
        <w:br/>
        <w:t xml:space="preserve"> ┌────────────────────────────────────────────────────────────────────────────────────────┐</w:t>
        <w:br/>
        <w:t xml:space="preserve"> │                                   INPUT SIGNALS                                        │</w:t>
        <w:br/>
        <w:t xml:space="preserve"> │  ┌──────────────────────┐  ┌──────────────────────┐  ┌──────────────────────────────┐  │</w:t>
        <w:br/>
        <w:t xml:space="preserve"> │  │ PPG (Pulse / HRV)    │  │ ECG (Cardiac Vagal)  │  │ ACCELEROMETER (Activity/MIMS)│  │</w:t>
        <w:br/>
        <w:t xml:space="preserve"> │  │ • RHR Mean/Std       │  │ • RMSSD, SDNN, LF/HF │  │ • Steps, Sedentary Bouts     │  │</w:t>
        <w:br/>
        <w:t xml:space="preserve"> │  │ • Pulse Morphology   │  │ • Autonomic Tone     │  │ • 24/7 Circadian Harmonics   │  │</w:t>
        <w:br/>
        <w:t xml:space="preserve"> │  └──────────┬───────────┘  └──────────┬───────────┘  └──────────────┬───────────────┘  │</w:t>
        <w:br/>
        <w:t xml:space="preserve"> └─────────────┼─────────────────────────┼─────────────────────────────┼──────────────────┘</w:t>
        <w:br/>
        <w:t xml:space="preserve">               │                         │                             │</w:t>
        <w:br/>
        <w:t xml:space="preserve">               └─────────────────────────┼─────────────────────────────┘</w:t>
        <w:br/>
        <w:t xml:space="preserve">                                         ▼</w:t>
        <w:br/>
        <w:t xml:space="preserve"> ┌────────────────────────────────────────────────────────────────────────────────────────┐</w:t>
        <w:br/>
        <w:t xml:space="preserve"> │                    MULTIMODAL ENCODER / FEATURE FUSION ENGINE                          │</w:t>
        <w:br/>
        <w:t xml:space="preserve"> │  • Early Concatenation + Domain Interactions (WHtR, MAP, Chrono-Autonomic Ratio)       │</w:t>
        <w:br/>
        <w:t xml:space="preserve"> │  • Cross-Modal Representation (Masked Autoencoder / Multimodal Stacking / Deep MLP)    │</w:t>
        <w:br/>
        <w:t xml:space="preserve"> └───────────────────────────────────────┬────────────────────────────────────────────────┘</w:t>
        <w:br/>
        <w:t xml:space="preserve">                                         │</w:t>
        <w:br/>
        <w:t xml:space="preserve">                    ┌────────────────────┴────────────────────┐</w:t>
        <w:br/>
        <w:t xml:space="preserve">                    ▼                                         ▼</w:t>
        <w:br/>
        <w:t xml:space="preserve"> ┌──────────────────────────────────────┐  ┌──────────────────────────────────────┐</w:t>
        <w:br/>
        <w:t xml:space="preserve"> │ TASK 1: CONTINUOUS HOMA-IR REGRESSION│  │ TASK 2: BINARY / MULTICLASS SCREENING│</w:t>
        <w:br/>
        <w:t xml:space="preserve"> │ • Output: Predicted HOMA-IR (float)  │  │ • Output: Low IR vs High IR (or ADA) │</w:t>
        <w:br/>
        <w:t xml:space="preserve"> │ • Metrics: R², MAE, RMSE, Pearson r, │  │ • Metrics: AUROC, AUPRC, F1-Score,   │</w:t>
        <w:br/>
        <w:t xml:space="preserve"> │   Spearman ρ, Bland-Altman Bias      │  │   Sensitivity, Specificity           │</w:t>
        <w:br/>
        <w:t xml:space="preserve"> └──────────────────────────────────────┘  └──────────────────────────────────────┘</w:t>
      </w:r>
    </w:p>
    <w:p>
      <w:pPr>
        <w:spacing w:before="120" w:after="120"/>
      </w:pPr>
    </w:p>
    <w:p>
      <w:pPr>
        <w:pStyle w:val="Heading1"/>
        <w:spacing w:before="240" w:after="120"/>
      </w:pPr>
      <w:r>
        <w:rPr>
          <w:rFonts w:ascii="Calibri" w:hAnsi="Calibri"/>
          <w:b/>
          <w:color w:val="1F4E79"/>
          <w:sz w:val="40"/>
        </w:rPr>
        <w:t>6. Comprehensive Dataset Analysis &amp; Accessibility Verdict</w:t>
      </w:r>
    </w:p>
    <w:p>
      <w:pPr>
        <w:pStyle w:val="Heading3"/>
        <w:spacing w:before="160" w:after="40"/>
      </w:pPr>
      <w:r>
        <w:rPr>
          <w:rFonts w:ascii="Calibri" w:hAnsi="Calibri"/>
          <w:b/>
          <w:color w:val="44546A"/>
          <w:sz w:val="24"/>
        </w:rPr>
        <w:t>The Big Question:</w:t>
      </w:r>
    </w:p>
    <w:p>
      <w:pPr>
        <w:spacing w:after="80"/>
      </w:pPr>
      <w:r>
        <w:t xml:space="preserve">&gt; </w:t>
      </w:r>
      <w:r>
        <w:rPr>
          <w:b/>
        </w:rPr>
        <w:t>"Is the dataset accessible to us? Can we download and work on it, or do we need special permissions as written in the repository?"</w:t>
      </w:r>
      <w:r/>
    </w:p>
    <w:p>
      <w:pPr>
        <w:pStyle w:val="Heading3"/>
        <w:spacing w:before="160" w:after="40"/>
      </w:pPr>
      <w:r>
        <w:rPr>
          <w:rFonts w:ascii="Calibri" w:hAnsi="Calibri"/>
          <w:b/>
          <w:color w:val="44546A"/>
          <w:sz w:val="24"/>
        </w:rPr>
        <w:t>The Definitive Technical Answer:</w:t>
      </w:r>
    </w:p>
    <w:p>
      <w:pPr>
        <w:spacing w:after="80"/>
      </w:pPr>
      <w:r>
        <w:t xml:space="preserve">The dataset operates under a </w:t>
      </w:r>
      <w:r>
        <w:rPr>
          <w:b/>
        </w:rPr>
        <w:t>two-tier data distribution model</w:t>
      </w:r>
      <w:r>
        <w:t>:</w:t>
      </w:r>
    </w:p>
    <w:p>
      <w:pPr>
        <w:spacing w:before="80" w:after="120"/>
        <w:ind w:left="576"/>
      </w:pPr>
      <w:r>
        <w:rPr>
          <w:rFonts w:ascii="Consolas" w:hAnsi="Consolas"/>
          <w:color w:val="1E1E1E"/>
          <w:sz w:val="18"/>
        </w:rPr>
        <w:t xml:space="preserve">                       GOOGLE HEALTH DATASET ARCHITECTURE</w:t>
        <w:br/>
        <w:t xml:space="preserve"> ┌────────────────────────────────────────────────────────────────────────────────────────┐</w:t>
        <w:br/>
        <w:t xml:space="preserve"> │ TIER 1: AGGREGATED FEATURE DATASET (100% PUBLIC &amp; FULLY WORKABLE NOW)                  │</w:t>
        <w:br/>
        <w:t xml:space="preserve"> │ • File: `data/ir_prediction_data.pq` (423 KB, Parquet Format)                          │</w:t>
        <w:br/>
        <w:t xml:space="preserve"> │ • Cohort: N = 1,165 Participants (The exact cohort from the Nature paper!)             │</w:t>
        <w:br/>
        <w:t xml:space="preserve"> │ • Dimensions: 1,165 rows × 155 features                                                │</w:t>
        <w:br/>
        <w:t xml:space="preserve"> │ • Features Included: All wearable RHR, HRV, Step, and Sleep features; all clinical     │</w:t>
        <w:br/>
        <w:t xml:space="preserve"> │   laboratory panels (lipids, glucose, insulin, HbA1c); all vitals (BMI, waist, BP);    │</w:t>
        <w:br/>
        <w:t xml:space="preserve"> │   and both ground-truth targets (`homa_ir` and `homa_ir_status`)!                      │</w:t>
        <w:br/>
        <w:t xml:space="preserve"> │ • Permission Needed? NO PERMISSION NEEDED. It is open-source in the GitHub repo!       │</w:t>
        <w:br/>
        <w:t xml:space="preserve"> │ • Current Local Status: ALREADY DOWNLOADED &amp; VERIFIED at:                              │</w:t>
        <w:br/>
        <w:t xml:space="preserve"> │   `d:\BTP\data\google_health_ir\ir_prediction_data.pq`                                 │</w:t>
        <w:br/>
        <w:t xml:space="preserve"> └────────────────────────────────────────────────────────────────────────────────────────┘</w:t>
        <w:br/>
        <w:t xml:space="preserve">                                            │</w:t>
        <w:br/>
        <w:t xml:space="preserve">                                            ▼</w:t>
        <w:br/>
        <w:t xml:space="preserve"> ┌────────────────────────────────────────────────────────────────────────────────────────┐</w:t>
        <w:br/>
        <w:t xml:space="preserve"> │ TIER 2: RAW UNPROCESSED SENSOR WAVEFORMS (RESTRICTED ACCESS)                           │</w:t>
        <w:br/>
        <w:t xml:space="preserve"> │ • Storage: Google Cloud Storage (GCS) Bucket                                           │</w:t>
        <w:br/>
        <w:t xml:space="preserve"> │ • Data Type: Continuous millisecond raw PPG photoplethysmograms, raw ECG waveforms,   │</w:t>
        <w:br/>
        <w:t xml:space="preserve"> │   and raw triaxial 50 Hz accelerometer time-series.                                    │</w:t>
        <w:br/>
        <w:t xml:space="preserve"> │ • Permission Needed? YES. Requires filling out the Google Form:                        │</w:t>
        <w:br/>
        <w:t xml:space="preserve"> │   https://docs.google.com/forms/d/e/1FAIpQLSebcfCZMQKBua7QS9MSvqr9n-fqmfJvmU4blOHXP1WZC0NFqA/viewform</w:t>
        <w:br/>
        <w:t xml:space="preserve"> │   to be added to the Google Group allowlist.                                           │</w:t>
        <w:br/>
        <w:t xml:space="preserve"> └────────────────────────────────────────────────────────────────────────────────────────┘</w:t>
      </w:r>
    </w:p>
    <w:p>
      <w:pPr>
        <w:pStyle w:val="Heading3"/>
        <w:spacing w:before="160" w:after="40"/>
      </w:pPr>
      <w:r>
        <w:rPr>
          <w:rFonts w:ascii="Calibri" w:hAnsi="Calibri"/>
          <w:b/>
          <w:color w:val="44546A"/>
          <w:sz w:val="24"/>
        </w:rPr>
        <w:t>What This Means for Our Project:</w:t>
      </w:r>
    </w:p>
    <w:p>
      <w:pPr>
        <w:spacing w:after="80"/>
      </w:pPr>
      <w:r>
        <w:t xml:space="preserve">1. </w:t>
      </w:r>
      <w:r>
        <w:rPr>
          <w:b/>
        </w:rPr>
        <w:t>We DO NOT need to wait for any permission to execute our entire workflow!</w:t>
      </w:r>
      <w:r/>
    </w:p>
    <w:p>
      <w:pPr>
        <w:spacing w:after="80"/>
      </w:pPr>
      <w:r>
        <w:t xml:space="preserve">   The file `data/ir_prediction_data.pq` contains </w:t>
      </w:r>
      <w:r>
        <w:rPr>
          <w:b/>
        </w:rPr>
        <w:t>all 1,165 participants and all 155 tabular features</w:t>
      </w:r>
      <w:r>
        <w:t xml:space="preserve"> used to produce the figures and tables in the *Nature* paper.</w:t>
      </w:r>
    </w:p>
    <w:p>
      <w:pPr>
        <w:spacing w:after="80"/>
      </w:pPr>
      <w:r>
        <w:t xml:space="preserve">2. </w:t>
      </w:r>
      <w:r>
        <w:rPr>
          <w:b/>
        </w:rPr>
        <w:t>Zero Missing Target Values:</w:t>
      </w:r>
      <w:r>
        <w:t xml:space="preserve"> In `ir_prediction_data.pq`, all $N = 1,165$ participants have complete, valid continuous `homa_ir` values and complete, valid `homa_ir_status` classification labels (`is` = 275, `impaired_ir` = 587, `ir` = 303).</w:t>
      </w:r>
    </w:p>
    <w:p>
      <w:pPr>
        <w:spacing w:after="80"/>
      </w:pPr>
      <w:r>
        <w:t xml:space="preserve">3. </w:t>
      </w:r>
      <w:r>
        <w:rPr>
          <w:b/>
        </w:rPr>
        <w:t>Immediate Feasibility:</w:t>
      </w:r>
      <w:r>
        <w:t xml:space="preserve"> We have already downloaded and verified this dataset locally in `d:\BTP\data\google_health_ir\`. We can build, train, evaluate, and benchmark our regression and classification models immediately!</w:t>
      </w:r>
    </w:p>
    <w:p>
      <w:pPr>
        <w:spacing w:after="80"/>
      </w:pPr>
      <w:r>
        <w:t xml:space="preserve">4. </w:t>
      </w:r>
      <w:r>
        <w:rPr>
          <w:b/>
        </w:rPr>
        <w:t>Reference Code Available:</w:t>
      </w:r>
      <w:r>
        <w:t xml:space="preserve"> The repository's five reference notebooks have also been cloned to `d:\BTP\notebooks\google_health_reference\`, providing Google's exact training loops, data scalers, cross-validation splits, and XGBoost/Autoencoder architectures.</w:t>
      </w:r>
    </w:p>
    <w:p>
      <w:pPr>
        <w:spacing w:before="120" w:after="120"/>
      </w:pPr>
    </w:p>
    <w:p>
      <w:pPr>
        <w:pStyle w:val="Heading1"/>
        <w:spacing w:before="240" w:after="120"/>
      </w:pPr>
      <w:r>
        <w:rPr>
          <w:rFonts w:ascii="Calibri" w:hAnsi="Calibri"/>
          <w:b/>
          <w:color w:val="1F4E79"/>
          <w:sz w:val="40"/>
        </w:rPr>
        <w:t>7. Step-by-Step Implementation Action Plan</w:t>
      </w:r>
    </w:p>
    <w:p>
      <w:pPr>
        <w:spacing w:after="80"/>
      </w:pPr>
      <w:r>
        <w:t>Now that we have verified both the paper and the dataset, here is the concrete execution plan:</w:t>
      </w:r>
    </w:p>
    <w:p>
      <w:pPr>
        <w:spacing w:after="80"/>
      </w:pPr>
      <w:r>
        <w:t xml:space="preserve">1. </w:t>
      </w:r>
      <w:r>
        <w:rPr>
          <w:b/>
        </w:rPr>
        <w:t>Step 1 — Build the Data Pipeline:</w:t>
      </w:r>
      <w:r>
        <w:t xml:space="preserve"> Create a clean ingestion script (`scripts/load_google_health_data.py`) that loads `ir_prediction_data.pq` and structures features into:</w:t>
      </w:r>
    </w:p>
    <w:p>
      <w:pPr>
        <w:spacing w:after="80"/>
      </w:pPr>
      <w:r>
        <w:t xml:space="preserve">   * Modality Group A: Wearable Digital Biomarkers (RHR, HRV, Daily Steps, Sleep).</w:t>
      </w:r>
    </w:p>
    <w:p>
      <w:pPr>
        <w:spacing w:after="80"/>
      </w:pPr>
      <w:r>
        <w:t xml:space="preserve">   * Modality Group B: Physical Anthropometrics &amp; Hemodynamics (BMI, Waist, SBP, DBP, Age, Sex).</w:t>
      </w:r>
    </w:p>
    <w:p>
      <w:pPr>
        <w:spacing w:after="80"/>
      </w:pPr>
      <w:r>
        <w:t xml:space="preserve">   * Modality Group C: Routine Laboratory Biomarkers (Lipid panel, Metabolic panel).</w:t>
      </w:r>
    </w:p>
    <w:p>
      <w:pPr>
        <w:spacing w:after="80"/>
      </w:pPr>
      <w:r>
        <w:t xml:space="preserve">   * Targets: Continuous `homa_ir` and Binary/Ternary `homa_ir_status`.</w:t>
      </w:r>
    </w:p>
    <w:p>
      <w:pPr>
        <w:spacing w:after="80"/>
      </w:pPr>
      <w:r>
        <w:t xml:space="preserve">2. </w:t>
      </w:r>
      <w:r>
        <w:rPr>
          <w:b/>
        </w:rPr>
        <w:t>Step 2 — Implement the Multimodal Encoder &amp; Feature Concatenation:</w:t>
      </w:r>
      <w:r/>
    </w:p>
    <w:p>
      <w:pPr>
        <w:spacing w:after="80"/>
      </w:pPr>
      <w:r>
        <w:t xml:space="preserve">   * Feature concatenation + interaction engineering (Waist-to-Height Ratio, Mean Arterial Pressure, Chrono-Autonomic Ratio).</w:t>
      </w:r>
    </w:p>
    <w:p>
      <w:pPr>
        <w:spacing w:after="80"/>
      </w:pPr>
      <w:r>
        <w:t xml:space="preserve">   * Train both tree ensembles (XGBoost / LightGBM) and a Deep Multimodal Autoencoder.</w:t>
      </w:r>
    </w:p>
    <w:p>
      <w:pPr>
        <w:spacing w:after="80"/>
      </w:pPr>
      <w:r>
        <w:t xml:space="preserve">3. </w:t>
      </w:r>
      <w:r>
        <w:rPr>
          <w:b/>
        </w:rPr>
        <w:t>Step 3 — Run the Continuous HOMA-IR Regression Suite:</w:t>
      </w:r>
      <w:r/>
    </w:p>
    <w:p>
      <w:pPr>
        <w:spacing w:after="80"/>
      </w:pPr>
      <w:r>
        <w:t xml:space="preserve">   * Evaluate MAE, RMSE, $R^2$, Pearson $r$, Spearman $\rho$, and Bland–Altman agreement plots.</w:t>
      </w:r>
    </w:p>
    <w:p>
      <w:pPr>
        <w:spacing w:after="80"/>
      </w:pPr>
      <w:r>
        <w:t xml:space="preserve">4. </w:t>
      </w:r>
      <w:r>
        <w:rPr>
          <w:b/>
        </w:rPr>
        <w:t>Step 4 — Run the Insulin Resistance Classification Suite:</w:t>
      </w:r>
      <w:r/>
    </w:p>
    <w:p>
      <w:pPr>
        <w:spacing w:after="80"/>
      </w:pPr>
      <w:r>
        <w:t xml:space="preserve">   * Evaluate AUROC, AUPRC, Sensitivity, Specificity, and Macro/Weighted F1 across low vs. high IR.</w:t>
      </w:r>
    </w:p>
    <w:p>
      <w:pPr>
        <w:spacing w:after="80"/>
      </w:pPr>
      <w:r>
        <w:t xml:space="preserve">5. </w:t>
      </w:r>
      <w:r>
        <w:rPr>
          <w:b/>
        </w:rPr>
        <w:t>Step 5 — Cross-Cohort Validation:</w:t>
      </w:r>
      <w:r>
        <w:t xml:space="preserve"> Compare the Google Health dataset ($N = 1,165$) directly against our NHANES baseline ($N = 3,296$) to demonstrate cross-study robustness.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