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2"/>
          <w:szCs w:val="2"/>
        </w:rPr>
        <w:t xml:space="preserve"/>
      </w:r>
    </w:p>
    <w:p>
      <w:pPr>
        <w:spacing w:after="120" w:before="0"/>
        <w:jc w:val="center"/>
      </w:pPr>
      <w:r>
        <w:rPr>
          <w:rFonts w:ascii="Arial" w:cs="Arial" w:eastAsia="Arial" w:hAnsi="Arial"/>
          <w:b/>
          <w:bCs/>
          <w:color w:val="0A1628"/>
          <w:sz w:val="56"/>
          <w:szCs w:val="56"/>
        </w:rPr>
        <w:t xml:space="preserve">WEARABLE AI FOR DIABETES &amp;</w:t>
      </w:r>
    </w:p>
    <w:p>
      <w:pPr>
        <w:spacing w:after="240" w:before="0"/>
        <w:jc w:val="center"/>
      </w:pPr>
      <w:r>
        <w:rPr>
          <w:rFonts w:ascii="Arial" w:cs="Arial" w:eastAsia="Arial" w:hAnsi="Arial"/>
          <w:b/>
          <w:bCs/>
          <w:color w:val="0D9488"/>
          <w:sz w:val="56"/>
          <w:szCs w:val="56"/>
        </w:rPr>
        <w:t xml:space="preserve">INSULIN RESISTANCE</w:t>
      </w:r>
    </w:p>
    <w:p>
      <w:pPr>
        <w:spacing w:after="120" w:before="0"/>
        <w:jc w:val="center"/>
      </w:pPr>
      <w:r>
        <w:rPr>
          <w:rFonts w:ascii="Arial" w:cs="Arial" w:eastAsia="Arial" w:hAnsi="Arial"/>
          <w:i/>
          <w:iCs/>
          <w:color w:val="475569"/>
          <w:sz w:val="30"/>
          <w:szCs w:val="30"/>
        </w:rPr>
        <w:t xml:space="preserve">A Precise Learning Guide</w:t>
      </w:r>
    </w:p>
    <w:p>
      <w:pPr>
        <w:pBdr>
          <w:bottom w:val="single" w:color="0D9488" w:sz="16" w:space="1"/>
        </w:pBdr>
        <w:spacing w:after="120" w:before="0"/>
      </w:pPr>
    </w:p>
    <w:p>
      <w:pPr>
        <w:spacing w:after="60" w:before="120"/>
        <w:jc w:val="center"/>
      </w:pPr>
      <w:r>
        <w:rPr>
          <w:rFonts w:ascii="Arial" w:cs="Arial" w:eastAsia="Arial" w:hAnsi="Arial"/>
          <w:color w:val="475569"/>
          <w:sz w:val="22"/>
          <w:szCs w:val="22"/>
        </w:rPr>
        <w:t xml:space="preserve">Covering: SweetDeep (Princeton / NeuTigers)  ·  Google IR Prediction</w:t>
      </w:r>
    </w:p>
    <w:p>
      <w:pPr>
        <w:spacing w:after="480" w:before="0"/>
        <w:jc w:val="center"/>
      </w:pPr>
      <w:r>
        <w:rPr>
          <w:rFonts w:ascii="Arial" w:cs="Arial" w:eastAsia="Arial" w:hAnsi="Arial"/>
          <w:color w:val="0A1628"/>
          <w:sz w:val="22"/>
          <w:szCs w:val="22"/>
        </w:rPr>
        <w:t xml:space="preserve">B.Tech Final Year Project — Non-Invasive Metabolic Risk Prediction</w:t>
      </w:r>
    </w:p>
    <w:tbl>
      <w:tblPr>
        <w:tblW w:type="dxa" w:w="9360"/>
        <w:tblBorders>
          <w:top w:val="single" w:color="0D9488" w:sz="8"/>
          <w:left w:val="single" w:color="0D9488" w:sz="16"/>
          <w:bottom w:val="single" w:color="0D9488" w:sz="8"/>
          <w:right w:val="single" w:color="0D9488" w:sz="4"/>
          <w:insideH w:val="single" w:color="auto" w:sz="4"/>
          <w:insideV w:val="single" w:color="auto" w:sz="4"/>
        </w:tblBorders>
      </w:tblPr>
      <w:tblGrid>
        <w:gridCol w:w="9360"/>
      </w:tblGrid>
      <w:tr>
        <w:tc>
          <w:tcPr>
            <w:tcW w:type="dxa" w:w="9360"/>
            <w:tcBorders>
              <w:top w:val="none"/>
              <w:left w:val="none"/>
              <w:bottom w:val="none"/>
              <w:right w:val="none"/>
            </w:tcBorders>
            <w:shd w:fill="CCFBF1" w:val="clear"/>
            <w:tcMar>
              <w:top w:type="dxa" w:w="140"/>
              <w:left w:type="dxa" w:w="200"/>
              <w:bottom w:type="dxa" w:w="140"/>
              <w:right w:type="dxa" w:w="200"/>
            </w:tcMar>
          </w:tcPr>
          <w:p>
            <w:pPr>
              <w:spacing w:after="60" w:before="0"/>
            </w:pPr>
            <w:r>
              <w:rPr>
                <w:rFonts w:ascii="Arial" w:cs="Arial" w:eastAsia="Arial" w:hAnsi="Arial"/>
                <w:b/>
                <w:bCs/>
                <w:color w:val="0A1628"/>
                <w:sz w:val="22"/>
                <w:szCs w:val="22"/>
              </w:rPr>
              <w:t xml:space="preserve">How to use this guide</w:t>
            </w:r>
          </w:p>
          <w:p>
            <w:pPr>
              <w:spacing w:after="0" w:before="0"/>
            </w:pPr>
            <w:r>
              <w:rPr>
                <w:rFonts w:ascii="Arial" w:cs="Arial" w:eastAsia="Arial" w:hAnsi="Arial"/>
                <w:color w:val="1E293B"/>
                <w:sz w:val="21"/>
                <w:szCs w:val="21"/>
              </w:rPr>
              <w:t xml:space="preserve">Each chapter is self-contained. Read in order for full understanding, or jump to any chapter for quick lookup. Every concept is explained simply first, then with depth. Formulas include plain-English derivations. Viva Q&amp;As are at the end.</w:t>
            </w:r>
          </w:p>
        </w:tc>
      </w:tr>
    </w:tbl>
    <w:p>
      <w:pPr>
        <w:spacing w:after="0" w:before="0"/>
      </w:pPr>
      <w:r>
        <w:br w:type="page"/>
      </w:r>
    </w:p>
    <w:p>
      <w:pPr>
        <w:pStyle w:val="Heading1"/>
        <w:shd w:fill="0A1628" w:val="clear"/>
        <w:spacing w:after="180" w:before="360"/>
        <w:ind w:left="200" w:right="200"/>
      </w:pPr>
      <w:r>
        <w:rPr>
          <w:rFonts w:ascii="Arial" w:cs="Arial" w:eastAsia="Arial" w:hAnsi="Arial"/>
          <w:b/>
          <w:bCs/>
          <w:color w:val="FFFFFF"/>
          <w:sz w:val="36"/>
          <w:szCs w:val="36"/>
        </w:rPr>
        <w:t xml:space="preserve">Chapter 1  ·  Diabetes Fundamentals</w:t>
      </w:r>
    </w:p>
    <w:p>
      <w:pPr>
        <w:pStyle w:val="Heading2"/>
        <w:pBdr>
          <w:bottom w:val="single" w:color="0D9488" w:sz="6" w:space="2"/>
        </w:pBdr>
        <w:spacing w:after="100" w:before="240"/>
      </w:pPr>
      <w:r>
        <w:rPr>
          <w:rFonts w:ascii="Arial" w:cs="Arial" w:eastAsia="Arial" w:hAnsi="Arial"/>
          <w:b/>
          <w:bCs/>
          <w:color w:val="0D9488"/>
          <w:sz w:val="28"/>
          <w:szCs w:val="28"/>
        </w:rPr>
        <w:t xml:space="preserve">What is Diabetes?</w:t>
      </w:r>
    </w:p>
    <w:p>
      <w:pPr>
        <w:spacing w:after="60" w:before="60"/>
      </w:pPr>
      <w:r>
        <w:rPr>
          <w:rFonts w:ascii="Arial" w:cs="Arial" w:eastAsia="Arial" w:hAnsi="Arial"/>
          <w:color w:val="1E293B"/>
          <w:sz w:val="22"/>
          <w:szCs w:val="22"/>
        </w:rPr>
        <w:t xml:space="preserve">Diabetes is a condition where the body cannot properly regulate blood glucose (sugar). Glucose is fuel for every cell. When regulation breaks down, glucose stays high in the blood (hyperglycemia), slowly damaging organs.</w:t>
      </w:r>
    </w:p>
    <w:p>
      <w:pPr>
        <w:spacing w:after="80" w:before="80"/>
      </w:pPr>
    </w:p>
    <w:p>
      <w:pPr>
        <w:spacing w:after="60" w:before="180"/>
      </w:pPr>
      <w:r>
        <w:rPr>
          <w:rFonts w:ascii="Arial" w:cs="Arial" w:eastAsia="Arial" w:hAnsi="Arial"/>
          <w:b/>
          <w:bCs/>
          <w:color w:val="0A1628"/>
          <w:sz w:val="24"/>
          <w:szCs w:val="24"/>
        </w:rPr>
        <w:t xml:space="preserve">The Two Main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
            </w:r>
          </w:p>
        </w:tc>
        <w:tc>
          <w:tcPr>
            <w:tcW w:type="dxa" w:w="34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Type 1 (T1D)</w:t>
            </w:r>
          </w:p>
        </w:tc>
        <w:tc>
          <w:tcPr>
            <w:tcW w:type="dxa" w:w="34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Type 2 (T2D)</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Cause</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Immune system destroys insulin-making beta cells</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Cells stop responding to insulin (resistance)</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 of cases</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~10%</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~90%</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Onset</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Usually childhood</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Usually adult; rising in youth too</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Reversible?</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No — lifelong insulin required</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Often YES with early intervention</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Our focus?</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Yes — this is what both papers target</w:t>
            </w:r>
          </w:p>
        </w:tc>
      </w:tr>
    </w:tbl>
    <w:p>
      <w:pPr>
        <w:spacing w:after="80" w:before="80"/>
      </w:pPr>
    </w:p>
    <w:p>
      <w:pPr>
        <w:pStyle w:val="Heading2"/>
        <w:pBdr>
          <w:bottom w:val="single" w:color="0D9488" w:sz="6" w:space="2"/>
        </w:pBdr>
        <w:spacing w:after="100" w:before="240"/>
      </w:pPr>
      <w:r>
        <w:rPr>
          <w:rFonts w:ascii="Arial" w:cs="Arial" w:eastAsia="Arial" w:hAnsi="Arial"/>
          <w:b/>
          <w:bCs/>
          <w:color w:val="0D9488"/>
          <w:sz w:val="28"/>
          <w:szCs w:val="28"/>
        </w:rPr>
        <w:t xml:space="preserve">The Chain of Events in T2D</w:t>
      </w:r>
    </w:p>
    <w:p>
      <w:pPr>
        <w:spacing w:after="60" w:before="60"/>
      </w:pPr>
      <w:r>
        <w:rPr>
          <w:rFonts w:ascii="Arial" w:cs="Arial" w:eastAsia="Arial" w:hAnsi="Arial"/>
          <w:color w:val="1E293B"/>
          <w:sz w:val="22"/>
          <w:szCs w:val="22"/>
        </w:rPr>
        <w:t xml:space="preserve">Think of it as a 5-step domino fall:</w:t>
      </w:r>
    </w:p>
    <w:p>
      <w:pPr>
        <w:pStyle w:val="ListParagraph"/>
        <w:numPr>
          <w:ilvl w:val="0"/>
          <w:numId w:val="2"/>
        </w:numPr>
        <w:spacing w:after="40" w:before="40"/>
      </w:pPr>
      <w:r>
        <w:rPr>
          <w:rFonts w:ascii="Arial" w:cs="Arial" w:eastAsia="Arial" w:hAnsi="Arial"/>
          <w:b w:val="false"/>
          <w:bCs w:val="false"/>
          <w:color w:val="1E293B"/>
          <w:sz w:val="22"/>
          <w:szCs w:val="22"/>
        </w:rPr>
        <w:t xml:space="preserve">Step 1 — Lifestyle &amp; genetics: excess body fat (especially visceral fat) + physical inactivity</w:t>
      </w:r>
    </w:p>
    <w:p>
      <w:pPr>
        <w:pStyle w:val="ListParagraph"/>
        <w:numPr>
          <w:ilvl w:val="0"/>
          <w:numId w:val="2"/>
        </w:numPr>
        <w:spacing w:after="40" w:before="40"/>
      </w:pPr>
      <w:r>
        <w:rPr>
          <w:rFonts w:ascii="Arial" w:cs="Arial" w:eastAsia="Arial" w:hAnsi="Arial"/>
          <w:b w:val="false"/>
          <w:bCs w:val="false"/>
          <w:color w:val="1E293B"/>
          <w:sz w:val="22"/>
          <w:szCs w:val="22"/>
        </w:rPr>
        <w:t xml:space="preserve">Step 2 — Cells become resistant to insulin: they need more insulin to absorb the same glucose</w:t>
      </w:r>
    </w:p>
    <w:p>
      <w:pPr>
        <w:pStyle w:val="ListParagraph"/>
        <w:numPr>
          <w:ilvl w:val="0"/>
          <w:numId w:val="2"/>
        </w:numPr>
        <w:spacing w:after="40" w:before="40"/>
      </w:pPr>
      <w:r>
        <w:rPr>
          <w:rFonts w:ascii="Arial" w:cs="Arial" w:eastAsia="Arial" w:hAnsi="Arial"/>
          <w:b w:val="false"/>
          <w:bCs w:val="false"/>
          <w:color w:val="1E293B"/>
          <w:sz w:val="22"/>
          <w:szCs w:val="22"/>
        </w:rPr>
        <w:t xml:space="preserve">Step 3 — Pancreas compensates: pumps out more insulin to keep glucose normal</w:t>
      </w:r>
    </w:p>
    <w:p>
      <w:pPr>
        <w:pStyle w:val="ListParagraph"/>
        <w:numPr>
          <w:ilvl w:val="0"/>
          <w:numId w:val="2"/>
        </w:numPr>
        <w:spacing w:after="40" w:before="40"/>
      </w:pPr>
      <w:r>
        <w:rPr>
          <w:rFonts w:ascii="Arial" w:cs="Arial" w:eastAsia="Arial" w:hAnsi="Arial"/>
          <w:b w:val="false"/>
          <w:bCs w:val="false"/>
          <w:color w:val="1E293B"/>
          <w:sz w:val="22"/>
          <w:szCs w:val="22"/>
        </w:rPr>
        <w:t xml:space="preserve">Step 4 — Beta-cells exhaust: can't keep up — insulin production falls</w:t>
      </w:r>
    </w:p>
    <w:p>
      <w:pPr>
        <w:pStyle w:val="ListParagraph"/>
        <w:numPr>
          <w:ilvl w:val="0"/>
          <w:numId w:val="2"/>
        </w:numPr>
        <w:spacing w:after="40" w:before="40"/>
      </w:pPr>
      <w:r>
        <w:rPr>
          <w:rFonts w:ascii="Arial" w:cs="Arial" w:eastAsia="Arial" w:hAnsi="Arial"/>
          <w:b w:val="false"/>
          <w:bCs w:val="false"/>
          <w:color w:val="1E293B"/>
          <w:sz w:val="22"/>
          <w:szCs w:val="22"/>
        </w:rPr>
        <w:t xml:space="preserve">Step 5 — Blood glucose rises permanently → Type 2 Diabetes diagnosis</w:t>
      </w:r>
    </w:p>
    <w:p>
      <w:pPr>
        <w:spacing w:after="80" w:before="80"/>
      </w:pPr>
    </w:p>
    <w:tbl>
      <w:tblPr>
        <w:tblW w:type="dxa" w:w="9360"/>
        <w:tblBorders>
          <w:top w:val="single" w:color="F59E0B" w:sz="8"/>
          <w:left w:val="single" w:color="F59E0B" w:sz="16"/>
          <w:bottom w:val="single" w:color="F59E0B" w:sz="8"/>
          <w:right w:val="single" w:color="F59E0B" w:sz="4"/>
          <w:insideH w:val="single" w:color="auto" w:sz="4"/>
          <w:insideV w:val="single" w:color="auto" w:sz="4"/>
        </w:tblBorders>
      </w:tblPr>
      <w:tblGrid>
        <w:gridCol w:w="9360"/>
      </w:tblGrid>
      <w:tr>
        <w:tc>
          <w:tcPr>
            <w:tcW w:type="dxa" w:w="9360"/>
            <w:tcBorders>
              <w:top w:val="none"/>
              <w:left w:val="none"/>
              <w:bottom w:val="none"/>
              <w:right w:val="none"/>
            </w:tcBorders>
            <w:shd w:fill="FEF3C7" w:val="clear"/>
            <w:tcMar>
              <w:top w:type="dxa" w:w="140"/>
              <w:left w:type="dxa" w:w="200"/>
              <w:bottom w:type="dxa" w:w="140"/>
              <w:right w:type="dxa" w:w="200"/>
            </w:tcMar>
          </w:tcPr>
          <w:p>
            <w:pPr>
              <w:spacing w:after="60" w:before="0"/>
            </w:pPr>
            <w:r>
              <w:rPr>
                <w:rFonts w:ascii="Arial" w:cs="Arial" w:eastAsia="Arial" w:hAnsi="Arial"/>
                <w:b/>
                <w:bCs/>
                <w:color w:val="0A1628"/>
                <w:sz w:val="22"/>
                <w:szCs w:val="22"/>
              </w:rPr>
              <w:t xml:space="preserve">Key Insight: The Detection Window</w:t>
            </w:r>
          </w:p>
          <w:p>
            <w:pPr>
              <w:spacing w:after="0" w:before="0"/>
            </w:pPr>
            <w:r>
              <w:rPr>
                <w:rFonts w:ascii="Arial" w:cs="Arial" w:eastAsia="Arial" w:hAnsi="Arial"/>
                <w:color w:val="1E293B"/>
                <w:sz w:val="21"/>
                <w:szCs w:val="21"/>
              </w:rPr>
              <w:t xml:space="preserve">Insulin resistance starts 10–15 years before T2D is diagnosed. This silent period is the golden window for intervention. Wearable AI targets exactly this window — catching metabolic dysfunction before it becomes diabetes.</w:t>
            </w:r>
          </w:p>
        </w:tc>
      </w:tr>
    </w:tbl>
    <w:p>
      <w:pPr>
        <w:spacing w:after="80" w:before="80"/>
      </w:pPr>
    </w:p>
    <w:p>
      <w:pPr>
        <w:pStyle w:val="Heading2"/>
        <w:pBdr>
          <w:bottom w:val="single" w:color="0D9488" w:sz="6" w:space="2"/>
        </w:pBdr>
        <w:spacing w:after="100" w:before="240"/>
      </w:pPr>
      <w:r>
        <w:rPr>
          <w:rFonts w:ascii="Arial" w:cs="Arial" w:eastAsia="Arial" w:hAnsi="Arial"/>
          <w:b/>
          <w:bCs/>
          <w:color w:val="0D9488"/>
          <w:sz w:val="28"/>
          <w:szCs w:val="28"/>
        </w:rPr>
        <w:t xml:space="preserve">Global Scale</w:t>
      </w:r>
    </w:p>
    <w:p>
      <w:pPr>
        <w:pStyle w:val="ListParagraph"/>
        <w:numPr>
          <w:ilvl w:val="0"/>
          <w:numId w:val="2"/>
        </w:numPr>
        <w:spacing w:after="40" w:before="40"/>
      </w:pPr>
      <w:r>
        <w:rPr>
          <w:rFonts w:ascii="Arial" w:cs="Arial" w:eastAsia="Arial" w:hAnsi="Arial"/>
          <w:b w:val="false"/>
          <w:bCs w:val="false"/>
          <w:color w:val="1E293B"/>
          <w:sz w:val="22"/>
          <w:szCs w:val="22"/>
        </w:rPr>
        <w:t xml:space="preserve">589 million people have diabetes worldwide as of 2025</w:t>
      </w:r>
    </w:p>
    <w:p>
      <w:pPr>
        <w:pStyle w:val="ListParagraph"/>
        <w:numPr>
          <w:ilvl w:val="0"/>
          <w:numId w:val="2"/>
        </w:numPr>
        <w:spacing w:after="40" w:before="40"/>
      </w:pPr>
      <w:r>
        <w:rPr>
          <w:rFonts w:ascii="Arial" w:cs="Arial" w:eastAsia="Arial" w:hAnsi="Arial"/>
          <w:b w:val="false"/>
          <w:bCs w:val="false"/>
          <w:color w:val="1E293B"/>
          <w:sz w:val="22"/>
          <w:szCs w:val="22"/>
        </w:rPr>
        <w:t xml:space="preserve">42.8% of all cases globally go undiagnosed — people don't know they have it</w:t>
      </w:r>
    </w:p>
    <w:p>
      <w:pPr>
        <w:pStyle w:val="ListParagraph"/>
        <w:numPr>
          <w:ilvl w:val="0"/>
          <w:numId w:val="2"/>
        </w:numPr>
        <w:spacing w:after="40" w:before="40"/>
      </w:pPr>
      <w:r>
        <w:rPr>
          <w:rFonts w:ascii="Arial" w:cs="Arial" w:eastAsia="Arial" w:hAnsi="Arial"/>
          <w:b w:val="false"/>
          <w:bCs w:val="false"/>
          <w:color w:val="1E293B"/>
          <w:sz w:val="22"/>
          <w:szCs w:val="22"/>
        </w:rPr>
        <w:t xml:space="preserve">90% of cases are T2D — almost entirely preventable</w:t>
      </w:r>
    </w:p>
    <w:p>
      <w:pPr>
        <w:pStyle w:val="ListParagraph"/>
        <w:numPr>
          <w:ilvl w:val="0"/>
          <w:numId w:val="2"/>
        </w:numPr>
        <w:spacing w:after="40" w:before="40"/>
      </w:pPr>
      <w:r>
        <w:rPr>
          <w:rFonts w:ascii="Arial" w:cs="Arial" w:eastAsia="Arial" w:hAnsi="Arial"/>
          <w:b w:val="false"/>
          <w:bCs w:val="false"/>
          <w:color w:val="1E293B"/>
          <w:sz w:val="22"/>
          <w:szCs w:val="22"/>
        </w:rPr>
        <w:t xml:space="preserve">24 new T2D cases were discovered during the SweetDeep study itself</w:t>
      </w:r>
    </w:p>
    <w:p>
      <w:pPr>
        <w:spacing w:after="0" w:before="0"/>
      </w:pPr>
      <w:r>
        <w:br w:type="page"/>
      </w:r>
    </w:p>
    <w:p>
      <w:pPr>
        <w:pStyle w:val="Heading1"/>
        <w:shd w:fill="0A1628" w:val="clear"/>
        <w:spacing w:after="180" w:before="360"/>
        <w:ind w:left="200" w:right="200"/>
      </w:pPr>
      <w:r>
        <w:rPr>
          <w:rFonts w:ascii="Arial" w:cs="Arial" w:eastAsia="Arial" w:hAnsi="Arial"/>
          <w:b/>
          <w:bCs/>
          <w:color w:val="FFFFFF"/>
          <w:sz w:val="36"/>
          <w:szCs w:val="36"/>
        </w:rPr>
        <w:t xml:space="preserve">Chapter 2  ·  Clinical Diagnosis Methods</w:t>
      </w:r>
    </w:p>
    <w:p>
      <w:pPr>
        <w:pStyle w:val="Heading2"/>
        <w:pBdr>
          <w:bottom w:val="single" w:color="0D9488" w:sz="6" w:space="2"/>
        </w:pBdr>
        <w:spacing w:after="100" w:before="240"/>
      </w:pPr>
      <w:r>
        <w:rPr>
          <w:rFonts w:ascii="Arial" w:cs="Arial" w:eastAsia="Arial" w:hAnsi="Arial"/>
          <w:b/>
          <w:bCs/>
          <w:color w:val="0D9488"/>
          <w:sz w:val="28"/>
          <w:szCs w:val="28"/>
        </w:rPr>
        <w:t xml:space="preserve">The Four Gold-Standard Tests</w:t>
      </w:r>
    </w:p>
    <w:p>
      <w:pPr>
        <w:spacing w:after="60" w:before="60"/>
      </w:pPr>
      <w:r>
        <w:rPr>
          <w:rFonts w:ascii="Arial" w:cs="Arial" w:eastAsia="Arial" w:hAnsi="Arial"/>
          <w:color w:val="1E293B"/>
          <w:sz w:val="22"/>
          <w:szCs w:val="22"/>
        </w:rPr>
        <w:t xml:space="preserve">ADA (American Diabetes Association) and IDF (International Diabetes Federation) define diagnosis by combining three blood tests. A patient is diabetic if ANY test returns a diabetic-range result.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80"/>
        <w:gridCol w:w="2280"/>
        <w:gridCol w:w="2600"/>
      </w:tblGrid>
      <w:tr>
        <w:tc>
          <w:tcPr>
            <w:tcW w:type="dxa" w:w="220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Test</w:t>
            </w:r>
          </w:p>
        </w:tc>
        <w:tc>
          <w:tcPr>
            <w:tcW w:type="dxa" w:w="22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Threshold</w:t>
            </w:r>
          </w:p>
        </w:tc>
        <w:tc>
          <w:tcPr>
            <w:tcW w:type="dxa" w:w="22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What it measures</w:t>
            </w:r>
          </w:p>
        </w:tc>
        <w:tc>
          <w:tcPr>
            <w:tcW w:type="dxa" w:w="260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Problem</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FPG — Fasting Plasma Glucose</w:t>
            </w:r>
          </w:p>
        </w:tc>
        <w:tc>
          <w:tcPr>
            <w:tcW w:type="dxa" w:w="2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&gt;126 mg/dL = Diabetic
100-126 = Pre-diabetic</w:t>
            </w:r>
          </w:p>
        </w:tc>
        <w:tc>
          <w:tcPr>
            <w:tcW w:type="dxa" w:w="2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Blood sugar after 8-12 hrs fasting</w:t>
            </w:r>
          </w:p>
        </w:tc>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Blood draw required; one snapshot only</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OGTT 2-hour</w:t>
            </w:r>
          </w:p>
        </w:tc>
        <w:tc>
          <w:tcPr>
            <w:tcW w:type="dxa" w:w="22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&gt;200 mg/dL = Diabetic</w:t>
            </w:r>
          </w:p>
        </w:tc>
        <w:tc>
          <w:tcPr>
            <w:tcW w:type="dxa" w:w="22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Glucose response after sugary drink</w:t>
            </w:r>
          </w:p>
        </w:tc>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2-hour test; multiple blood draws</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HbA1c — Glycated Haemoglobin</w:t>
            </w:r>
          </w:p>
        </w:tc>
        <w:tc>
          <w:tcPr>
            <w:tcW w:type="dxa" w:w="2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&gt;6.5% = Diabetic
5.7-6.4% = Pre-diabetic</w:t>
            </w:r>
          </w:p>
        </w:tc>
        <w:tc>
          <w:tcPr>
            <w:tcW w:type="dxa" w:w="2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Average blood glucose over 8-12 weeks</w:t>
            </w:r>
          </w:p>
        </w:tc>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Misses early IR; lab visit required</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HOMA-IR (Insulin Resistance only)</w:t>
            </w:r>
          </w:p>
        </w:tc>
        <w:tc>
          <w:tcPr>
            <w:tcW w:type="dxa" w:w="22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&gt;2.9 = Resistant
&lt;1.5 = Sensitive</w:t>
            </w:r>
          </w:p>
        </w:tc>
        <w:tc>
          <w:tcPr>
            <w:tcW w:type="dxa" w:w="22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(Fasting Insulin × Glucose) / 405</w:t>
            </w:r>
          </w:p>
        </w:tc>
        <w:tc>
          <w:tcPr>
            <w:tcW w:type="dxa" w:w="2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Insulin test rarely done routinely</w:t>
            </w:r>
          </w:p>
        </w:tc>
      </w:tr>
    </w:tbl>
    <w:p>
      <w:pPr>
        <w:spacing w:after="80" w:before="80"/>
      </w:pPr>
    </w:p>
    <w:tbl>
      <w:tblPr>
        <w:tblW w:type="dxa" w:w="9360"/>
        <w:tblBorders>
          <w:top w:val="single" w:color="F43F5E" w:sz="8"/>
          <w:left w:val="single" w:color="F43F5E" w:sz="16"/>
          <w:bottom w:val="single" w:color="F43F5E" w:sz="8"/>
          <w:right w:val="single" w:color="F43F5E" w:sz="4"/>
          <w:insideH w:val="single" w:color="auto" w:sz="4"/>
          <w:insideV w:val="single" w:color="auto" w:sz="4"/>
        </w:tblBorders>
      </w:tblPr>
      <w:tblGrid>
        <w:gridCol w:w="9360"/>
      </w:tblGrid>
      <w:tr>
        <w:tc>
          <w:tcPr>
            <w:tcW w:type="dxa" w:w="9360"/>
            <w:tcBorders>
              <w:top w:val="none"/>
              <w:left w:val="none"/>
              <w:bottom w:val="none"/>
              <w:right w:val="none"/>
            </w:tcBorders>
            <w:shd w:fill="FFE4E6" w:val="clear"/>
            <w:tcMar>
              <w:top w:type="dxa" w:w="140"/>
              <w:left w:type="dxa" w:w="200"/>
              <w:bottom w:type="dxa" w:w="140"/>
              <w:right w:type="dxa" w:w="200"/>
            </w:tcMar>
          </w:tcPr>
          <w:p>
            <w:pPr>
              <w:spacing w:after="60" w:before="0"/>
            </w:pPr>
            <w:r>
              <w:rPr>
                <w:rFonts w:ascii="Arial" w:cs="Arial" w:eastAsia="Arial" w:hAnsi="Arial"/>
                <w:b/>
                <w:bCs/>
                <w:color w:val="0A1628"/>
                <w:sz w:val="22"/>
                <w:szCs w:val="22"/>
              </w:rPr>
              <w:t xml:space="preserve">Critical Viva Point</w:t>
            </w:r>
          </w:p>
          <w:p>
            <w:pPr>
              <w:spacing w:after="0" w:before="0"/>
            </w:pPr>
            <w:r>
              <w:rPr>
                <w:rFonts w:ascii="Arial" w:cs="Arial" w:eastAsia="Arial" w:hAnsi="Arial"/>
                <w:color w:val="1E293B"/>
                <w:sz w:val="21"/>
                <w:szCs w:val="21"/>
              </w:rPr>
              <w:t xml:space="preserve">HOMA-IR is the ground truth label used in Google's paper. It requires measuring both fasting insulin AND fasting glucose — insulin measurement is the bottleneck. That's why 20% of normoglycemic participants in Google's study were already insulin resistant without knowing it: HbA1c and glucose missed them.</w:t>
            </w:r>
          </w:p>
        </w:tc>
      </w:tr>
    </w:tbl>
    <w:p>
      <w:pPr>
        <w:spacing w:after="80" w:before="80"/>
      </w:pPr>
    </w:p>
    <w:p>
      <w:pPr>
        <w:pStyle w:val="Heading2"/>
        <w:pBdr>
          <w:bottom w:val="single" w:color="0D9488" w:sz="6" w:space="2"/>
        </w:pBdr>
        <w:spacing w:after="100" w:before="240"/>
      </w:pPr>
      <w:r>
        <w:rPr>
          <w:rFonts w:ascii="Arial" w:cs="Arial" w:eastAsia="Arial" w:hAnsi="Arial"/>
          <w:b/>
          <w:bCs/>
          <w:color w:val="0D9488"/>
          <w:sz w:val="28"/>
          <w:szCs w:val="28"/>
        </w:rPr>
        <w:t xml:space="preserve">Why These Tests Create a Detection Gap</w:t>
      </w:r>
    </w:p>
    <w:p>
      <w:pPr>
        <w:pStyle w:val="ListParagraph"/>
        <w:numPr>
          <w:ilvl w:val="0"/>
          <w:numId w:val="2"/>
        </w:numPr>
        <w:spacing w:after="40" w:before="40"/>
      </w:pPr>
      <w:r>
        <w:rPr>
          <w:rFonts w:ascii="Arial" w:cs="Arial" w:eastAsia="Arial" w:hAnsi="Arial"/>
          <w:b w:val="false"/>
          <w:bCs w:val="false"/>
          <w:color w:val="1E293B"/>
          <w:sz w:val="22"/>
          <w:szCs w:val="22"/>
        </w:rPr>
        <w:t xml:space="preserve">Invasive: blood draw required every time</w:t>
      </w:r>
    </w:p>
    <w:p>
      <w:pPr>
        <w:pStyle w:val="ListParagraph"/>
        <w:numPr>
          <w:ilvl w:val="0"/>
          <w:numId w:val="2"/>
        </w:numPr>
        <w:spacing w:after="40" w:before="40"/>
      </w:pPr>
      <w:r>
        <w:rPr>
          <w:rFonts w:ascii="Arial" w:cs="Arial" w:eastAsia="Arial" w:hAnsi="Arial"/>
          <w:b w:val="false"/>
          <w:bCs w:val="false"/>
          <w:color w:val="1E293B"/>
          <w:sz w:val="22"/>
          <w:szCs w:val="22"/>
        </w:rPr>
        <w:t xml:space="preserve">Infrequent: most people get tested once per year at best</w:t>
      </w:r>
    </w:p>
    <w:p>
      <w:pPr>
        <w:pStyle w:val="ListParagraph"/>
        <w:numPr>
          <w:ilvl w:val="0"/>
          <w:numId w:val="2"/>
        </w:numPr>
        <w:spacing w:after="40" w:before="40"/>
      </w:pPr>
      <w:r>
        <w:rPr>
          <w:rFonts w:ascii="Arial" w:cs="Arial" w:eastAsia="Arial" w:hAnsi="Arial"/>
          <w:b w:val="false"/>
          <w:bCs w:val="false"/>
          <w:color w:val="1E293B"/>
          <w:sz w:val="22"/>
          <w:szCs w:val="22"/>
        </w:rPr>
        <w:t xml:space="preserve">Inconsistent: FPG, OGTT and HbA1c often disagree on the same patient</w:t>
      </w:r>
    </w:p>
    <w:p>
      <w:pPr>
        <w:pStyle w:val="ListParagraph"/>
        <w:numPr>
          <w:ilvl w:val="0"/>
          <w:numId w:val="2"/>
        </w:numPr>
        <w:spacing w:after="40" w:before="40"/>
      </w:pPr>
      <w:r>
        <w:rPr>
          <w:rFonts w:ascii="Arial" w:cs="Arial" w:eastAsia="Arial" w:hAnsi="Arial"/>
          <w:b w:val="false"/>
          <w:bCs w:val="false"/>
          <w:color w:val="1E293B"/>
          <w:sz w:val="22"/>
          <w:szCs w:val="22"/>
        </w:rPr>
        <w:t xml:space="preserve">Logistically hard: lab visit required, results take hours</w:t>
      </w:r>
    </w:p>
    <w:p>
      <w:pPr>
        <w:pStyle w:val="ListParagraph"/>
        <w:numPr>
          <w:ilvl w:val="0"/>
          <w:numId w:val="2"/>
        </w:numPr>
        <w:spacing w:after="40" w:before="40"/>
      </w:pPr>
      <w:r>
        <w:rPr>
          <w:rFonts w:ascii="Arial" w:cs="Arial" w:eastAsia="Arial" w:hAnsi="Arial"/>
          <w:b w:val="false"/>
          <w:bCs w:val="false"/>
          <w:color w:val="1E293B"/>
          <w:sz w:val="22"/>
          <w:szCs w:val="22"/>
        </w:rPr>
        <w:t xml:space="preserve">Result: 42.8% global underdiagnosis rate</w:t>
      </w:r>
    </w:p>
    <w:p>
      <w:pPr>
        <w:spacing w:after="0" w:before="0"/>
      </w:pPr>
      <w:r>
        <w:br w:type="page"/>
      </w:r>
    </w:p>
    <w:p>
      <w:pPr>
        <w:pStyle w:val="Heading1"/>
        <w:shd w:fill="0A1628" w:val="clear"/>
        <w:spacing w:after="180" w:before="360"/>
        <w:ind w:left="200" w:right="200"/>
      </w:pPr>
      <w:r>
        <w:rPr>
          <w:rFonts w:ascii="Arial" w:cs="Arial" w:eastAsia="Arial" w:hAnsi="Arial"/>
          <w:b/>
          <w:bCs/>
          <w:color w:val="FFFFFF"/>
          <w:sz w:val="36"/>
          <w:szCs w:val="36"/>
        </w:rPr>
        <w:t xml:space="preserve">Chapter 3  ·  Wearable Sensors — How They Work</w:t>
      </w:r>
    </w:p>
    <w:p>
      <w:pPr>
        <w:pStyle w:val="Heading2"/>
        <w:pBdr>
          <w:bottom w:val="single" w:color="0D9488" w:sz="6" w:space="2"/>
        </w:pBdr>
        <w:spacing w:after="100" w:before="240"/>
      </w:pPr>
      <w:r>
        <w:rPr>
          <w:rFonts w:ascii="Arial" w:cs="Arial" w:eastAsia="Arial" w:hAnsi="Arial"/>
          <w:b/>
          <w:bCs/>
          <w:color w:val="0D9488"/>
          <w:sz w:val="28"/>
          <w:szCs w:val="28"/>
        </w:rPr>
        <w:t xml:space="preserve">ECG — Electrocardiography</w:t>
      </w:r>
    </w:p>
    <w:p>
      <w:pPr>
        <w:spacing w:after="60" w:before="60"/>
      </w:pPr>
      <w:r>
        <w:rPr>
          <w:rFonts w:ascii="Arial" w:cs="Arial" w:eastAsia="Arial" w:hAnsi="Arial"/>
          <w:color w:val="1E293B"/>
          <w:sz w:val="22"/>
          <w:szCs w:val="22"/>
        </w:rPr>
        <w:t xml:space="preserve">Analogy: Think of the heart as an electrical pump. Every heartbeat generates a tiny electrical wave that travels through your body. ECG electrodes on the skin surface pick up this wave.</w:t>
      </w:r>
    </w:p>
    <w:p>
      <w:pPr>
        <w:spacing w:after="80" w:before="80"/>
      </w:pPr>
    </w:p>
    <w:p>
      <w:pPr>
        <w:spacing w:after="60" w:before="180"/>
      </w:pPr>
      <w:r>
        <w:rPr>
          <w:rFonts w:ascii="Arial" w:cs="Arial" w:eastAsia="Arial" w:hAnsi="Arial"/>
          <w:b/>
          <w:bCs/>
          <w:color w:val="0A1628"/>
          <w:sz w:val="24"/>
          <w:szCs w:val="24"/>
        </w:rPr>
        <w:t xml:space="preserve">What an ECG Records — The PQRST Wave</w:t>
      </w:r>
    </w:p>
    <w:p>
      <w:pPr>
        <w:pStyle w:val="ListParagraph"/>
        <w:numPr>
          <w:ilvl w:val="0"/>
          <w:numId w:val="2"/>
        </w:numPr>
        <w:spacing w:after="40" w:before="40"/>
      </w:pPr>
      <w:r>
        <w:rPr>
          <w:rFonts w:ascii="Arial" w:cs="Arial" w:eastAsia="Arial" w:hAnsi="Arial"/>
          <w:b w:val="false"/>
          <w:bCs w:val="false"/>
          <w:color w:val="1E293B"/>
          <w:sz w:val="22"/>
          <w:szCs w:val="22"/>
        </w:rPr>
        <w:t xml:space="preserve">P wave — atria (upper chambers) contract, pushing blood into ventricles</w:t>
      </w:r>
    </w:p>
    <w:p>
      <w:pPr>
        <w:pStyle w:val="ListParagraph"/>
        <w:numPr>
          <w:ilvl w:val="0"/>
          <w:numId w:val="2"/>
        </w:numPr>
        <w:spacing w:after="40" w:before="40"/>
      </w:pPr>
      <w:r>
        <w:rPr>
          <w:rFonts w:ascii="Arial" w:cs="Arial" w:eastAsia="Arial" w:hAnsi="Arial"/>
          <w:b w:val="false"/>
          <w:bCs w:val="false"/>
          <w:color w:val="1E293B"/>
          <w:sz w:val="22"/>
          <w:szCs w:val="22"/>
        </w:rPr>
        <w:t xml:space="preserve">QRS complex — ventricles contract, pumping blood to lungs/body. The R peak is the tallest point</w:t>
      </w:r>
    </w:p>
    <w:p>
      <w:pPr>
        <w:pStyle w:val="ListParagraph"/>
        <w:numPr>
          <w:ilvl w:val="0"/>
          <w:numId w:val="2"/>
        </w:numPr>
        <w:spacing w:after="40" w:before="40"/>
      </w:pPr>
      <w:r>
        <w:rPr>
          <w:rFonts w:ascii="Arial" w:cs="Arial" w:eastAsia="Arial" w:hAnsi="Arial"/>
          <w:b w:val="false"/>
          <w:bCs w:val="false"/>
          <w:color w:val="1E293B"/>
          <w:sz w:val="22"/>
          <w:szCs w:val="22"/>
        </w:rPr>
        <w:t xml:space="preserve">T wave — ventricles relax and reset</w:t>
      </w:r>
    </w:p>
    <w:p>
      <w:pPr>
        <w:spacing w:after="80" w:before="80"/>
      </w:pPr>
    </w:p>
    <w:p>
      <w:pPr>
        <w:spacing w:after="60" w:before="180"/>
      </w:pPr>
      <w:r>
        <w:rPr>
          <w:rFonts w:ascii="Arial" w:cs="Arial" w:eastAsia="Arial" w:hAnsi="Arial"/>
          <w:b/>
          <w:bCs/>
          <w:color w:val="0A1628"/>
          <w:sz w:val="24"/>
          <w:szCs w:val="24"/>
        </w:rPr>
        <w:t xml:space="preserve">Key Features Extracted from ECG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Feature</w:t>
            </w:r>
          </w:p>
        </w:tc>
        <w:tc>
          <w:tcPr>
            <w:tcW w:type="dxa" w:w="34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What it is</w:t>
            </w:r>
          </w:p>
        </w:tc>
        <w:tc>
          <w:tcPr>
            <w:tcW w:type="dxa" w:w="34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Diabetes Link</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QTc interval</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 from Q-start to T-end, corrected for heart rate</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Elevated QTc = early sign of Cardiac Autonomic Neuropathy (CAN)</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SDNN</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Standard deviation of RR intervals (beat-to-beat timing)</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Lower SDNN = reduced heart rate variability = autonomic nerve damage</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RMSSD</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Root mean square of successive RR differences</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Lower RMSSD = reduced parasympathetic activity; marker of CAN</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RR interval</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Time between consecutive R peaks (inter-beat interval)</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Used to compute all HRV metrics</w:t>
            </w:r>
          </w:p>
        </w:tc>
      </w:tr>
    </w:tbl>
    <w:p>
      <w:pPr>
        <w:spacing w:after="80" w:before="80"/>
      </w:pPr>
    </w:p>
    <w:p>
      <w:pPr>
        <w:pStyle w:val="Heading2"/>
        <w:pBdr>
          <w:bottom w:val="single" w:color="0D9488" w:sz="6" w:space="2"/>
        </w:pBdr>
        <w:spacing w:after="100" w:before="240"/>
      </w:pPr>
      <w:r>
        <w:rPr>
          <w:rFonts w:ascii="Arial" w:cs="Arial" w:eastAsia="Arial" w:hAnsi="Arial"/>
          <w:b/>
          <w:bCs/>
          <w:color w:val="0D9488"/>
          <w:sz w:val="28"/>
          <w:szCs w:val="28"/>
        </w:rPr>
        <w:t xml:space="preserve">PPG — Photoplethysmography</w:t>
      </w:r>
    </w:p>
    <w:p>
      <w:pPr>
        <w:spacing w:after="60" w:before="60"/>
      </w:pPr>
      <w:r>
        <w:rPr>
          <w:rFonts w:ascii="Arial" w:cs="Arial" w:eastAsia="Arial" w:hAnsi="Arial"/>
          <w:color w:val="1E293B"/>
          <w:sz w:val="22"/>
          <w:szCs w:val="22"/>
        </w:rPr>
        <w:t xml:space="preserve">Analogy: Shine a torch through your finger — more blood = less light passes through. PPG does exactly this, measuring tiny changes in blood volume with each heartbeat.</w:t>
      </w:r>
    </w:p>
    <w:p>
      <w:pPr>
        <w:pStyle w:val="ListParagraph"/>
        <w:numPr>
          <w:ilvl w:val="0"/>
          <w:numId w:val="2"/>
        </w:numPr>
        <w:spacing w:after="40" w:before="40"/>
      </w:pPr>
      <w:r>
        <w:rPr>
          <w:rFonts w:ascii="Arial" w:cs="Arial" w:eastAsia="Arial" w:hAnsi="Arial"/>
          <w:b w:val="false"/>
          <w:bCs w:val="false"/>
          <w:color w:val="1E293B"/>
          <w:sz w:val="22"/>
          <w:szCs w:val="22"/>
        </w:rPr>
        <w:t xml:space="preserve">A coloured LED (green, red, or infrared) shines into the skin</w:t>
      </w:r>
    </w:p>
    <w:p>
      <w:pPr>
        <w:pStyle w:val="ListParagraph"/>
        <w:numPr>
          <w:ilvl w:val="0"/>
          <w:numId w:val="2"/>
        </w:numPr>
        <w:spacing w:after="40" w:before="40"/>
      </w:pPr>
      <w:r>
        <w:rPr>
          <w:rFonts w:ascii="Arial" w:cs="Arial" w:eastAsia="Arial" w:hAnsi="Arial"/>
          <w:b w:val="false"/>
          <w:bCs w:val="false"/>
          <w:color w:val="1E293B"/>
          <w:sz w:val="22"/>
          <w:szCs w:val="22"/>
        </w:rPr>
        <w:t xml:space="preserve">A photodetector measures how much light bounces back</w:t>
      </w:r>
    </w:p>
    <w:p>
      <w:pPr>
        <w:pStyle w:val="ListParagraph"/>
        <w:numPr>
          <w:ilvl w:val="0"/>
          <w:numId w:val="2"/>
        </w:numPr>
        <w:spacing w:after="40" w:before="40"/>
      </w:pPr>
      <w:r>
        <w:rPr>
          <w:rFonts w:ascii="Arial" w:cs="Arial" w:eastAsia="Arial" w:hAnsi="Arial"/>
          <w:b w:val="false"/>
          <w:bCs w:val="false"/>
          <w:color w:val="1E293B"/>
          <w:sz w:val="22"/>
          <w:szCs w:val="22"/>
        </w:rPr>
        <w:t xml:space="preserve">More blood in vessels = more light absorbed = lower signal</w:t>
      </w:r>
    </w:p>
    <w:p>
      <w:pPr>
        <w:pStyle w:val="ListParagraph"/>
        <w:numPr>
          <w:ilvl w:val="0"/>
          <w:numId w:val="2"/>
        </w:numPr>
        <w:spacing w:after="40" w:before="40"/>
      </w:pPr>
      <w:r>
        <w:rPr>
          <w:rFonts w:ascii="Arial" w:cs="Arial" w:eastAsia="Arial" w:hAnsi="Arial"/>
          <w:b w:val="false"/>
          <w:bCs w:val="false"/>
          <w:color w:val="1E293B"/>
          <w:sz w:val="22"/>
          <w:szCs w:val="22"/>
        </w:rPr>
        <w:t xml:space="preserve">Each heartbeat creates a characteristic waveform in the PPG signal</w:t>
      </w:r>
    </w:p>
    <w:p>
      <w:pPr>
        <w:spacing w:after="80" w:before="80"/>
      </w:pPr>
    </w:p>
    <w:p>
      <w:pPr>
        <w:spacing w:after="60" w:before="180"/>
      </w:pPr>
      <w:r>
        <w:rPr>
          <w:rFonts w:ascii="Arial" w:cs="Arial" w:eastAsia="Arial" w:hAnsi="Arial"/>
          <w:b/>
          <w:bCs/>
          <w:color w:val="0A1628"/>
          <w:sz w:val="24"/>
          <w:szCs w:val="24"/>
        </w:rPr>
        <w:t xml:space="preserve">What PPG Measures for Diabetes</w:t>
      </w:r>
    </w:p>
    <w:p>
      <w:pPr>
        <w:pStyle w:val="ListParagraph"/>
        <w:numPr>
          <w:ilvl w:val="0"/>
          <w:numId w:val="2"/>
        </w:numPr>
        <w:spacing w:after="40" w:before="40"/>
      </w:pPr>
      <w:r>
        <w:rPr>
          <w:rFonts w:ascii="Arial" w:cs="Arial" w:eastAsia="Arial" w:hAnsi="Arial"/>
          <w:b w:val="false"/>
          <w:bCs w:val="false"/>
          <w:color w:val="1E293B"/>
          <w:sz w:val="22"/>
          <w:szCs w:val="22"/>
        </w:rPr>
        <w:t xml:space="preserve">Arterial stiffness — diabetic vascular damage makes arteries stiffer</w:t>
      </w:r>
    </w:p>
    <w:p>
      <w:pPr>
        <w:pStyle w:val="ListParagraph"/>
        <w:numPr>
          <w:ilvl w:val="0"/>
          <w:numId w:val="2"/>
        </w:numPr>
        <w:spacing w:after="40" w:before="40"/>
      </w:pPr>
      <w:r>
        <w:rPr>
          <w:rFonts w:ascii="Arial" w:cs="Arial" w:eastAsia="Arial" w:hAnsi="Arial"/>
          <w:b w:val="false"/>
          <w:bCs w:val="false"/>
          <w:color w:val="1E293B"/>
          <w:sz w:val="22"/>
          <w:szCs w:val="22"/>
        </w:rPr>
        <w:t xml:space="preserve">Total Peripheral Resistance (TPR) — resistance of all blood vessels</w:t>
      </w:r>
    </w:p>
    <w:p>
      <w:pPr>
        <w:pStyle w:val="ListParagraph"/>
        <w:numPr>
          <w:ilvl w:val="0"/>
          <w:numId w:val="2"/>
        </w:numPr>
        <w:spacing w:after="40" w:before="40"/>
      </w:pPr>
      <w:r>
        <w:rPr>
          <w:rFonts w:ascii="Arial" w:cs="Arial" w:eastAsia="Arial" w:hAnsi="Arial"/>
          <w:b w:val="false"/>
          <w:bCs w:val="false"/>
          <w:color w:val="1E293B"/>
          <w:sz w:val="22"/>
          <w:szCs w:val="22"/>
        </w:rPr>
        <w:t xml:space="preserve">Cardiac Output (CO) — volume of blood pumped per minute</w:t>
      </w:r>
    </w:p>
    <w:p>
      <w:pPr>
        <w:pStyle w:val="ListParagraph"/>
        <w:numPr>
          <w:ilvl w:val="0"/>
          <w:numId w:val="2"/>
        </w:numPr>
        <w:spacing w:after="40" w:before="40"/>
      </w:pPr>
      <w:r>
        <w:rPr>
          <w:rFonts w:ascii="Arial" w:cs="Arial" w:eastAsia="Arial" w:hAnsi="Arial"/>
          <w:b w:val="false"/>
          <w:bCs w:val="false"/>
          <w:color w:val="1E293B"/>
          <w:sz w:val="22"/>
          <w:szCs w:val="22"/>
        </w:rPr>
        <w:t xml:space="preserve">HRV can also be derived from PPG (via pulse intervals)</w:t>
      </w:r>
    </w:p>
    <w:p>
      <w:pPr>
        <w:spacing w:after="80" w:before="80"/>
      </w:pPr>
    </w:p>
    <w:tbl>
      <w:tblPr>
        <w:tblW w:type="dxa" w:w="9360"/>
        <w:tblBorders>
          <w:top w:val="single" w:color="F59E0B" w:sz="8"/>
          <w:left w:val="single" w:color="F59E0B" w:sz="16"/>
          <w:bottom w:val="single" w:color="F59E0B" w:sz="8"/>
          <w:right w:val="single" w:color="F59E0B" w:sz="4"/>
          <w:insideH w:val="single" w:color="auto" w:sz="4"/>
          <w:insideV w:val="single" w:color="auto" w:sz="4"/>
        </w:tblBorders>
      </w:tblPr>
      <w:tblGrid>
        <w:gridCol w:w="9360"/>
      </w:tblGrid>
      <w:tr>
        <w:tc>
          <w:tcPr>
            <w:tcW w:type="dxa" w:w="9360"/>
            <w:tcBorders>
              <w:top w:val="none"/>
              <w:left w:val="none"/>
              <w:bottom w:val="none"/>
              <w:right w:val="none"/>
            </w:tcBorders>
            <w:shd w:fill="FEF3C7" w:val="clear"/>
            <w:tcMar>
              <w:top w:type="dxa" w:w="140"/>
              <w:left w:type="dxa" w:w="200"/>
              <w:bottom w:type="dxa" w:w="140"/>
              <w:right w:type="dxa" w:w="200"/>
            </w:tcMar>
          </w:tcPr>
          <w:p>
            <w:pPr>
              <w:spacing w:after="60" w:before="0"/>
            </w:pPr>
            <w:r>
              <w:rPr>
                <w:rFonts w:ascii="Arial" w:cs="Arial" w:eastAsia="Arial" w:hAnsi="Arial"/>
                <w:b/>
                <w:bCs/>
                <w:color w:val="0A1628"/>
                <w:sz w:val="22"/>
                <w:szCs w:val="22"/>
              </w:rPr>
              <w:t xml:space="preserve">PPG Limitation</w:t>
            </w:r>
          </w:p>
          <w:p>
            <w:pPr>
              <w:spacing w:after="0" w:before="0"/>
            </w:pPr>
            <w:r>
              <w:rPr>
                <w:rFonts w:ascii="Arial" w:cs="Arial" w:eastAsia="Arial" w:hAnsi="Arial"/>
                <w:color w:val="1E293B"/>
                <w:sz w:val="21"/>
                <w:szCs w:val="21"/>
              </w:rPr>
              <w:t xml:space="preserve">PPG is highly susceptible to motion artifacts — walking, arm movement, or finger taps corrupt the signal. SweetDeep addresses this by aligning PPG segments with stable ECG segments to filter out motion-affected recordings.</w:t>
            </w:r>
          </w:p>
        </w:tc>
      </w:tr>
    </w:tbl>
    <w:p>
      <w:pPr>
        <w:spacing w:after="80" w:before="80"/>
      </w:pPr>
    </w:p>
    <w:p>
      <w:pPr>
        <w:pStyle w:val="Heading2"/>
        <w:pBdr>
          <w:bottom w:val="single" w:color="0D9488" w:sz="6" w:space="2"/>
        </w:pBdr>
        <w:spacing w:after="100" w:before="240"/>
      </w:pPr>
      <w:r>
        <w:rPr>
          <w:rFonts w:ascii="Arial" w:cs="Arial" w:eastAsia="Arial" w:hAnsi="Arial"/>
          <w:b/>
          <w:bCs/>
          <w:color w:val="0D9488"/>
          <w:sz w:val="28"/>
          <w:szCs w:val="28"/>
        </w:rPr>
        <w:t xml:space="preserve">BIA — Bioelectrical Impedance Analysis</w:t>
      </w:r>
    </w:p>
    <w:p>
      <w:pPr>
        <w:spacing w:after="60" w:before="60"/>
      </w:pPr>
      <w:r>
        <w:rPr>
          <w:rFonts w:ascii="Arial" w:cs="Arial" w:eastAsia="Arial" w:hAnsi="Arial"/>
          <w:color w:val="1E293B"/>
          <w:sz w:val="22"/>
          <w:szCs w:val="22"/>
        </w:rPr>
        <w:t xml:space="preserve">Analogy: Different tissues conduct electricity differently. Muscle is mostly water — good conductor. Fat has low water — poor conductor. BIA sends a tiny, safe electrical current through the body and measures the resistance (impedance).</w:t>
      </w:r>
    </w:p>
    <w:p>
      <w:pPr>
        <w:pStyle w:val="ListParagraph"/>
        <w:numPr>
          <w:ilvl w:val="0"/>
          <w:numId w:val="2"/>
        </w:numPr>
        <w:spacing w:after="40" w:before="40"/>
      </w:pPr>
      <w:r>
        <w:rPr>
          <w:rFonts w:ascii="Arial" w:cs="Arial" w:eastAsia="Arial" w:hAnsi="Arial"/>
          <w:b w:val="false"/>
          <w:bCs w:val="false"/>
          <w:color w:val="1E293B"/>
          <w:sz w:val="22"/>
          <w:szCs w:val="22"/>
        </w:rPr>
        <w:t xml:space="preserve">Fat-free mass conducts more → lower impedance</w:t>
      </w:r>
    </w:p>
    <w:p>
      <w:pPr>
        <w:pStyle w:val="ListParagraph"/>
        <w:numPr>
          <w:ilvl w:val="0"/>
          <w:numId w:val="2"/>
        </w:numPr>
        <w:spacing w:after="40" w:before="40"/>
      </w:pPr>
      <w:r>
        <w:rPr>
          <w:rFonts w:ascii="Arial" w:cs="Arial" w:eastAsia="Arial" w:hAnsi="Arial"/>
          <w:b w:val="false"/>
          <w:bCs w:val="false"/>
          <w:color w:val="1E293B"/>
          <w:sz w:val="22"/>
          <w:szCs w:val="22"/>
        </w:rPr>
        <w:t xml:space="preserve">High body fat → higher impedance</w:t>
      </w:r>
    </w:p>
    <w:p>
      <w:pPr>
        <w:pStyle w:val="ListParagraph"/>
        <w:numPr>
          <w:ilvl w:val="0"/>
          <w:numId w:val="2"/>
        </w:numPr>
        <w:spacing w:after="40" w:before="40"/>
      </w:pPr>
      <w:r>
        <w:rPr>
          <w:rFonts w:ascii="Arial" w:cs="Arial" w:eastAsia="Arial" w:hAnsi="Arial"/>
          <w:b w:val="false"/>
          <w:bCs w:val="false"/>
          <w:color w:val="1E293B"/>
          <w:sz w:val="22"/>
          <w:szCs w:val="22"/>
        </w:rPr>
        <w:t xml:space="preserve">Outputs: Body Fat Mass (BFM), Skeletal Muscle Mass (SMM), Total Body Water (TBW), Basal Metabolic Rate (BMR)</w:t>
      </w:r>
    </w:p>
    <w:p>
      <w:pPr>
        <w:pStyle w:val="ListParagraph"/>
        <w:numPr>
          <w:ilvl w:val="0"/>
          <w:numId w:val="2"/>
        </w:numPr>
        <w:spacing w:after="40" w:before="40"/>
      </w:pPr>
      <w:r>
        <w:rPr>
          <w:rFonts w:ascii="Arial" w:cs="Arial" w:eastAsia="Arial" w:hAnsi="Arial"/>
          <w:b w:val="false"/>
          <w:bCs w:val="false"/>
          <w:color w:val="1E293B"/>
          <w:sz w:val="22"/>
          <w:szCs w:val="22"/>
        </w:rPr>
        <w:t xml:space="preserve">Diabetes link: obesity and metabolic dysfunction alter body composition measurably</w:t>
      </w:r>
    </w:p>
    <w:p>
      <w:pPr>
        <w:spacing w:after="80" w:before="80"/>
      </w:pPr>
    </w:p>
    <w:p>
      <w:pPr>
        <w:pStyle w:val="Heading2"/>
        <w:pBdr>
          <w:bottom w:val="single" w:color="0D9488" w:sz="6" w:space="2"/>
        </w:pBdr>
        <w:spacing w:after="100" w:before="240"/>
      </w:pPr>
      <w:r>
        <w:rPr>
          <w:rFonts w:ascii="Arial" w:cs="Arial" w:eastAsia="Arial" w:hAnsi="Arial"/>
          <w:b/>
          <w:bCs/>
          <w:color w:val="0D9488"/>
          <w:sz w:val="28"/>
          <w:szCs w:val="28"/>
        </w:rPr>
        <w:t xml:space="preserve">Wearable Devices Used in the Papers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Paper</w:t>
            </w:r>
          </w:p>
        </w:tc>
        <w:tc>
          <w:tcPr>
            <w:tcW w:type="dxa" w:w="34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Device</w:t>
            </w:r>
          </w:p>
        </w:tc>
        <w:tc>
          <w:tcPr>
            <w:tcW w:type="dxa" w:w="34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Sensors Available</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SweetDeep</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Samsung Galaxy Watch 7</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ECG (single-lead), PPG, BIA, skin temperature, blood oxygen, accelerometer</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Google IR</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Fitbit / Google Pixel Watch</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PPG-derived RHR and HRV, step counter, sleep tracker, skin temperature</w:t>
            </w:r>
          </w:p>
        </w:tc>
      </w:tr>
    </w:tbl>
    <w:p>
      <w:pPr>
        <w:spacing w:after="0" w:before="0"/>
      </w:pPr>
      <w:r>
        <w:br w:type="page"/>
      </w:r>
    </w:p>
    <w:p>
      <w:pPr>
        <w:pStyle w:val="Heading1"/>
        <w:shd w:fill="0A1628" w:val="clear"/>
        <w:spacing w:after="180" w:before="360"/>
        <w:ind w:left="200" w:right="200"/>
      </w:pPr>
      <w:r>
        <w:rPr>
          <w:rFonts w:ascii="Arial" w:cs="Arial" w:eastAsia="Arial" w:hAnsi="Arial"/>
          <w:b/>
          <w:bCs/>
          <w:color w:val="FFFFFF"/>
          <w:sz w:val="36"/>
          <w:szCs w:val="36"/>
        </w:rPr>
        <w:t xml:space="preserve">Chapter 4  ·  The Physiological Link to Diabetes</w:t>
      </w:r>
    </w:p>
    <w:p>
      <w:pPr>
        <w:pStyle w:val="Heading2"/>
        <w:pBdr>
          <w:bottom w:val="single" w:color="0D9488" w:sz="6" w:space="2"/>
        </w:pBdr>
        <w:spacing w:after="100" w:before="240"/>
      </w:pPr>
      <w:r>
        <w:rPr>
          <w:rFonts w:ascii="Arial" w:cs="Arial" w:eastAsia="Arial" w:hAnsi="Arial"/>
          <w:b/>
          <w:bCs/>
          <w:color w:val="0D9488"/>
          <w:sz w:val="28"/>
          <w:szCs w:val="28"/>
        </w:rPr>
        <w:t xml:space="preserve">Cardiac Autonomic Neuropathy (CAN)</w:t>
      </w:r>
    </w:p>
    <w:p>
      <w:pPr>
        <w:spacing w:after="60" w:before="60"/>
      </w:pPr>
      <w:r>
        <w:rPr>
          <w:rFonts w:ascii="Arial" w:cs="Arial" w:eastAsia="Arial" w:hAnsi="Arial"/>
          <w:color w:val="1E293B"/>
          <w:sz w:val="22"/>
          <w:szCs w:val="22"/>
        </w:rPr>
        <w:t xml:space="preserve">This is the bridge between ECG/HRV signals and diabetes. Every examiner will ask about it.</w:t>
      </w:r>
    </w:p>
    <w:p>
      <w:pPr>
        <w:spacing w:after="80" w:before="80"/>
      </w:pPr>
    </w:p>
    <w:p>
      <w:pPr>
        <w:spacing w:after="60" w:before="180"/>
      </w:pPr>
      <w:r>
        <w:rPr>
          <w:rFonts w:ascii="Arial" w:cs="Arial" w:eastAsia="Arial" w:hAnsi="Arial"/>
          <w:b/>
          <w:bCs/>
          <w:color w:val="0A1628"/>
          <w:sz w:val="24"/>
          <w:szCs w:val="24"/>
        </w:rPr>
        <w:t xml:space="preserve">Step-by-step mechanism</w:t>
      </w:r>
    </w:p>
    <w:p>
      <w:pPr>
        <w:pStyle w:val="ListParagraph"/>
        <w:numPr>
          <w:ilvl w:val="0"/>
          <w:numId w:val="3"/>
        </w:numPr>
        <w:spacing w:after="40" w:before="40"/>
      </w:pPr>
      <w:r>
        <w:rPr>
          <w:rFonts w:ascii="Arial" w:cs="Arial" w:eastAsia="Arial" w:hAnsi="Arial"/>
          <w:color w:val="1E293B"/>
          <w:sz w:val="22"/>
          <w:szCs w:val="22"/>
        </w:rPr>
        <w:t xml:space="preserve">Chronic high blood sugar (hyperglycemia) causes glucose to bind to proteins and lipids — a process called glycation</w:t>
      </w:r>
    </w:p>
    <w:p>
      <w:pPr>
        <w:pStyle w:val="ListParagraph"/>
        <w:numPr>
          <w:ilvl w:val="0"/>
          <w:numId w:val="3"/>
        </w:numPr>
        <w:spacing w:after="40" w:before="40"/>
      </w:pPr>
      <w:r>
        <w:rPr>
          <w:rFonts w:ascii="Arial" w:cs="Arial" w:eastAsia="Arial" w:hAnsi="Arial"/>
          <w:color w:val="1E293B"/>
          <w:sz w:val="22"/>
          <w:szCs w:val="22"/>
        </w:rPr>
        <w:t xml:space="preserve">Glycation progressively damages the autonomic nerves that regulate heart rate and blood vessels</w:t>
      </w:r>
    </w:p>
    <w:p>
      <w:pPr>
        <w:pStyle w:val="ListParagraph"/>
        <w:numPr>
          <w:ilvl w:val="0"/>
          <w:numId w:val="3"/>
        </w:numPr>
        <w:spacing w:after="40" w:before="40"/>
      </w:pPr>
      <w:r>
        <w:rPr>
          <w:rFonts w:ascii="Arial" w:cs="Arial" w:eastAsia="Arial" w:hAnsi="Arial"/>
          <w:color w:val="1E293B"/>
          <w:sz w:val="22"/>
          <w:szCs w:val="22"/>
        </w:rPr>
        <w:t xml:space="preserve">This damage is called Cardiac Autonomic Neuropathy (CAN)</w:t>
      </w:r>
    </w:p>
    <w:p>
      <w:pPr>
        <w:pStyle w:val="ListParagraph"/>
        <w:numPr>
          <w:ilvl w:val="0"/>
          <w:numId w:val="3"/>
        </w:numPr>
        <w:spacing w:after="40" w:before="40"/>
      </w:pPr>
      <w:r>
        <w:rPr>
          <w:rFonts w:ascii="Arial" w:cs="Arial" w:eastAsia="Arial" w:hAnsi="Arial"/>
          <w:color w:val="1E293B"/>
          <w:sz w:val="22"/>
          <w:szCs w:val="22"/>
        </w:rPr>
        <w:t xml:space="preserve">CAN appears within the first year of T2D onset — even in treated patients</w:t>
      </w:r>
    </w:p>
    <w:p>
      <w:pPr>
        <w:pStyle w:val="ListParagraph"/>
        <w:numPr>
          <w:ilvl w:val="0"/>
          <w:numId w:val="3"/>
        </w:numPr>
        <w:spacing w:after="40" w:before="40"/>
      </w:pPr>
      <w:r>
        <w:rPr>
          <w:rFonts w:ascii="Arial" w:cs="Arial" w:eastAsia="Arial" w:hAnsi="Arial"/>
          <w:color w:val="1E293B"/>
          <w:sz w:val="22"/>
          <w:szCs w:val="22"/>
        </w:rPr>
        <w:t xml:space="preserve">Detectable signatures of CAN: lower HRV (SDNN/RMSSD), prolonged QTc interval, elevated resting heart rate</w:t>
      </w:r>
    </w:p>
    <w:p>
      <w:pPr>
        <w:spacing w:after="80" w:before="80"/>
      </w:pPr>
    </w:p>
    <w:tbl>
      <w:tblPr>
        <w:tblW w:type="dxa" w:w="9360"/>
        <w:tblBorders>
          <w:top w:val="single" w:color="0D9488" w:sz="8"/>
          <w:left w:val="single" w:color="0D9488" w:sz="16"/>
          <w:bottom w:val="single" w:color="0D9488" w:sz="8"/>
          <w:right w:val="single" w:color="0D9488" w:sz="4"/>
          <w:insideH w:val="single" w:color="auto" w:sz="4"/>
          <w:insideV w:val="single" w:color="auto" w:sz="4"/>
        </w:tblBorders>
      </w:tblPr>
      <w:tblGrid>
        <w:gridCol w:w="9360"/>
      </w:tblGrid>
      <w:tr>
        <w:tc>
          <w:tcPr>
            <w:tcW w:type="dxa" w:w="9360"/>
            <w:tcBorders>
              <w:top w:val="none"/>
              <w:left w:val="none"/>
              <w:bottom w:val="none"/>
              <w:right w:val="none"/>
            </w:tcBorders>
            <w:shd w:fill="CCFBF1" w:val="clear"/>
            <w:tcMar>
              <w:top w:type="dxa" w:w="140"/>
              <w:left w:type="dxa" w:w="200"/>
              <w:bottom w:type="dxa" w:w="140"/>
              <w:right w:type="dxa" w:w="200"/>
            </w:tcMar>
          </w:tcPr>
          <w:p>
            <w:pPr>
              <w:spacing w:after="60" w:before="0"/>
            </w:pPr>
            <w:r>
              <w:rPr>
                <w:rFonts w:ascii="Arial" w:cs="Arial" w:eastAsia="Arial" w:hAnsi="Arial"/>
                <w:b/>
                <w:bCs/>
                <w:color w:val="0A1628"/>
                <w:sz w:val="22"/>
                <w:szCs w:val="22"/>
              </w:rPr>
              <w:t xml:space="preserve">Why This Matters</w:t>
            </w:r>
          </w:p>
          <w:p>
            <w:pPr>
              <w:spacing w:after="0" w:before="0"/>
            </w:pPr>
            <w:r>
              <w:rPr>
                <w:rFonts w:ascii="Arial" w:cs="Arial" w:eastAsia="Arial" w:hAnsi="Arial"/>
                <w:color w:val="1E293B"/>
                <w:sz w:val="21"/>
                <w:szCs w:val="21"/>
              </w:rPr>
              <w:t xml:space="preserve">CAN creates a measurable ECG and PPG 'fingerprint' that distinguishes T2D patients from healthy individuals. This is the physiological justification for using ECG-derived features to predict diabetes — it is not a statistical trick, it reflects real nerve damage.</w:t>
            </w:r>
          </w:p>
        </w:tc>
      </w:tr>
    </w:tbl>
    <w:p>
      <w:pPr>
        <w:spacing w:after="80" w:before="80"/>
      </w:pPr>
    </w:p>
    <w:p>
      <w:pPr>
        <w:pStyle w:val="Heading2"/>
        <w:pBdr>
          <w:bottom w:val="single" w:color="0D9488" w:sz="6" w:space="2"/>
        </w:pBdr>
        <w:spacing w:after="100" w:before="240"/>
      </w:pPr>
      <w:r>
        <w:rPr>
          <w:rFonts w:ascii="Arial" w:cs="Arial" w:eastAsia="Arial" w:hAnsi="Arial"/>
          <w:b/>
          <w:bCs/>
          <w:color w:val="0D9488"/>
          <w:sz w:val="28"/>
          <w:szCs w:val="28"/>
        </w:rPr>
        <w:t xml:space="preserve">Key Formulas — Explained Simply</w:t>
      </w:r>
    </w:p>
    <w:tbl>
      <w:tblPr>
        <w:tblW w:type="dxa" w:w="9360"/>
        <w:tblBorders>
          <w:top w:val="single" w:color="0D9488" w:sz="6"/>
          <w:left w:val="single" w:color="0D9488" w:sz="16"/>
          <w:bottom w:val="single" w:color="0D9488" w:sz="6"/>
          <w:right w:val="single" w:color="0D9488" w:sz="4"/>
          <w:insideH w:val="single" w:color="auto" w:sz="4"/>
          <w:insideV w:val="single" w:color="auto" w:sz="4"/>
        </w:tblBorders>
      </w:tblPr>
      <w:tblGrid>
        <w:gridCol w:w="9360"/>
      </w:tblGrid>
      <w:tr>
        <w:tc>
          <w:tcPr>
            <w:tcW w:type="dxa" w:w="9360"/>
            <w:tcBorders>
              <w:top w:val="none"/>
              <w:left w:val="none"/>
              <w:bottom w:val="none"/>
              <w:right w:val="none"/>
            </w:tcBorders>
            <w:shd w:fill="CCFBF1" w:val="clear"/>
            <w:tcMar>
              <w:top w:type="dxa" w:w="100"/>
              <w:left w:type="dxa" w:w="200"/>
              <w:bottom w:type="dxa" w:w="100"/>
              <w:right w:type="dxa" w:w="200"/>
            </w:tcMar>
          </w:tcPr>
          <w:p>
            <w:pPr>
              <w:spacing w:after="40" w:before="0"/>
            </w:pPr>
            <w:r>
              <w:rPr>
                <w:rFonts w:ascii="Arial" w:cs="Arial" w:eastAsia="Arial" w:hAnsi="Arial"/>
                <w:b/>
                <w:bCs/>
                <w:color w:val="0D9488"/>
                <w:sz w:val="20"/>
                <w:szCs w:val="20"/>
              </w:rPr>
              <w:t xml:space="preserve">QTc — Corrected QT Interval (Fridericia Formula)</w:t>
            </w:r>
          </w:p>
          <w:p>
            <w:pPr>
              <w:spacing w:after="60" w:before="0"/>
            </w:pPr>
            <w:r>
              <w:rPr>
                <w:rFonts w:ascii="Courier New" w:cs="Courier New" w:eastAsia="Courier New" w:hAnsi="Courier New"/>
                <w:b/>
                <w:bCs/>
                <w:color w:val="0A1628"/>
                <w:sz w:val="24"/>
                <w:szCs w:val="24"/>
              </w:rPr>
              <w:t xml:space="preserve">QTc = delay(R_Onset, T_Offset)  /  [delay(R_Peak, next_R_Peak)]^(1/3)</w:t>
            </w:r>
          </w:p>
          <w:p>
            <w:pPr>
              <w:spacing w:after="0" w:before="0"/>
            </w:pPr>
            <w:r>
              <w:rPr>
                <w:rFonts w:ascii="Arial" w:cs="Arial" w:eastAsia="Arial" w:hAnsi="Arial"/>
                <w:i/>
                <w:iCs/>
                <w:color w:val="475569"/>
                <w:sz w:val="20"/>
                <w:szCs w:val="20"/>
              </w:rPr>
              <w:t xml:space="preserve">Why 1/3? Heart rate affects QT duration. Fridericia's cube-root correction removes this heart-rate bias, making QTc comparable across people with different resting heart rates. Prolonged QTc indicates ventricular weakness from CAN.</w:t>
            </w:r>
          </w:p>
        </w:tc>
      </w:tr>
    </w:tbl>
    <w:p>
      <w:pPr>
        <w:spacing w:after="80" w:before="120"/>
      </w:pPr>
    </w:p>
    <w:tbl>
      <w:tblPr>
        <w:tblW w:type="dxa" w:w="9360"/>
        <w:tblBorders>
          <w:top w:val="single" w:color="0D9488" w:sz="6"/>
          <w:left w:val="single" w:color="0D9488" w:sz="16"/>
          <w:bottom w:val="single" w:color="0D9488" w:sz="6"/>
          <w:right w:val="single" w:color="0D9488" w:sz="4"/>
          <w:insideH w:val="single" w:color="auto" w:sz="4"/>
          <w:insideV w:val="single" w:color="auto" w:sz="4"/>
        </w:tblBorders>
      </w:tblPr>
      <w:tblGrid>
        <w:gridCol w:w="9360"/>
      </w:tblGrid>
      <w:tr>
        <w:tc>
          <w:tcPr>
            <w:tcW w:type="dxa" w:w="9360"/>
            <w:tcBorders>
              <w:top w:val="none"/>
              <w:left w:val="none"/>
              <w:bottom w:val="none"/>
              <w:right w:val="none"/>
            </w:tcBorders>
            <w:shd w:fill="CCFBF1" w:val="clear"/>
            <w:tcMar>
              <w:top w:type="dxa" w:w="100"/>
              <w:left w:type="dxa" w:w="200"/>
              <w:bottom w:type="dxa" w:w="100"/>
              <w:right w:type="dxa" w:w="200"/>
            </w:tcMar>
          </w:tcPr>
          <w:p>
            <w:pPr>
              <w:spacing w:after="40" w:before="0"/>
            </w:pPr>
            <w:r>
              <w:rPr>
                <w:rFonts w:ascii="Arial" w:cs="Arial" w:eastAsia="Arial" w:hAnsi="Arial"/>
                <w:b/>
                <w:bCs/>
                <w:color w:val="0D9488"/>
                <w:sz w:val="20"/>
                <w:szCs w:val="20"/>
              </w:rPr>
              <w:t xml:space="preserve">SDNN — Standard Deviation of RR Intervals</w:t>
            </w:r>
          </w:p>
          <w:p>
            <w:pPr>
              <w:spacing w:after="60" w:before="0"/>
            </w:pPr>
            <w:r>
              <w:rPr>
                <w:rFonts w:ascii="Courier New" w:cs="Courier New" w:eastAsia="Courier New" w:hAnsi="Courier New"/>
                <w:b/>
                <w:bCs/>
                <w:color w:val="0A1628"/>
                <w:sz w:val="24"/>
                <w:szCs w:val="24"/>
              </w:rPr>
              <w:t xml:space="preserve">SDNN = sqrt( (1/(N-1)) * Σ (RRᵢ - RR̄)² )</w:t>
            </w:r>
          </w:p>
          <w:p>
            <w:pPr>
              <w:spacing w:after="0" w:before="0"/>
            </w:pPr>
            <w:r>
              <w:rPr>
                <w:rFonts w:ascii="Arial" w:cs="Arial" w:eastAsia="Arial" w:hAnsi="Arial"/>
                <w:i/>
                <w:iCs/>
                <w:color w:val="475569"/>
                <w:sz w:val="20"/>
                <w:szCs w:val="20"/>
              </w:rPr>
              <w:t xml:space="preserve">RR̄ is the mean RR interval. SDNN captures OVERALL autonomic variability — both sympathetic and parasympathetic. Low SDNN means the heart beats too robotically, which is a sign of autonomic nerve damage.</w:t>
            </w:r>
          </w:p>
        </w:tc>
      </w:tr>
    </w:tbl>
    <w:p>
      <w:pPr>
        <w:spacing w:after="80" w:before="120"/>
      </w:pPr>
    </w:p>
    <w:tbl>
      <w:tblPr>
        <w:tblW w:type="dxa" w:w="9360"/>
        <w:tblBorders>
          <w:top w:val="single" w:color="0D9488" w:sz="6"/>
          <w:left w:val="single" w:color="0D9488" w:sz="16"/>
          <w:bottom w:val="single" w:color="0D9488" w:sz="6"/>
          <w:right w:val="single" w:color="0D9488" w:sz="4"/>
          <w:insideH w:val="single" w:color="auto" w:sz="4"/>
          <w:insideV w:val="single" w:color="auto" w:sz="4"/>
        </w:tblBorders>
      </w:tblPr>
      <w:tblGrid>
        <w:gridCol w:w="9360"/>
      </w:tblGrid>
      <w:tr>
        <w:tc>
          <w:tcPr>
            <w:tcW w:type="dxa" w:w="9360"/>
            <w:tcBorders>
              <w:top w:val="none"/>
              <w:left w:val="none"/>
              <w:bottom w:val="none"/>
              <w:right w:val="none"/>
            </w:tcBorders>
            <w:shd w:fill="CCFBF1" w:val="clear"/>
            <w:tcMar>
              <w:top w:type="dxa" w:w="100"/>
              <w:left w:type="dxa" w:w="200"/>
              <w:bottom w:type="dxa" w:w="100"/>
              <w:right w:type="dxa" w:w="200"/>
            </w:tcMar>
          </w:tcPr>
          <w:p>
            <w:pPr>
              <w:spacing w:after="40" w:before="0"/>
            </w:pPr>
            <w:r>
              <w:rPr>
                <w:rFonts w:ascii="Arial" w:cs="Arial" w:eastAsia="Arial" w:hAnsi="Arial"/>
                <w:b/>
                <w:bCs/>
                <w:color w:val="0D9488"/>
                <w:sz w:val="20"/>
                <w:szCs w:val="20"/>
              </w:rPr>
              <w:t xml:space="preserve">RMSSD — Root Mean Square of Successive Differences</w:t>
            </w:r>
          </w:p>
          <w:p>
            <w:pPr>
              <w:spacing w:after="60" w:before="0"/>
            </w:pPr>
            <w:r>
              <w:rPr>
                <w:rFonts w:ascii="Courier New" w:cs="Courier New" w:eastAsia="Courier New" w:hAnsi="Courier New"/>
                <w:b/>
                <w:bCs/>
                <w:color w:val="0A1628"/>
                <w:sz w:val="24"/>
                <w:szCs w:val="24"/>
              </w:rPr>
              <w:t xml:space="preserve">RMSSD = sqrt( (1/M) * Σ (ΔRRⱼ)² )</w:t>
            </w:r>
          </w:p>
          <w:p>
            <w:pPr>
              <w:spacing w:after="0" w:before="0"/>
            </w:pPr>
            <w:r>
              <w:rPr>
                <w:rFonts w:ascii="Arial" w:cs="Arial" w:eastAsia="Arial" w:hAnsi="Arial"/>
                <w:i/>
                <w:iCs/>
                <w:color w:val="475569"/>
                <w:sz w:val="20"/>
                <w:szCs w:val="20"/>
              </w:rPr>
              <w:t xml:space="preserve">ΔRRⱼ is the difference between consecutive RR pairs. RMSSD specifically reflects parasympathetic (rest-and-digest) activity. T2D patients with CAN show significantly lower RMSSD.</w:t>
            </w:r>
          </w:p>
        </w:tc>
      </w:tr>
    </w:tbl>
    <w:p>
      <w:pPr>
        <w:spacing w:after="80" w:before="120"/>
      </w:pPr>
    </w:p>
    <w:tbl>
      <w:tblPr>
        <w:tblW w:type="dxa" w:w="9360"/>
        <w:tblBorders>
          <w:top w:val="single" w:color="0D9488" w:sz="6"/>
          <w:left w:val="single" w:color="0D9488" w:sz="16"/>
          <w:bottom w:val="single" w:color="0D9488" w:sz="6"/>
          <w:right w:val="single" w:color="0D9488" w:sz="4"/>
          <w:insideH w:val="single" w:color="auto" w:sz="4"/>
          <w:insideV w:val="single" w:color="auto" w:sz="4"/>
        </w:tblBorders>
      </w:tblPr>
      <w:tblGrid>
        <w:gridCol w:w="9360"/>
      </w:tblGrid>
      <w:tr>
        <w:tc>
          <w:tcPr>
            <w:tcW w:type="dxa" w:w="9360"/>
            <w:tcBorders>
              <w:top w:val="none"/>
              <w:left w:val="none"/>
              <w:bottom w:val="none"/>
              <w:right w:val="none"/>
            </w:tcBorders>
            <w:shd w:fill="CCFBF1" w:val="clear"/>
            <w:tcMar>
              <w:top w:type="dxa" w:w="100"/>
              <w:left w:type="dxa" w:w="200"/>
              <w:bottom w:type="dxa" w:w="100"/>
              <w:right w:type="dxa" w:w="200"/>
            </w:tcMar>
          </w:tcPr>
          <w:p>
            <w:pPr>
              <w:spacing w:after="40" w:before="0"/>
            </w:pPr>
            <w:r>
              <w:rPr>
                <w:rFonts w:ascii="Arial" w:cs="Arial" w:eastAsia="Arial" w:hAnsi="Arial"/>
                <w:b/>
                <w:bCs/>
                <w:color w:val="0D9488"/>
                <w:sz w:val="20"/>
                <w:szCs w:val="20"/>
              </w:rPr>
              <w:t xml:space="preserve">HOMA-IR — Homeostatic Model Assessment</w:t>
            </w:r>
          </w:p>
          <w:p>
            <w:pPr>
              <w:spacing w:after="60" w:before="0"/>
            </w:pPr>
            <w:r>
              <w:rPr>
                <w:rFonts w:ascii="Courier New" w:cs="Courier New" w:eastAsia="Courier New" w:hAnsi="Courier New"/>
                <w:b/>
                <w:bCs/>
                <w:color w:val="0A1628"/>
                <w:sz w:val="24"/>
                <w:szCs w:val="24"/>
              </w:rPr>
              <w:t xml:space="preserve">HOMA-IR = (Fasting Insulin [µU/mL]  ×  Fasting Glucose [mg/dL])  /  405</w:t>
            </w:r>
          </w:p>
          <w:p>
            <w:pPr>
              <w:spacing w:after="0" w:before="0"/>
            </w:pPr>
            <w:r>
              <w:rPr>
                <w:rFonts w:ascii="Arial" w:cs="Arial" w:eastAsia="Arial" w:hAnsi="Arial"/>
                <w:i/>
                <w:iCs/>
                <w:color w:val="475569"/>
                <w:sz w:val="20"/>
                <w:szCs w:val="20"/>
              </w:rPr>
              <w:t xml:space="preserve">The denominator 405 is a calibration constant derived from the original validation study (Matthews et al., 1985). HOMA-IR &gt; 2.9 = insulin resistant. HOMA-IR &lt; 1.5 = insulin sensitive. Used as ground truth in Google's paper.</w:t>
            </w:r>
          </w:p>
        </w:tc>
      </w:tr>
    </w:tbl>
    <w:p>
      <w:pPr>
        <w:spacing w:after="80" w:before="80"/>
      </w:pPr>
    </w:p>
    <w:p>
      <w:pPr>
        <w:pStyle w:val="Heading2"/>
        <w:pBdr>
          <w:bottom w:val="single" w:color="0D9488" w:sz="6" w:space="2"/>
        </w:pBdr>
        <w:spacing w:after="100" w:before="240"/>
      </w:pPr>
      <w:r>
        <w:rPr>
          <w:rFonts w:ascii="Arial" w:cs="Arial" w:eastAsia="Arial" w:hAnsi="Arial"/>
          <w:b/>
          <w:bCs/>
          <w:color w:val="0D9488"/>
          <w:sz w:val="28"/>
          <w:szCs w:val="28"/>
        </w:rPr>
        <w:t xml:space="preserve">HRV and Insulin Resistance (Google Paper's Findings)</w:t>
      </w:r>
    </w:p>
    <w:p>
      <w:pPr>
        <w:pStyle w:val="ListParagraph"/>
        <w:numPr>
          <w:ilvl w:val="0"/>
          <w:numId w:val="2"/>
        </w:numPr>
        <w:spacing w:after="40" w:before="40"/>
      </w:pPr>
      <w:r>
        <w:rPr>
          <w:rFonts w:ascii="Arial" w:cs="Arial" w:eastAsia="Arial" w:hAnsi="Arial"/>
          <w:b w:val="false"/>
          <w:bCs w:val="false"/>
          <w:color w:val="1E293B"/>
          <w:sz w:val="22"/>
          <w:szCs w:val="22"/>
        </w:rPr>
        <w:t xml:space="preserve">Higher Resting Heart Rate (RHR) correlates with higher HOMA-IR: r=+0.27</w:t>
      </w:r>
    </w:p>
    <w:p>
      <w:pPr>
        <w:pStyle w:val="ListParagraph"/>
        <w:numPr>
          <w:ilvl w:val="0"/>
          <w:numId w:val="2"/>
        </w:numPr>
        <w:spacing w:after="40" w:before="40"/>
      </w:pPr>
      <w:r>
        <w:rPr>
          <w:rFonts w:ascii="Arial" w:cs="Arial" w:eastAsia="Arial" w:hAnsi="Arial"/>
          <w:b w:val="false"/>
          <w:bCs w:val="false"/>
          <w:color w:val="1E293B"/>
          <w:sz w:val="22"/>
          <w:szCs w:val="22"/>
        </w:rPr>
        <w:t xml:space="preserve">Lower daily step count correlates with higher HOMA-IR: r=−0.25</w:t>
      </w:r>
    </w:p>
    <w:p>
      <w:pPr>
        <w:pStyle w:val="ListParagraph"/>
        <w:numPr>
          <w:ilvl w:val="0"/>
          <w:numId w:val="2"/>
        </w:numPr>
        <w:spacing w:after="40" w:before="40"/>
      </w:pPr>
      <w:r>
        <w:rPr>
          <w:rFonts w:ascii="Arial" w:cs="Arial" w:eastAsia="Arial" w:hAnsi="Arial"/>
          <w:b w:val="false"/>
          <w:bCs w:val="false"/>
          <w:color w:val="1E293B"/>
          <w:sz w:val="22"/>
          <w:szCs w:val="22"/>
        </w:rPr>
        <w:t xml:space="preserve">Lower HRV (RMSSD) correlates with higher HOMA-IR: r=−0.14</w:t>
      </w:r>
    </w:p>
    <w:p>
      <w:pPr>
        <w:pStyle w:val="ListParagraph"/>
        <w:numPr>
          <w:ilvl w:val="0"/>
          <w:numId w:val="2"/>
        </w:numPr>
        <w:spacing w:after="40" w:before="40"/>
      </w:pPr>
      <w:r>
        <w:rPr>
          <w:rFonts w:ascii="Arial" w:cs="Arial" w:eastAsia="Arial" w:hAnsi="Arial"/>
          <w:b w:val="false"/>
          <w:bCs w:val="false"/>
          <w:color w:val="1E293B"/>
          <w:sz w:val="22"/>
          <w:szCs w:val="22"/>
        </w:rPr>
        <w:t xml:space="preserve">Higher triglycerides: r=+0.40 with HOMA-IR</w:t>
      </w:r>
    </w:p>
    <w:p>
      <w:pPr>
        <w:pStyle w:val="ListParagraph"/>
        <w:numPr>
          <w:ilvl w:val="0"/>
          <w:numId w:val="2"/>
        </w:numPr>
        <w:spacing w:after="40" w:before="40"/>
      </w:pPr>
      <w:r>
        <w:rPr>
          <w:rFonts w:ascii="Arial" w:cs="Arial" w:eastAsia="Arial" w:hAnsi="Arial"/>
          <w:b w:val="false"/>
          <w:bCs w:val="false"/>
          <w:color w:val="1E293B"/>
          <w:sz w:val="22"/>
          <w:szCs w:val="22"/>
        </w:rPr>
        <w:t xml:space="preserve">Lower HDL cholesterol: r=−0.30 with HOMA-IR</w:t>
      </w:r>
    </w:p>
    <w:p>
      <w:pPr>
        <w:spacing w:after="0" w:before="0"/>
      </w:pPr>
      <w:r>
        <w:br w:type="page"/>
      </w:r>
    </w:p>
    <w:p>
      <w:pPr>
        <w:pStyle w:val="Heading1"/>
        <w:shd w:fill="0A1628" w:val="clear"/>
        <w:spacing w:after="180" w:before="360"/>
        <w:ind w:left="200" w:right="200"/>
      </w:pPr>
      <w:r>
        <w:rPr>
          <w:rFonts w:ascii="Arial" w:cs="Arial" w:eastAsia="Arial" w:hAnsi="Arial"/>
          <w:b/>
          <w:bCs/>
          <w:color w:val="FFFFFF"/>
          <w:sz w:val="36"/>
          <w:szCs w:val="36"/>
        </w:rPr>
        <w:t xml:space="preserve">Chapter 5  ·  SweetDeep — Complete Deep Dive</w:t>
      </w:r>
    </w:p>
    <w:p>
      <w:pPr>
        <w:pStyle w:val="Heading2"/>
        <w:pBdr>
          <w:bottom w:val="single" w:color="0D9488" w:sz="6" w:space="2"/>
        </w:pBdr>
        <w:spacing w:after="100" w:before="240"/>
      </w:pPr>
      <w:r>
        <w:rPr>
          <w:rFonts w:ascii="Arial" w:cs="Arial" w:eastAsia="Arial" w:hAnsi="Arial"/>
          <w:b/>
          <w:bCs/>
          <w:color w:val="0D9488"/>
          <w:sz w:val="28"/>
          <w:szCs w:val="28"/>
        </w:rPr>
        <w:t xml:space="preserve">What SweetDeep Does</w:t>
      </w:r>
    </w:p>
    <w:p>
      <w:pPr>
        <w:spacing w:after="60" w:before="60"/>
      </w:pPr>
      <w:r>
        <w:rPr>
          <w:rFonts w:ascii="Arial" w:cs="Arial" w:eastAsia="Arial" w:hAnsi="Arial"/>
          <w:color w:val="1E293B"/>
          <w:sz w:val="22"/>
          <w:szCs w:val="22"/>
        </w:rPr>
        <w:t xml:space="preserve">SweetDeep is a tiny neural network (only 2,990 parameters) trained on smartwatch data to predict whether a person has Type 2 Diabetes. It runs in real-time on the watch — no cloud needed.</w:t>
      </w:r>
    </w:p>
    <w:p>
      <w:pPr>
        <w:spacing w:after="80" w:before="80"/>
      </w:pPr>
    </w:p>
    <w:p>
      <w:pPr>
        <w:pStyle w:val="Heading2"/>
        <w:pBdr>
          <w:bottom w:val="single" w:color="0D9488" w:sz="6" w:space="2"/>
        </w:pBdr>
        <w:spacing w:after="100" w:before="240"/>
      </w:pPr>
      <w:r>
        <w:rPr>
          <w:rFonts w:ascii="Arial" w:cs="Arial" w:eastAsia="Arial" w:hAnsi="Arial"/>
          <w:b/>
          <w:bCs/>
          <w:color w:val="0D9488"/>
          <w:sz w:val="28"/>
          <w:szCs w:val="28"/>
        </w:rPr>
        <w:t xml:space="preserve">The Decentralized Clinical Trial (DCT) Design</w:t>
      </w:r>
    </w:p>
    <w:p>
      <w:pPr>
        <w:spacing w:after="60" w:before="60"/>
      </w:pPr>
      <w:r>
        <w:rPr>
          <w:rFonts w:ascii="Arial" w:cs="Arial" w:eastAsia="Arial" w:hAnsi="Arial"/>
          <w:color w:val="1E293B"/>
          <w:sz w:val="22"/>
          <w:szCs w:val="22"/>
        </w:rPr>
        <w:t xml:space="preserve">Most prior studies collected data in controlled labs. SweetDeep collected data in participants' own homes — a major step toward real-world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Aspect</w:t>
            </w:r>
          </w:p>
        </w:tc>
        <w:tc>
          <w:tcPr>
            <w:tcW w:type="dxa" w:w="34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Lab Studies (Prior Work)</w:t>
            </w:r>
          </w:p>
        </w:tc>
        <w:tc>
          <w:tcPr>
            <w:tcW w:type="dxa" w:w="34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SweetDeep DCT Design</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Location</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Hospital or clinic</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Participants' own homes</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Timing</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Fixed, researcher-controlled</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Before/after meals, no fixed schedule</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Movement</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Restricted — sit still</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Free-living — normal daily activity</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Medications</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Often excluded</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All comorbidities included</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Ecological validity</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 — mirrors real deployment</w:t>
            </w:r>
          </w:p>
        </w:tc>
      </w:tr>
    </w:tbl>
    <w:p>
      <w:pPr>
        <w:spacing w:after="80" w:before="80"/>
      </w:pPr>
    </w:p>
    <w:p>
      <w:pPr>
        <w:spacing w:after="60" w:before="180"/>
      </w:pPr>
      <w:r>
        <w:rPr>
          <w:rFonts w:ascii="Arial" w:cs="Arial" w:eastAsia="Arial" w:hAnsi="Arial"/>
          <w:b/>
          <w:bCs/>
          <w:color w:val="0A1628"/>
          <w:sz w:val="24"/>
          <w:szCs w:val="24"/>
        </w:rPr>
        <w:t xml:space="preserve">Study Numbers</w:t>
      </w:r>
    </w:p>
    <w:p>
      <w:pPr>
        <w:pStyle w:val="ListParagraph"/>
        <w:numPr>
          <w:ilvl w:val="0"/>
          <w:numId w:val="2"/>
        </w:numPr>
        <w:spacing w:after="40" w:before="40"/>
      </w:pPr>
      <w:r>
        <w:rPr>
          <w:rFonts w:ascii="Arial" w:cs="Arial" w:eastAsia="Arial" w:hAnsi="Arial"/>
          <w:b w:val="false"/>
          <w:bCs w:val="false"/>
          <w:color w:val="1E293B"/>
          <w:sz w:val="22"/>
          <w:szCs w:val="22"/>
        </w:rPr>
        <w:t xml:space="preserve">438 enrolled; 285 used for training (162 Non-Diabetic, 123 T2D)</w:t>
      </w:r>
    </w:p>
    <w:p>
      <w:pPr>
        <w:pStyle w:val="ListParagraph"/>
        <w:numPr>
          <w:ilvl w:val="0"/>
          <w:numId w:val="2"/>
        </w:numPr>
        <w:spacing w:after="40" w:before="40"/>
      </w:pPr>
      <w:r>
        <w:rPr>
          <w:rFonts w:ascii="Arial" w:cs="Arial" w:eastAsia="Arial" w:hAnsi="Arial"/>
          <w:b w:val="false"/>
          <w:bCs w:val="false"/>
          <w:color w:val="1E293B"/>
          <w:sz w:val="22"/>
          <w:szCs w:val="22"/>
        </w:rPr>
        <w:t xml:space="preserve">153 Pre-Diabetic patients excluded from model training — preserved for future 3-class work</w:t>
      </w:r>
    </w:p>
    <w:p>
      <w:pPr>
        <w:pStyle w:val="ListParagraph"/>
        <w:numPr>
          <w:ilvl w:val="0"/>
          <w:numId w:val="2"/>
        </w:numPr>
        <w:spacing w:after="40" w:before="40"/>
      </w:pPr>
      <w:r>
        <w:rPr>
          <w:rFonts w:ascii="Arial" w:cs="Arial" w:eastAsia="Arial" w:hAnsi="Arial"/>
          <w:b w:val="false"/>
          <w:bCs w:val="false"/>
          <w:color w:val="1E293B"/>
          <w:sz w:val="22"/>
          <w:szCs w:val="22"/>
        </w:rPr>
        <w:t xml:space="preserve">24 new T2D cases discovered during the study</w:t>
      </w:r>
    </w:p>
    <w:p>
      <w:pPr>
        <w:pStyle w:val="ListParagraph"/>
        <w:numPr>
          <w:ilvl w:val="0"/>
          <w:numId w:val="2"/>
        </w:numPr>
        <w:spacing w:after="40" w:before="40"/>
      </w:pPr>
      <w:r>
        <w:rPr>
          <w:rFonts w:ascii="Arial" w:cs="Arial" w:eastAsia="Arial" w:hAnsi="Arial"/>
          <w:b w:val="false"/>
          <w:bCs w:val="false"/>
          <w:color w:val="1E293B"/>
          <w:sz w:val="22"/>
          <w:szCs w:val="22"/>
        </w:rPr>
        <w:t xml:space="preserve">6 days of recording per participant; ~20 recordings total (6×/day, 2 minutes each)</w:t>
      </w:r>
    </w:p>
    <w:p>
      <w:pPr>
        <w:pStyle w:val="ListParagraph"/>
        <w:numPr>
          <w:ilvl w:val="0"/>
          <w:numId w:val="2"/>
        </w:numPr>
        <w:spacing w:after="40" w:before="40"/>
      </w:pPr>
      <w:r>
        <w:rPr>
          <w:rFonts w:ascii="Arial" w:cs="Arial" w:eastAsia="Arial" w:hAnsi="Arial"/>
          <w:b w:val="false"/>
          <w:bCs w:val="false"/>
          <w:color w:val="1E293B"/>
          <w:sz w:val="22"/>
          <w:szCs w:val="22"/>
        </w:rPr>
        <w:t xml:space="preserve">EU region: AP-HP Avicenne France; MENA region: CIC Algeria</w:t>
      </w:r>
    </w:p>
    <w:p>
      <w:pPr>
        <w:spacing w:after="80" w:before="80"/>
      </w:pPr>
    </w:p>
    <w:p>
      <w:pPr>
        <w:pStyle w:val="Heading2"/>
        <w:pBdr>
          <w:bottom w:val="single" w:color="0D9488" w:sz="6" w:space="2"/>
        </w:pBdr>
        <w:spacing w:after="100" w:before="240"/>
      </w:pPr>
      <w:r>
        <w:rPr>
          <w:rFonts w:ascii="Arial" w:cs="Arial" w:eastAsia="Arial" w:hAnsi="Arial"/>
          <w:b/>
          <w:bCs/>
          <w:color w:val="0D9488"/>
          <w:sz w:val="28"/>
          <w:szCs w:val="28"/>
        </w:rPr>
        <w:t xml:space="preserve">The 35-Feature Architecture</w:t>
      </w:r>
    </w:p>
    <w:p>
      <w:pPr>
        <w:spacing w:after="60" w:before="60"/>
      </w:pPr>
      <w:r>
        <w:rPr>
          <w:rFonts w:ascii="Arial" w:cs="Arial" w:eastAsia="Arial" w:hAnsi="Arial"/>
          <w:color w:val="1E293B"/>
          <w:sz w:val="22"/>
          <w:szCs w:val="22"/>
        </w:rPr>
        <w:t xml:space="preserve">SweetDeep uses hand-engineered clinical features — not raw signal end-to-end learning. This choice is deliberate and defensible.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c>
          <w:tcPr>
            <w:tcW w:type="dxa" w:w="210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Feature Group</w:t>
            </w:r>
          </w:p>
        </w:tc>
        <w:tc>
          <w:tcPr>
            <w:tcW w:type="dxa" w:w="242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 Features</w:t>
            </w:r>
          </w:p>
        </w:tc>
        <w:tc>
          <w:tcPr>
            <w:tcW w:type="dxa" w:w="242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Features</w:t>
            </w:r>
          </w:p>
        </w:tc>
        <w:tc>
          <w:tcPr>
            <w:tcW w:type="dxa" w:w="242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Clinical Rationale</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ECG</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3</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QTc, SDNN, RMSSD</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CAN fingerprint — nerve damage from T2D</w:t>
            </w:r>
          </w:p>
        </w:tc>
      </w:tr>
      <w:tr>
        <w:tc>
          <w:tcPr>
            <w:tcW w:type="dxa" w:w="21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PPG-BP</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10</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8×TPR, 2×CO</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Vascular stiffness from diabetes</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BIA</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10</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BodMag, 4×ConMag, BodDeg, BFM, SMM, TBW, BMR</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Metabolic profile — obesity/IR link</w:t>
            </w:r>
          </w:p>
        </w:tc>
      </w:tr>
      <w:tr>
        <w:tc>
          <w:tcPr>
            <w:tcW w:type="dxa" w:w="21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Age</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Age in years</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Strongest single predictor of T2D risk</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Family History</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3</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 / 2nd-degree / 1st-degree (one-hot)</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Genetic predisposition</w:t>
            </w:r>
          </w:p>
        </w:tc>
      </w:tr>
      <w:tr>
        <w:tc>
          <w:tcPr>
            <w:tcW w:type="dxa" w:w="21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Time</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8</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sin/cos(φ), sin/cos(2φ), sin/cos(3φ), sin/cos(4φ)</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Novel: captures circadian variation</w:t>
            </w:r>
          </w:p>
        </w:tc>
      </w:tr>
    </w:tbl>
    <w:p>
      <w:pPr>
        <w:spacing w:after="80" w:before="80"/>
      </w:pPr>
    </w:p>
    <w:p>
      <w:pPr>
        <w:spacing w:after="60" w:before="180"/>
      </w:pPr>
      <w:r>
        <w:rPr>
          <w:rFonts w:ascii="Arial" w:cs="Arial" w:eastAsia="Arial" w:hAnsi="Arial"/>
          <w:b/>
          <w:bCs/>
          <w:color w:val="0A1628"/>
          <w:sz w:val="24"/>
          <w:szCs w:val="24"/>
        </w:rPr>
        <w:t xml:space="preserve">Why Engineered Features Instead of Raw Signals?</w:t>
      </w:r>
    </w:p>
    <w:p>
      <w:pPr>
        <w:pStyle w:val="ListParagraph"/>
        <w:numPr>
          <w:ilvl w:val="0"/>
          <w:numId w:val="2"/>
        </w:numPr>
        <w:spacing w:after="40" w:before="40"/>
      </w:pPr>
      <w:r>
        <w:rPr>
          <w:rFonts w:ascii="Arial" w:cs="Arial" w:eastAsia="Arial" w:hAnsi="Arial"/>
          <w:b w:val="false"/>
          <w:bCs w:val="false"/>
          <w:color w:val="1E293B"/>
          <w:sz w:val="22"/>
          <w:szCs w:val="22"/>
        </w:rPr>
        <w:t xml:space="preserve">Small dataset (285 patients) — deep end-to-end learning would overfit</w:t>
      </w:r>
    </w:p>
    <w:p>
      <w:pPr>
        <w:pStyle w:val="ListParagraph"/>
        <w:numPr>
          <w:ilvl w:val="0"/>
          <w:numId w:val="2"/>
        </w:numPr>
        <w:spacing w:after="40" w:before="40"/>
      </w:pPr>
      <w:r>
        <w:rPr>
          <w:rFonts w:ascii="Arial" w:cs="Arial" w:eastAsia="Arial" w:hAnsi="Arial"/>
          <w:b w:val="false"/>
          <w:bCs w:val="false"/>
          <w:color w:val="1E293B"/>
          <w:sz w:val="22"/>
          <w:szCs w:val="22"/>
        </w:rPr>
        <w:t xml:space="preserve">Clinical features are sensor-agnostic → generalises to other wearable brands</w:t>
      </w:r>
    </w:p>
    <w:p>
      <w:pPr>
        <w:pStyle w:val="ListParagraph"/>
        <w:numPr>
          <w:ilvl w:val="0"/>
          <w:numId w:val="2"/>
        </w:numPr>
        <w:spacing w:after="40" w:before="40"/>
      </w:pPr>
      <w:r>
        <w:rPr>
          <w:rFonts w:ascii="Arial" w:cs="Arial" w:eastAsia="Arial" w:hAnsi="Arial"/>
          <w:b w:val="false"/>
          <w:bCs w:val="false"/>
          <w:color w:val="1E293B"/>
          <w:sz w:val="22"/>
          <w:szCs w:val="22"/>
        </w:rPr>
        <w:t xml:space="preserve">Interpretable — clinicians can understand QTc; they cannot understand raw CNN activations</w:t>
      </w:r>
    </w:p>
    <w:p>
      <w:pPr>
        <w:pStyle w:val="ListParagraph"/>
        <w:numPr>
          <w:ilvl w:val="0"/>
          <w:numId w:val="2"/>
        </w:numPr>
        <w:spacing w:after="40" w:before="40"/>
      </w:pPr>
      <w:r>
        <w:rPr>
          <w:rFonts w:ascii="Arial" w:cs="Arial" w:eastAsia="Arial" w:hAnsi="Arial"/>
          <w:b w:val="false"/>
          <w:bCs w:val="false"/>
          <w:color w:val="1E293B"/>
          <w:sz w:val="22"/>
          <w:szCs w:val="22"/>
        </w:rPr>
        <w:t xml:space="preserve">Faster training — reduces task complexity enormously</w:t>
      </w:r>
    </w:p>
    <w:p>
      <w:pPr>
        <w:spacing w:after="80" w:before="80"/>
      </w:pPr>
    </w:p>
    <w:p>
      <w:pPr>
        <w:pStyle w:val="Heading2"/>
        <w:pBdr>
          <w:bottom w:val="single" w:color="0D9488" w:sz="6" w:space="2"/>
        </w:pBdr>
        <w:spacing w:after="100" w:before="240"/>
      </w:pPr>
      <w:r>
        <w:rPr>
          <w:rFonts w:ascii="Arial" w:cs="Arial" w:eastAsia="Arial" w:hAnsi="Arial"/>
          <w:b/>
          <w:bCs/>
          <w:color w:val="0D9488"/>
          <w:sz w:val="28"/>
          <w:szCs w:val="28"/>
        </w:rPr>
        <w:t xml:space="preserve">Novel: Sinusoidal Temporal Encoding</w:t>
      </w:r>
    </w:p>
    <w:p>
      <w:pPr>
        <w:spacing w:after="60" w:before="60"/>
      </w:pPr>
      <w:r>
        <w:rPr>
          <w:rFonts w:ascii="Arial" w:cs="Arial" w:eastAsia="Arial" w:hAnsi="Arial"/>
          <w:color w:val="1E293B"/>
          <w:sz w:val="22"/>
          <w:szCs w:val="22"/>
        </w:rPr>
        <w:t xml:space="preserve">Blood pressure peaks in early afternoon. HRV peaks in early morning. If you measure at 2pm vs 8am, the values will differ — not because the patient changed, but because of circadian rhythm. Time encoding solves this.</w:t>
      </w:r>
    </w:p>
    <w:p>
      <w:pPr>
        <w:spacing w:after="80" w:before="80"/>
      </w:pPr>
    </w:p>
    <w:tbl>
      <w:tblPr>
        <w:tblW w:type="dxa" w:w="9360"/>
        <w:tblBorders>
          <w:top w:val="single" w:color="0D9488" w:sz="6"/>
          <w:left w:val="single" w:color="0D9488" w:sz="16"/>
          <w:bottom w:val="single" w:color="0D9488" w:sz="6"/>
          <w:right w:val="single" w:color="0D9488" w:sz="4"/>
          <w:insideH w:val="single" w:color="auto" w:sz="4"/>
          <w:insideV w:val="single" w:color="auto" w:sz="4"/>
        </w:tblBorders>
      </w:tblPr>
      <w:tblGrid>
        <w:gridCol w:w="9360"/>
      </w:tblGrid>
      <w:tr>
        <w:tc>
          <w:tcPr>
            <w:tcW w:type="dxa" w:w="9360"/>
            <w:tcBorders>
              <w:top w:val="none"/>
              <w:left w:val="none"/>
              <w:bottom w:val="none"/>
              <w:right w:val="none"/>
            </w:tcBorders>
            <w:shd w:fill="CCFBF1" w:val="clear"/>
            <w:tcMar>
              <w:top w:type="dxa" w:w="100"/>
              <w:left w:type="dxa" w:w="200"/>
              <w:bottom w:type="dxa" w:w="100"/>
              <w:right w:type="dxa" w:w="200"/>
            </w:tcMar>
          </w:tcPr>
          <w:p>
            <w:pPr>
              <w:spacing w:after="40" w:before="0"/>
            </w:pPr>
            <w:r>
              <w:rPr>
                <w:rFonts w:ascii="Arial" w:cs="Arial" w:eastAsia="Arial" w:hAnsi="Arial"/>
                <w:b/>
                <w:bCs/>
                <w:color w:val="0D9488"/>
                <w:sz w:val="20"/>
                <w:szCs w:val="20"/>
              </w:rPr>
              <w:t xml:space="preserve">Circadian Phase</w:t>
            </w:r>
          </w:p>
          <w:p>
            <w:pPr>
              <w:spacing w:after="60" w:before="0"/>
            </w:pPr>
            <w:r>
              <w:rPr>
                <w:rFonts w:ascii="Courier New" w:cs="Courier New" w:eastAsia="Courier New" w:hAnsi="Courier New"/>
                <w:b/>
                <w:bCs/>
                <w:color w:val="0A1628"/>
                <w:sz w:val="24"/>
                <w:szCs w:val="24"/>
              </w:rPr>
              <w:t xml:space="preserve">φ = (2π × t) / 86400</w:t>
            </w:r>
          </w:p>
          <w:p>
            <w:pPr>
              <w:spacing w:after="0" w:before="0"/>
            </w:pPr>
            <w:r>
              <w:rPr>
                <w:rFonts w:ascii="Arial" w:cs="Arial" w:eastAsia="Arial" w:hAnsi="Arial"/>
                <w:i/>
                <w:iCs/>
                <w:color w:val="475569"/>
                <w:sz w:val="20"/>
                <w:szCs w:val="20"/>
              </w:rPr>
              <w:t xml:space="preserve">t = seconds since midnight. φ maps time to a circular phase between 0 and 2π. The 8 time features are: sin(φ), cos(φ), sin(2φ), cos(2φ), sin(3φ), cos(3φ), sin(4φ), cos(4φ).</w:t>
            </w:r>
          </w:p>
        </w:tc>
      </w:tr>
    </w:tbl>
    <w:p>
      <w:pPr>
        <w:spacing w:after="80" w:before="100"/>
      </w:pPr>
    </w:p>
    <w:tbl>
      <w:tblPr>
        <w:tblW w:type="dxa" w:w="9360"/>
        <w:tblBorders>
          <w:top w:val="single" w:color="6366F1" w:sz="8"/>
          <w:left w:val="single" w:color="6366F1" w:sz="16"/>
          <w:bottom w:val="single" w:color="6366F1" w:sz="8"/>
          <w:right w:val="single" w:color="6366F1" w:sz="4"/>
          <w:insideH w:val="single" w:color="auto" w:sz="4"/>
          <w:insideV w:val="single" w:color="auto" w:sz="4"/>
        </w:tblBorders>
      </w:tblPr>
      <w:tblGrid>
        <w:gridCol w:w="9360"/>
      </w:tblGrid>
      <w:tr>
        <w:tc>
          <w:tcPr>
            <w:tcW w:type="dxa" w:w="9360"/>
            <w:tcBorders>
              <w:top w:val="none"/>
              <w:left w:val="none"/>
              <w:bottom w:val="none"/>
              <w:right w:val="none"/>
            </w:tcBorders>
            <w:shd w:fill="EDE9FE" w:val="clear"/>
            <w:tcMar>
              <w:top w:type="dxa" w:w="140"/>
              <w:left w:type="dxa" w:w="200"/>
              <w:bottom w:type="dxa" w:w="140"/>
              <w:right w:type="dxa" w:w="200"/>
            </w:tcMar>
          </w:tcPr>
          <w:p>
            <w:pPr>
              <w:spacing w:after="60" w:before="0"/>
            </w:pPr>
            <w:r>
              <w:rPr>
                <w:rFonts w:ascii="Arial" w:cs="Arial" w:eastAsia="Arial" w:hAnsi="Arial"/>
                <w:b/>
                <w:bCs/>
                <w:color w:val="0A1628"/>
                <w:sz w:val="22"/>
                <w:szCs w:val="22"/>
              </w:rPr>
              <w:t xml:space="preserve">Why sinusoidal? Why not just use the hour?</w:t>
            </w:r>
          </w:p>
          <w:p>
            <w:pPr>
              <w:spacing w:after="0" w:before="0"/>
            </w:pPr>
            <w:r>
              <w:rPr>
                <w:rFonts w:ascii="Arial" w:cs="Arial" w:eastAsia="Arial" w:hAnsi="Arial"/>
                <w:color w:val="1E293B"/>
                <w:sz w:val="21"/>
                <w:szCs w:val="21"/>
              </w:rPr>
              <w:t xml:space="preserve">Hour 23 and hour 0 (midnight) are 1 hour apart, but if you encode them as 23 and 0, the model sees them as 23 numbers apart. Sinusoidal encoding is cyclical — sin(φ) at 23:59 and 00:01 give nearly identical values, correctly representing their temporal proximity. This is inspired by Transformer positional encodings.</w:t>
            </w:r>
          </w:p>
        </w:tc>
      </w:tr>
    </w:tbl>
    <w:p>
      <w:pPr>
        <w:spacing w:after="80" w:before="80"/>
      </w:pPr>
    </w:p>
    <w:p>
      <w:pPr>
        <w:pStyle w:val="Heading2"/>
        <w:pBdr>
          <w:bottom w:val="single" w:color="0D9488" w:sz="6" w:space="2"/>
        </w:pBdr>
        <w:spacing w:after="100" w:before="240"/>
      </w:pPr>
      <w:r>
        <w:rPr>
          <w:rFonts w:ascii="Arial" w:cs="Arial" w:eastAsia="Arial" w:hAnsi="Arial"/>
          <w:b/>
          <w:bCs/>
          <w:color w:val="0D9488"/>
          <w:sz w:val="28"/>
          <w:szCs w:val="28"/>
        </w:rPr>
        <w:t xml:space="preserve">Neural Network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Layer</w:t>
            </w:r>
          </w:p>
        </w:tc>
        <w:tc>
          <w:tcPr>
            <w:tcW w:type="dxa" w:w="34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Details</w:t>
            </w:r>
          </w:p>
        </w:tc>
        <w:tc>
          <w:tcPr>
            <w:tcW w:type="dxa" w:w="34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Purpose</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Input</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35 features</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engineered features concatenated</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Hidden 1</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Linear(35→64) + BatchNorm + ReLU + Dropout(0.1)</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Learn complex combinations</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Hidden 2</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Linear(64→8)  + BatchNorm + ReLU + Dropout(0.1)</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Compress to essential patterns</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Output</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Linear(8→2) + Softmax</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p̂(T2D) and p̂(ND) probabilities</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Total params</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2,990</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Tiny — fits on any edge device</w:t>
            </w:r>
          </w:p>
        </w:tc>
      </w:tr>
    </w:tbl>
    <w:p>
      <w:pPr>
        <w:spacing w:after="80" w:before="80"/>
      </w:pPr>
    </w:p>
    <w:p>
      <w:pPr>
        <w:spacing w:after="60" w:before="180"/>
      </w:pPr>
      <w:r>
        <w:rPr>
          <w:rFonts w:ascii="Arial" w:cs="Arial" w:eastAsia="Arial" w:hAnsi="Arial"/>
          <w:b/>
          <w:bCs/>
          <w:color w:val="0A1628"/>
          <w:sz w:val="24"/>
          <w:szCs w:val="24"/>
        </w:rPr>
        <w:t xml:space="preserve">Training Details</w:t>
      </w:r>
    </w:p>
    <w:p>
      <w:pPr>
        <w:pStyle w:val="ListParagraph"/>
        <w:numPr>
          <w:ilvl w:val="0"/>
          <w:numId w:val="2"/>
        </w:numPr>
        <w:spacing w:after="40" w:before="40"/>
      </w:pPr>
      <w:r>
        <w:rPr>
          <w:rFonts w:ascii="Arial" w:cs="Arial" w:eastAsia="Arial" w:hAnsi="Arial"/>
          <w:b w:val="false"/>
          <w:bCs w:val="false"/>
          <w:color w:val="1E293B"/>
          <w:sz w:val="22"/>
          <w:szCs w:val="22"/>
        </w:rPr>
        <w:t xml:space="preserve">Optimiser: Adam (adaptive learning rate — handles sparse gradients well)</w:t>
      </w:r>
    </w:p>
    <w:p>
      <w:pPr>
        <w:pStyle w:val="ListParagraph"/>
        <w:numPr>
          <w:ilvl w:val="0"/>
          <w:numId w:val="2"/>
        </w:numPr>
        <w:spacing w:after="40" w:before="40"/>
      </w:pPr>
      <w:r>
        <w:rPr>
          <w:rFonts w:ascii="Arial" w:cs="Arial" w:eastAsia="Arial" w:hAnsi="Arial"/>
          <w:b w:val="false"/>
          <w:bCs w:val="false"/>
          <w:color w:val="1E293B"/>
          <w:sz w:val="22"/>
          <w:szCs w:val="22"/>
        </w:rPr>
        <w:t xml:space="preserve">Batch size: 512; Epochs: 50 (stops before overfitting)</w:t>
      </w:r>
    </w:p>
    <w:p>
      <w:pPr>
        <w:pStyle w:val="ListParagraph"/>
        <w:numPr>
          <w:ilvl w:val="0"/>
          <w:numId w:val="2"/>
        </w:numPr>
        <w:spacing w:after="40" w:before="40"/>
      </w:pPr>
      <w:r>
        <w:rPr>
          <w:rFonts w:ascii="Arial" w:cs="Arial" w:eastAsia="Arial" w:hAnsi="Arial"/>
          <w:b w:val="false"/>
          <w:bCs w:val="false"/>
          <w:color w:val="1E293B"/>
          <w:sz w:val="22"/>
          <w:szCs w:val="22"/>
        </w:rPr>
        <w:t xml:space="preserve">SMOTE applied to training set — synthetic minority oversampling to handle 162 ND vs 123 T2D imbalance</w:t>
      </w:r>
    </w:p>
    <w:p>
      <w:pPr>
        <w:pStyle w:val="ListParagraph"/>
        <w:numPr>
          <w:ilvl w:val="0"/>
          <w:numId w:val="2"/>
        </w:numPr>
        <w:spacing w:after="40" w:before="40"/>
      </w:pPr>
      <w:r>
        <w:rPr>
          <w:rFonts w:ascii="Arial" w:cs="Arial" w:eastAsia="Arial" w:hAnsi="Arial"/>
          <w:b w:val="false"/>
          <w:bCs w:val="false"/>
          <w:color w:val="1E293B"/>
          <w:sz w:val="22"/>
          <w:szCs w:val="22"/>
        </w:rPr>
        <w:t xml:space="preserve">Features min-max normalised per training fold; Time features excluded (already in [−1,1])</w:t>
      </w:r>
    </w:p>
    <w:p>
      <w:pPr>
        <w:pStyle w:val="ListParagraph"/>
        <w:numPr>
          <w:ilvl w:val="0"/>
          <w:numId w:val="2"/>
        </w:numPr>
        <w:spacing w:after="40" w:before="40"/>
      </w:pPr>
      <w:r>
        <w:rPr>
          <w:rFonts w:ascii="Arial" w:cs="Arial" w:eastAsia="Arial" w:hAnsi="Arial"/>
          <w:b w:val="false"/>
          <w:bCs w:val="false"/>
          <w:color w:val="1E293B"/>
          <w:sz w:val="22"/>
          <w:szCs w:val="22"/>
        </w:rPr>
        <w:t xml:space="preserve">3-fold inter-patient cross-validation — same patient NEVER in both train and test</w:t>
      </w:r>
    </w:p>
    <w:p>
      <w:pPr>
        <w:spacing w:after="80" w:before="80"/>
      </w:pPr>
    </w:p>
    <w:p>
      <w:pPr>
        <w:pStyle w:val="Heading2"/>
        <w:pBdr>
          <w:bottom w:val="single" w:color="0D9488" w:sz="6" w:space="2"/>
        </w:pBdr>
        <w:spacing w:after="100" w:before="240"/>
      </w:pPr>
      <w:r>
        <w:rPr>
          <w:rFonts w:ascii="Arial" w:cs="Arial" w:eastAsia="Arial" w:hAnsi="Arial"/>
          <w:b/>
          <w:bCs/>
          <w:color w:val="0D9488"/>
          <w:sz w:val="28"/>
          <w:szCs w:val="28"/>
        </w:rPr>
        <w:t xml:space="preserve">Model Calibration</w:t>
      </w:r>
    </w:p>
    <w:p>
      <w:pPr>
        <w:spacing w:after="60" w:before="60"/>
      </w:pPr>
      <w:r>
        <w:rPr>
          <w:rFonts w:ascii="Arial" w:cs="Arial" w:eastAsia="Arial" w:hAnsi="Arial"/>
          <w:color w:val="1E293B"/>
          <w:sz w:val="22"/>
          <w:szCs w:val="22"/>
        </w:rPr>
        <w:t xml:space="preserve">A well-calibrated model: when it says 70% probability of T2D, roughly 70% of those predictions are actually T2D cases. This is critical for clinical trust.</w:t>
      </w:r>
    </w:p>
    <w:tbl>
      <w:tblPr>
        <w:tblW w:type="dxa" w:w="9360"/>
        <w:tblBorders>
          <w:top w:val="single" w:color="0D9488" w:sz="6"/>
          <w:left w:val="single" w:color="0D9488" w:sz="16"/>
          <w:bottom w:val="single" w:color="0D9488" w:sz="6"/>
          <w:right w:val="single" w:color="0D9488" w:sz="4"/>
          <w:insideH w:val="single" w:color="auto" w:sz="4"/>
          <w:insideV w:val="single" w:color="auto" w:sz="4"/>
        </w:tblBorders>
      </w:tblPr>
      <w:tblGrid>
        <w:gridCol w:w="9360"/>
      </w:tblGrid>
      <w:tr>
        <w:tc>
          <w:tcPr>
            <w:tcW w:type="dxa" w:w="9360"/>
            <w:tcBorders>
              <w:top w:val="none"/>
              <w:left w:val="none"/>
              <w:bottom w:val="none"/>
              <w:right w:val="none"/>
            </w:tcBorders>
            <w:shd w:fill="CCFBF1" w:val="clear"/>
            <w:tcMar>
              <w:top w:type="dxa" w:w="100"/>
              <w:left w:type="dxa" w:w="200"/>
              <w:bottom w:type="dxa" w:w="100"/>
              <w:right w:type="dxa" w:w="200"/>
            </w:tcMar>
          </w:tcPr>
          <w:p>
            <w:pPr>
              <w:spacing w:after="40" w:before="0"/>
            </w:pPr>
            <w:r>
              <w:rPr>
                <w:rFonts w:ascii="Arial" w:cs="Arial" w:eastAsia="Arial" w:hAnsi="Arial"/>
                <w:b/>
                <w:bCs/>
                <w:color w:val="0D9488"/>
                <w:sz w:val="20"/>
                <w:szCs w:val="20"/>
              </w:rPr>
              <w:t xml:space="preserve">Expected Calibration Error (ECE)</w:t>
            </w:r>
          </w:p>
          <w:p>
            <w:pPr>
              <w:spacing w:after="60" w:before="0"/>
            </w:pPr>
            <w:r>
              <w:rPr>
                <w:rFonts w:ascii="Courier New" w:cs="Courier New" w:eastAsia="Courier New" w:hAnsi="Courier New"/>
                <w:b/>
                <w:bCs/>
                <w:color w:val="0A1628"/>
                <w:sz w:val="24"/>
                <w:szCs w:val="24"/>
              </w:rPr>
              <w:t xml:space="preserve">ECE = Σ_b (|b|/|D|) × |p̄_b − p̂_b|</w:t>
            </w:r>
          </w:p>
          <w:p>
            <w:pPr>
              <w:spacing w:after="0" w:before="0"/>
            </w:pPr>
            <w:r>
              <w:rPr>
                <w:rFonts w:ascii="Arial" w:cs="Arial" w:eastAsia="Arial" w:hAnsi="Arial"/>
                <w:i/>
                <w:iCs/>
                <w:color w:val="475569"/>
                <w:sz w:val="20"/>
                <w:szCs w:val="20"/>
              </w:rPr>
              <w:t xml:space="preserve">|b| = samples in bin b; |D| = total test samples; p̄_b = observed frequency in bin; p̂_b = mean predicted probability. Lower is better. SweetDeep: ECE = 5.5% — well below the 10% threshold for 'well-calibrated'.</w:t>
            </w:r>
          </w:p>
        </w:tc>
      </w:tr>
    </w:tbl>
    <w:p>
      <w:pPr>
        <w:spacing w:after="80" w:before="100"/>
      </w:pPr>
    </w:p>
    <w:p>
      <w:pPr>
        <w:spacing w:after="60" w:before="180"/>
      </w:pPr>
      <w:r>
        <w:rPr>
          <w:rFonts w:ascii="Arial" w:cs="Arial" w:eastAsia="Arial" w:hAnsi="Arial"/>
          <w:b/>
          <w:bCs/>
          <w:color w:val="0A1628"/>
          <w:sz w:val="24"/>
          <w:szCs w:val="24"/>
        </w:rPr>
        <w:t xml:space="preserve">Why is SweetDeep well-calibrated?</w:t>
      </w:r>
    </w:p>
    <w:p>
      <w:pPr>
        <w:pStyle w:val="ListParagraph"/>
        <w:numPr>
          <w:ilvl w:val="0"/>
          <w:numId w:val="2"/>
        </w:numPr>
        <w:spacing w:after="40" w:before="40"/>
      </w:pPr>
      <w:r>
        <w:rPr>
          <w:rFonts w:ascii="Arial" w:cs="Arial" w:eastAsia="Arial" w:hAnsi="Arial"/>
          <w:b w:val="false"/>
          <w:bCs w:val="false"/>
          <w:color w:val="1E293B"/>
          <w:sz w:val="22"/>
          <w:szCs w:val="22"/>
        </w:rPr>
        <w:t xml:space="preserve">Larger networks develop 'overconfidence' — they say 99% when the true probability is 70%</w:t>
      </w:r>
    </w:p>
    <w:p>
      <w:pPr>
        <w:pStyle w:val="ListParagraph"/>
        <w:numPr>
          <w:ilvl w:val="0"/>
          <w:numId w:val="2"/>
        </w:numPr>
        <w:spacing w:after="40" w:before="40"/>
      </w:pPr>
      <w:r>
        <w:rPr>
          <w:rFonts w:ascii="Arial" w:cs="Arial" w:eastAsia="Arial" w:hAnsi="Arial"/>
          <w:b w:val="false"/>
          <w:bCs w:val="false"/>
          <w:color w:val="1E293B"/>
          <w:sz w:val="22"/>
          <w:szCs w:val="22"/>
        </w:rPr>
        <w:t xml:space="preserve">SweetDeep's deliberately tiny architecture avoids this pathology</w:t>
      </w:r>
    </w:p>
    <w:p>
      <w:pPr>
        <w:pStyle w:val="ListParagraph"/>
        <w:numPr>
          <w:ilvl w:val="0"/>
          <w:numId w:val="2"/>
        </w:numPr>
        <w:spacing w:after="40" w:before="40"/>
      </w:pPr>
      <w:r>
        <w:rPr>
          <w:rFonts w:ascii="Arial" w:cs="Arial" w:eastAsia="Arial" w:hAnsi="Arial"/>
          <w:b w:val="false"/>
          <w:bCs w:val="false"/>
          <w:color w:val="1E293B"/>
          <w:sz w:val="22"/>
          <w:szCs w:val="22"/>
        </w:rPr>
        <w:t xml:space="preserve">Ablation: removing BatchNorm + Dropout drops ECE further (to 2.8%) but also drops accuracy — calibration vs accuracy trade-off</w:t>
      </w:r>
    </w:p>
    <w:p>
      <w:pPr>
        <w:spacing w:after="80" w:before="80"/>
      </w:pPr>
    </w:p>
    <w:p>
      <w:pPr>
        <w:pStyle w:val="Heading2"/>
        <w:pBdr>
          <w:bottom w:val="single" w:color="0D9488" w:sz="6" w:space="2"/>
        </w:pBdr>
        <w:spacing w:after="100" w:before="240"/>
      </w:pPr>
      <w:r>
        <w:rPr>
          <w:rFonts w:ascii="Arial" w:cs="Arial" w:eastAsia="Arial" w:hAnsi="Arial"/>
          <w:b/>
          <w:bCs/>
          <w:color w:val="0D9488"/>
          <w:sz w:val="28"/>
          <w:szCs w:val="28"/>
        </w:rPr>
        <w:t xml:space="preserve">Abstention: The 'Don't Know' Mechanism</w:t>
      </w:r>
    </w:p>
    <w:p>
      <w:pPr>
        <w:spacing w:after="60" w:before="60"/>
      </w:pPr>
      <w:r>
        <w:rPr>
          <w:rFonts w:ascii="Arial" w:cs="Arial" w:eastAsia="Arial" w:hAnsi="Arial"/>
          <w:color w:val="1E293B"/>
          <w:sz w:val="22"/>
          <w:szCs w:val="22"/>
        </w:rPr>
        <w:t xml:space="preserve">If the model is not confident enough, it refuses to classify and refers the patient for standard blood testing. No extra training required — just a post-hoc threshold on the existing probabilities.</w:t>
      </w:r>
    </w:p>
    <w:tbl>
      <w:tblPr>
        <w:tblW w:type="dxa" w:w="9360"/>
        <w:tblBorders>
          <w:top w:val="single" w:color="0D9488" w:sz="6"/>
          <w:left w:val="single" w:color="0D9488" w:sz="16"/>
          <w:bottom w:val="single" w:color="0D9488" w:sz="6"/>
          <w:right w:val="single" w:color="0D9488" w:sz="4"/>
          <w:insideH w:val="single" w:color="auto" w:sz="4"/>
          <w:insideV w:val="single" w:color="auto" w:sz="4"/>
        </w:tblBorders>
      </w:tblPr>
      <w:tblGrid>
        <w:gridCol w:w="9360"/>
      </w:tblGrid>
      <w:tr>
        <w:tc>
          <w:tcPr>
            <w:tcW w:type="dxa" w:w="9360"/>
            <w:tcBorders>
              <w:top w:val="none"/>
              <w:left w:val="none"/>
              <w:bottom w:val="none"/>
              <w:right w:val="none"/>
            </w:tcBorders>
            <w:shd w:fill="CCFBF1" w:val="clear"/>
            <w:tcMar>
              <w:top w:type="dxa" w:w="100"/>
              <w:left w:type="dxa" w:w="200"/>
              <w:bottom w:type="dxa" w:w="100"/>
              <w:right w:type="dxa" w:w="200"/>
            </w:tcMar>
          </w:tcPr>
          <w:p>
            <w:pPr>
              <w:spacing w:after="40" w:before="0"/>
            </w:pPr>
            <w:r>
              <w:rPr>
                <w:rFonts w:ascii="Arial" w:cs="Arial" w:eastAsia="Arial" w:hAnsi="Arial"/>
                <w:b/>
                <w:bCs/>
                <w:color w:val="0D9488"/>
                <w:sz w:val="20"/>
                <w:szCs w:val="20"/>
              </w:rPr>
              <w:t xml:space="preserve">Abstention Rule</w:t>
            </w:r>
          </w:p>
          <w:p>
            <w:pPr>
              <w:spacing w:after="60" w:before="0"/>
            </w:pPr>
            <w:r>
              <w:rPr>
                <w:rFonts w:ascii="Courier New" w:cs="Courier New" w:eastAsia="Courier New" w:hAnsi="Courier New"/>
                <w:b/>
                <w:bCs/>
                <w:color w:val="0A1628"/>
                <w:sz w:val="24"/>
                <w:szCs w:val="24"/>
              </w:rPr>
              <w:t xml:space="preserve">If |p̂_X − 0.5| &lt; 0.08  →  report 'Don't Know'</w:t>
            </w:r>
          </w:p>
          <w:p>
            <w:pPr>
              <w:spacing w:after="0" w:before="0"/>
            </w:pPr>
            <w:r>
              <w:rPr>
                <w:rFonts w:ascii="Arial" w:cs="Arial" w:eastAsia="Arial" w:hAnsi="Arial"/>
                <w:i/>
                <w:iCs/>
                <w:color w:val="475569"/>
                <w:sz w:val="20"/>
                <w:szCs w:val="20"/>
              </w:rPr>
              <w:t xml:space="preserve">This abstains when the patient-level probability is between 42% and 58% — too close to the decision boundary to be trusted. Empirically calibrated to abstain on &lt;10% of patients.</w:t>
            </w:r>
          </w:p>
        </w:tc>
      </w:tr>
    </w:tbl>
    <w:p>
      <w:pPr>
        <w:spacing w:after="8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2160"/>
        <w:gridCol w:w="1440"/>
      </w:tblGrid>
      <w:tr>
        <w:tc>
          <w:tcPr>
            <w:tcW w:type="dxa" w:w="144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Mode</w:t>
            </w:r>
          </w:p>
        </w:tc>
        <w:tc>
          <w:tcPr>
            <w:tcW w:type="dxa" w:w="216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Coverage</w:t>
            </w:r>
          </w:p>
        </w:tc>
        <w:tc>
          <w:tcPr>
            <w:tcW w:type="dxa" w:w="216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Accuracy</w:t>
            </w:r>
          </w:p>
        </w:tc>
        <w:tc>
          <w:tcPr>
            <w:tcW w:type="dxa" w:w="216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Sensitivity</w:t>
            </w:r>
          </w:p>
        </w:tc>
        <w:tc>
          <w:tcPr>
            <w:tcW w:type="dxa" w:w="144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Specificity</w:t>
            </w:r>
          </w:p>
        </w:tc>
      </w:tr>
      <w:tr>
        <w:tc>
          <w:tcPr>
            <w:tcW w:type="dxa" w:w="14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 model (no abstention)</w:t>
            </w:r>
          </w:p>
        </w:tc>
        <w:tc>
          <w:tcPr>
            <w:tcW w:type="dxa" w:w="2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100%</w:t>
            </w:r>
          </w:p>
        </w:tc>
        <w:tc>
          <w:tcPr>
            <w:tcW w:type="dxa" w:w="2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82.5%</w:t>
            </w:r>
          </w:p>
        </w:tc>
        <w:tc>
          <w:tcPr>
            <w:tcW w:type="dxa" w:w="2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79.7%</w:t>
            </w:r>
          </w:p>
        </w:tc>
        <w:tc>
          <w:tcPr>
            <w:tcW w:type="dxa" w:w="14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84.6%</w:t>
            </w:r>
          </w:p>
        </w:tc>
      </w:tr>
      <w:tr>
        <w:tc>
          <w:tcPr>
            <w:tcW w:type="dxa" w:w="14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With abstention</w:t>
            </w:r>
          </w:p>
        </w:tc>
        <w:tc>
          <w:tcPr>
            <w:tcW w:type="dxa" w:w="21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90.5%</w:t>
            </w:r>
          </w:p>
        </w:tc>
        <w:tc>
          <w:tcPr>
            <w:tcW w:type="dxa" w:w="21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84.5%</w:t>
            </w:r>
          </w:p>
        </w:tc>
        <w:tc>
          <w:tcPr>
            <w:tcW w:type="dxa" w:w="21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81.1%</w:t>
            </w:r>
          </w:p>
        </w:tc>
        <w:tc>
          <w:tcPr>
            <w:tcW w:type="dxa" w:w="14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87.1%</w:t>
            </w:r>
          </w:p>
        </w:tc>
      </w:tr>
    </w:tbl>
    <w:p>
      <w:pPr>
        <w:spacing w:after="80" w:before="80"/>
      </w:pPr>
    </w:p>
    <w:p>
      <w:pPr>
        <w:pStyle w:val="Heading2"/>
        <w:pBdr>
          <w:bottom w:val="single" w:color="0D9488" w:sz="6" w:space="2"/>
        </w:pBdr>
        <w:spacing w:after="100" w:before="240"/>
      </w:pPr>
      <w:r>
        <w:rPr>
          <w:rFonts w:ascii="Arial" w:cs="Arial" w:eastAsia="Arial" w:hAnsi="Arial"/>
          <w:b/>
          <w:bCs/>
          <w:color w:val="0D9488"/>
          <w:sz w:val="28"/>
          <w:szCs w:val="28"/>
        </w:rPr>
        <w:t xml:space="preserve">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Metric</w:t>
            </w:r>
          </w:p>
        </w:tc>
        <w:tc>
          <w:tcPr>
            <w:tcW w:type="dxa" w:w="34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Instance Level</w:t>
            </w:r>
          </w:p>
        </w:tc>
        <w:tc>
          <w:tcPr>
            <w:tcW w:type="dxa" w:w="34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Patient Level</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Accuracy</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80.9%</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82.5%</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Sensitivity</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77.5%</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79.7%</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Specificity</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82.9%</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84.6%</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Macro-F1</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79.8%</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82.1%</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ECE</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5.4%</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5.5%</w:t>
            </w:r>
          </w:p>
        </w:tc>
      </w:tr>
    </w:tbl>
    <w:p>
      <w:pPr>
        <w:spacing w:after="80" w:before="80"/>
      </w:pPr>
    </w:p>
    <w:tbl>
      <w:tblPr>
        <w:tblW w:type="dxa" w:w="9360"/>
        <w:tblBorders>
          <w:top w:val="single" w:color="0D9488" w:sz="8"/>
          <w:left w:val="single" w:color="0D9488" w:sz="16"/>
          <w:bottom w:val="single" w:color="0D9488" w:sz="8"/>
          <w:right w:val="single" w:color="0D9488" w:sz="4"/>
          <w:insideH w:val="single" w:color="auto" w:sz="4"/>
          <w:insideV w:val="single" w:color="auto" w:sz="4"/>
        </w:tblBorders>
      </w:tblPr>
      <w:tblGrid>
        <w:gridCol w:w="9360"/>
      </w:tblGrid>
      <w:tr>
        <w:tc>
          <w:tcPr>
            <w:tcW w:type="dxa" w:w="9360"/>
            <w:tcBorders>
              <w:top w:val="none"/>
              <w:left w:val="none"/>
              <w:bottom w:val="none"/>
              <w:right w:val="none"/>
            </w:tcBorders>
            <w:shd w:fill="CCFBF1" w:val="clear"/>
            <w:tcMar>
              <w:top w:type="dxa" w:w="140"/>
              <w:left w:type="dxa" w:w="200"/>
              <w:bottom w:type="dxa" w:w="140"/>
              <w:right w:type="dxa" w:w="200"/>
            </w:tcMar>
          </w:tcPr>
          <w:p>
            <w:pPr>
              <w:spacing w:after="60" w:before="0"/>
            </w:pPr>
            <w:r>
              <w:rPr>
                <w:rFonts w:ascii="Arial" w:cs="Arial" w:eastAsia="Arial" w:hAnsi="Arial"/>
                <w:b/>
                <w:bCs/>
                <w:color w:val="0A1628"/>
                <w:sz w:val="22"/>
                <w:szCs w:val="22"/>
              </w:rPr>
              <w:t xml:space="preserve">Why patient-level &gt; instance-level?</w:t>
            </w:r>
          </w:p>
          <w:p>
            <w:pPr>
              <w:spacing w:after="0" w:before="0"/>
            </w:pPr>
            <w:r>
              <w:rPr>
                <w:rFonts w:ascii="Arial" w:cs="Arial" w:eastAsia="Arial" w:hAnsi="Arial"/>
                <w:color w:val="1E293B"/>
                <w:sz w:val="21"/>
                <w:szCs w:val="21"/>
              </w:rPr>
              <w:t xml:space="preserve">Each patient has ~20 recordings. Patient probability = average of all 20 instance probabilities. Random noise in individual recordings cancels out when averaged. This is the law of large numbers applied to medical AI. Mathematically equivalent to Bayesian updating across 20 independent observations.</w:t>
            </w:r>
          </w:p>
        </w:tc>
      </w:tr>
    </w:tbl>
    <w:p>
      <w:pPr>
        <w:spacing w:after="80" w:before="80"/>
      </w:pPr>
    </w:p>
    <w:p>
      <w:pPr>
        <w:pStyle w:val="Heading2"/>
        <w:pBdr>
          <w:bottom w:val="single" w:color="0D9488" w:sz="6" w:space="2"/>
        </w:pBdr>
        <w:spacing w:after="100" w:before="240"/>
      </w:pPr>
      <w:r>
        <w:rPr>
          <w:rFonts w:ascii="Arial" w:cs="Arial" w:eastAsia="Arial" w:hAnsi="Arial"/>
          <w:b/>
          <w:bCs/>
          <w:color w:val="0D9488"/>
          <w:sz w:val="28"/>
          <w:szCs w:val="28"/>
        </w:rPr>
        <w:t xml:space="preserve">Ablation Study — Feature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Feature Removed</w:t>
            </w:r>
          </w:p>
        </w:tc>
        <w:tc>
          <w:tcPr>
            <w:tcW w:type="dxa" w:w="34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Accuracy Drop</w:t>
            </w:r>
          </w:p>
        </w:tc>
        <w:tc>
          <w:tcPr>
            <w:tcW w:type="dxa" w:w="34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Interpretation</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Age</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7.1%</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Largest drop — age is the strongest single predictor of T2D risk</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BIA</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3.2%</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Metabolic profile encodes obesity-IR link tightly</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 encoding</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3.2%</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Circadian variation is real and matters — novel contribution confirmed</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ECG</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2.1%</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CAN fingerprint adds independent information beyond demographics</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Family History</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1.4%</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Genetic risk is real but smaller effect than expected</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PPG-BP</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1.4%</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Vascular features add incremental value</w:t>
            </w:r>
          </w:p>
        </w:tc>
      </w:tr>
    </w:tbl>
    <w:p>
      <w:pPr>
        <w:spacing w:after="0" w:before="0"/>
      </w:pPr>
      <w:r>
        <w:br w:type="page"/>
      </w:r>
    </w:p>
    <w:p>
      <w:pPr>
        <w:pStyle w:val="Heading1"/>
        <w:shd w:fill="0A1628" w:val="clear"/>
        <w:spacing w:after="180" w:before="360"/>
        <w:ind w:left="200" w:right="200"/>
      </w:pPr>
      <w:r>
        <w:rPr>
          <w:rFonts w:ascii="Arial" w:cs="Arial" w:eastAsia="Arial" w:hAnsi="Arial"/>
          <w:b/>
          <w:bCs/>
          <w:color w:val="FFFFFF"/>
          <w:sz w:val="36"/>
          <w:szCs w:val="36"/>
        </w:rPr>
        <w:t xml:space="preserve">Chapter 6  ·  Google IR Prediction — Complete Deep Dive</w:t>
      </w:r>
    </w:p>
    <w:p>
      <w:pPr>
        <w:pStyle w:val="Heading2"/>
        <w:pBdr>
          <w:bottom w:val="single" w:color="0D9488" w:sz="6" w:space="2"/>
        </w:pBdr>
        <w:spacing w:after="100" w:before="240"/>
      </w:pPr>
      <w:r>
        <w:rPr>
          <w:rFonts w:ascii="Arial" w:cs="Arial" w:eastAsia="Arial" w:hAnsi="Arial"/>
          <w:b/>
          <w:bCs/>
          <w:color w:val="0D9488"/>
          <w:sz w:val="28"/>
          <w:szCs w:val="28"/>
        </w:rPr>
        <w:t xml:space="preserve">What This Paper Does</w:t>
      </w:r>
    </w:p>
    <w:p>
      <w:pPr>
        <w:spacing w:after="60" w:before="60"/>
      </w:pPr>
      <w:r>
        <w:rPr>
          <w:rFonts w:ascii="Arial" w:cs="Arial" w:eastAsia="Arial" w:hAnsi="Arial"/>
          <w:color w:val="1E293B"/>
          <w:sz w:val="22"/>
          <w:szCs w:val="22"/>
        </w:rPr>
        <w:t xml:space="preserve">Where SweetDeep detects existing T2D, Google's paper predicts its precursor — insulin resistance — before diabetes develops. It uses wearable lifestyle data combined with routine blood biomarkers to estimate HOMA-IR.</w:t>
      </w:r>
    </w:p>
    <w:p>
      <w:pPr>
        <w:spacing w:after="80" w:before="80"/>
      </w:pPr>
    </w:p>
    <w:p>
      <w:pPr>
        <w:pStyle w:val="Heading2"/>
        <w:pBdr>
          <w:bottom w:val="single" w:color="0D9488" w:sz="6" w:space="2"/>
        </w:pBdr>
        <w:spacing w:after="100" w:before="240"/>
      </w:pPr>
      <w:r>
        <w:rPr>
          <w:rFonts w:ascii="Arial" w:cs="Arial" w:eastAsia="Arial" w:hAnsi="Arial"/>
          <w:b/>
          <w:bCs/>
          <w:color w:val="0D9488"/>
          <w:sz w:val="28"/>
          <w:szCs w:val="28"/>
        </w:rPr>
        <w:t xml:space="preserve">Study Design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Aspect</w:t>
            </w:r>
          </w:p>
        </w:tc>
        <w:tc>
          <w:tcPr>
            <w:tcW w:type="dxa" w:w="46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Details</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Cohort size</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N=1,165 (largest IR wearable dataset ever assembled)</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Demographics</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Median BMI 28, age 45, HbA1c 5.4%; 75% White/Caucasian</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Wearables</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Fitbit / Google Pixel Watch — 7+ device models</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Blood tests</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Quest Diagnostics lab — fasting blood draw, full metabolic panel</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Ground truth</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HOMA-IR from fasting insulin × fasting glucose / 405</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IR threshold</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HOMA-IR &gt; 2.9 = Insulin Resistant; &lt; 1.5 = Insulin Sensitive</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Validation</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Independent external cohort N=72 — frozen model, no fine-tuning</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Novel addition</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LLM agent (Gemini 2.0 Flash) for patient-facing IR interpretation</w:t>
            </w:r>
          </w:p>
        </w:tc>
      </w:tr>
    </w:tbl>
    <w:p>
      <w:pPr>
        <w:spacing w:after="80" w:before="80"/>
      </w:pPr>
    </w:p>
    <w:p>
      <w:pPr>
        <w:pStyle w:val="Heading2"/>
        <w:pBdr>
          <w:bottom w:val="single" w:color="0D9488" w:sz="6" w:space="2"/>
        </w:pBdr>
        <w:spacing w:after="100" w:before="240"/>
      </w:pPr>
      <w:r>
        <w:rPr>
          <w:rFonts w:ascii="Arial" w:cs="Arial" w:eastAsia="Arial" w:hAnsi="Arial"/>
          <w:b/>
          <w:bCs/>
          <w:color w:val="0D9488"/>
          <w:sz w:val="28"/>
          <w:szCs w:val="28"/>
        </w:rPr>
        <w:t xml:space="preserve">Three Practical Model Tiers</w:t>
      </w:r>
    </w:p>
    <w:tbl>
      <w:tblPr>
        <w:tblW w:type="dxa" w:w="9360"/>
        <w:tblBorders>
          <w:top w:val="single" w:color="0D9488" w:sz="8"/>
          <w:left w:val="single" w:color="0D9488" w:sz="16"/>
          <w:bottom w:val="single" w:color="0D9488" w:sz="8"/>
          <w:right w:val="single" w:color="0D9488" w:sz="4"/>
          <w:insideH w:val="single" w:color="auto" w:sz="4"/>
          <w:insideV w:val="single" w:color="auto" w:sz="4"/>
        </w:tblBorders>
      </w:tblPr>
      <w:tblGrid>
        <w:gridCol w:w="9360"/>
      </w:tblGrid>
      <w:tr>
        <w:tc>
          <w:tcPr>
            <w:tcW w:type="dxa" w:w="9360"/>
            <w:tcBorders>
              <w:top w:val="none"/>
              <w:left w:val="none"/>
              <w:bottom w:val="none"/>
              <w:right w:val="none"/>
            </w:tcBorders>
            <w:shd w:fill="CCFBF1" w:val="clear"/>
            <w:tcMar>
              <w:top w:type="dxa" w:w="140"/>
              <w:left w:type="dxa" w:w="200"/>
              <w:bottom w:type="dxa" w:w="140"/>
              <w:right w:type="dxa" w:w="200"/>
            </w:tcMar>
          </w:tcPr>
          <w:p>
            <w:pPr>
              <w:spacing w:after="60" w:before="0"/>
            </w:pPr>
            <w:r>
              <w:rPr>
                <w:rFonts w:ascii="Arial" w:cs="Arial" w:eastAsia="Arial" w:hAnsi="Arial"/>
                <w:b/>
                <w:bCs/>
                <w:color w:val="0A1628"/>
                <w:sz w:val="22"/>
                <w:szCs w:val="22"/>
              </w:rPr>
              <w:t xml:space="preserve">Minimal Model — Wearables + Demographics only</w:t>
            </w:r>
          </w:p>
          <w:p>
            <w:pPr>
              <w:spacing w:after="0" w:before="0"/>
            </w:pPr>
            <w:r>
              <w:rPr>
                <w:rFonts w:ascii="Arial" w:cs="Arial" w:eastAsia="Arial" w:hAnsi="Arial"/>
                <w:color w:val="1E293B"/>
                <w:sz w:val="21"/>
                <w:szCs w:val="21"/>
              </w:rPr>
              <w:t xml:space="preserve">Inputs: RHR, HRV, step count, sleep duration, BMI, age.
AUROC: 0.70 | Sensitivity: 60% | Specificity: 80%
Use case: Users with only a smartwatch. No blood test required.</w:t>
            </w:r>
          </w:p>
        </w:tc>
      </w:tr>
    </w:tbl>
    <w:p>
      <w:pPr>
        <w:spacing w:after="80" w:before="80"/>
      </w:pPr>
    </w:p>
    <w:tbl>
      <w:tblPr>
        <w:tblW w:type="dxa" w:w="9360"/>
        <w:tblBorders>
          <w:top w:val="single" w:color="F59E0B" w:sz="8"/>
          <w:left w:val="single" w:color="F59E0B" w:sz="16"/>
          <w:bottom w:val="single" w:color="F59E0B" w:sz="8"/>
          <w:right w:val="single" w:color="F59E0B" w:sz="4"/>
          <w:insideH w:val="single" w:color="auto" w:sz="4"/>
          <w:insideV w:val="single" w:color="auto" w:sz="4"/>
        </w:tblBorders>
      </w:tblPr>
      <w:tblGrid>
        <w:gridCol w:w="9360"/>
      </w:tblGrid>
      <w:tr>
        <w:tc>
          <w:tcPr>
            <w:tcW w:type="dxa" w:w="9360"/>
            <w:tcBorders>
              <w:top w:val="none"/>
              <w:left w:val="none"/>
              <w:bottom w:val="none"/>
              <w:right w:val="none"/>
            </w:tcBorders>
            <w:shd w:fill="FEF3C7" w:val="clear"/>
            <w:tcMar>
              <w:top w:type="dxa" w:w="140"/>
              <w:left w:type="dxa" w:w="200"/>
              <w:bottom w:type="dxa" w:w="140"/>
              <w:right w:type="dxa" w:w="200"/>
            </w:tcMar>
          </w:tcPr>
          <w:p>
            <w:pPr>
              <w:spacing w:after="60" w:before="0"/>
            </w:pPr>
            <w:r>
              <w:rPr>
                <w:rFonts w:ascii="Arial" w:cs="Arial" w:eastAsia="Arial" w:hAnsi="Arial"/>
                <w:b/>
                <w:bCs/>
                <w:color w:val="0A1628"/>
                <w:sz w:val="22"/>
                <w:szCs w:val="22"/>
              </w:rPr>
              <w:t xml:space="preserve">Moderate Model — Wearables + Demographics + Fasting Glucose</w:t>
            </w:r>
          </w:p>
          <w:p>
            <w:pPr>
              <w:spacing w:after="0" w:before="0"/>
            </w:pPr>
            <w:r>
              <w:rPr>
                <w:rFonts w:ascii="Arial" w:cs="Arial" w:eastAsia="Arial" w:hAnsi="Arial"/>
                <w:color w:val="1E293B"/>
                <w:sz w:val="21"/>
                <w:szCs w:val="21"/>
              </w:rPr>
              <w:t xml:space="preserve">Inputs: Above + fasting glucose (finger-prick test).
AUROC: 0.78 | Sensitivity: 73% | Specificity: 84%
Use case: Primary care screening. One cheap blood test doubles the information.</w:t>
            </w:r>
          </w:p>
        </w:tc>
      </w:tr>
    </w:tbl>
    <w:p>
      <w:pPr>
        <w:spacing w:after="80" w:before="80"/>
      </w:pPr>
    </w:p>
    <w:tbl>
      <w:tblPr>
        <w:tblW w:type="dxa" w:w="9360"/>
        <w:tblBorders>
          <w:top w:val="single" w:color="F43F5E" w:sz="8"/>
          <w:left w:val="single" w:color="F43F5E" w:sz="16"/>
          <w:bottom w:val="single" w:color="F43F5E" w:sz="8"/>
          <w:right w:val="single" w:color="F43F5E" w:sz="4"/>
          <w:insideH w:val="single" w:color="auto" w:sz="4"/>
          <w:insideV w:val="single" w:color="auto" w:sz="4"/>
        </w:tblBorders>
      </w:tblPr>
      <w:tblGrid>
        <w:gridCol w:w="9360"/>
      </w:tblGrid>
      <w:tr>
        <w:tc>
          <w:tcPr>
            <w:tcW w:type="dxa" w:w="9360"/>
            <w:tcBorders>
              <w:top w:val="none"/>
              <w:left w:val="none"/>
              <w:bottom w:val="none"/>
              <w:right w:val="none"/>
            </w:tcBorders>
            <w:shd w:fill="FFE4E6" w:val="clear"/>
            <w:tcMar>
              <w:top w:type="dxa" w:w="140"/>
              <w:left w:type="dxa" w:w="200"/>
              <w:bottom w:type="dxa" w:w="140"/>
              <w:right w:type="dxa" w:w="200"/>
            </w:tcMar>
          </w:tcPr>
          <w:p>
            <w:pPr>
              <w:spacing w:after="60" w:before="0"/>
            </w:pPr>
            <w:r>
              <w:rPr>
                <w:rFonts w:ascii="Arial" w:cs="Arial" w:eastAsia="Arial" w:hAnsi="Arial"/>
                <w:b/>
                <w:bCs/>
                <w:color w:val="0A1628"/>
                <w:sz w:val="22"/>
                <w:szCs w:val="22"/>
              </w:rPr>
              <w:t xml:space="preserve">Optimal Model — Wearables + Demographics + Lipid Panel + Metabolic Panel</w:t>
            </w:r>
          </w:p>
          <w:p>
            <w:pPr>
              <w:spacing w:after="0" w:before="0"/>
            </w:pPr>
            <w:r>
              <w:rPr>
                <w:rFonts w:ascii="Arial" w:cs="Arial" w:eastAsia="Arial" w:hAnsi="Arial"/>
                <w:color w:val="1E293B"/>
                <w:sz w:val="21"/>
                <w:szCs w:val="21"/>
              </w:rPr>
              <w:t xml:space="preserve">Inputs: Above + triglycerides, HDL, LDL, full metabolic panel.
AUROC: 0.80 | Sensitivity: 76% | Specificity: 84% | R²: 0.50
Use case: Annual health check — leverages data people already have.</w:t>
            </w:r>
          </w:p>
        </w:tc>
      </w:tr>
    </w:tbl>
    <w:p>
      <w:pPr>
        <w:spacing w:after="80" w:before="80"/>
      </w:pPr>
    </w:p>
    <w:p>
      <w:pPr>
        <w:pStyle w:val="Heading2"/>
        <w:pBdr>
          <w:bottom w:val="single" w:color="0D9488" w:sz="6" w:space="2"/>
        </w:pBdr>
        <w:spacing w:after="100" w:before="240"/>
      </w:pPr>
      <w:r>
        <w:rPr>
          <w:rFonts w:ascii="Arial" w:cs="Arial" w:eastAsia="Arial" w:hAnsi="Arial"/>
          <w:b/>
          <w:bCs/>
          <w:color w:val="0D9488"/>
          <w:sz w:val="28"/>
          <w:szCs w:val="28"/>
        </w:rPr>
        <w:t xml:space="preserve">The Machine Learning Pipeline</w:t>
      </w:r>
    </w:p>
    <w:p>
      <w:pPr>
        <w:spacing w:after="60" w:before="180"/>
      </w:pPr>
      <w:r>
        <w:rPr>
          <w:rFonts w:ascii="Arial" w:cs="Arial" w:eastAsia="Arial" w:hAnsi="Arial"/>
          <w:b/>
          <w:bCs/>
          <w:color w:val="0A1628"/>
          <w:sz w:val="24"/>
          <w:szCs w:val="24"/>
        </w:rPr>
        <w:t xml:space="preserve">Step 1: Data Preprocessing</w:t>
      </w:r>
    </w:p>
    <w:p>
      <w:pPr>
        <w:pStyle w:val="ListParagraph"/>
        <w:numPr>
          <w:ilvl w:val="0"/>
          <w:numId w:val="2"/>
        </w:numPr>
        <w:spacing w:after="40" w:before="40"/>
      </w:pPr>
      <w:r>
        <w:rPr>
          <w:rFonts w:ascii="Arial" w:cs="Arial" w:eastAsia="Arial" w:hAnsi="Arial"/>
          <w:b w:val="false"/>
          <w:bCs w:val="false"/>
          <w:color w:val="1E293B"/>
          <w:sz w:val="22"/>
          <w:szCs w:val="22"/>
        </w:rPr>
        <w:t xml:space="preserve">Wearables: aggregate RHR, HRV, steps, sleep over past 7 days (mean, SD, median)</w:t>
      </w:r>
    </w:p>
    <w:p>
      <w:pPr>
        <w:pStyle w:val="ListParagraph"/>
        <w:numPr>
          <w:ilvl w:val="0"/>
          <w:numId w:val="2"/>
        </w:numPr>
        <w:spacing w:after="40" w:before="40"/>
      </w:pPr>
      <w:r>
        <w:rPr>
          <w:rFonts w:ascii="Arial" w:cs="Arial" w:eastAsia="Arial" w:hAnsi="Arial"/>
          <w:b w:val="false"/>
          <w:bCs w:val="false"/>
          <w:color w:val="1E293B"/>
          <w:sz w:val="22"/>
          <w:szCs w:val="22"/>
        </w:rPr>
        <w:t xml:space="preserve">Blood biomarkers: standardise to zero mean, unit variance (z-score normalisation)</w:t>
      </w:r>
    </w:p>
    <w:p>
      <w:pPr>
        <w:pStyle w:val="ListParagraph"/>
        <w:numPr>
          <w:ilvl w:val="0"/>
          <w:numId w:val="2"/>
        </w:numPr>
        <w:spacing w:after="40" w:before="40"/>
      </w:pPr>
      <w:r>
        <w:rPr>
          <w:rFonts w:ascii="Arial" w:cs="Arial" w:eastAsia="Arial" w:hAnsi="Arial"/>
          <w:b w:val="false"/>
          <w:bCs w:val="false"/>
          <w:color w:val="1E293B"/>
          <w:sz w:val="22"/>
          <w:szCs w:val="22"/>
        </w:rPr>
        <w:t xml:space="preserve">Exclude: BMI &gt; 65 or &lt; 12; fasting HOMA-IR ≥ 15 (extreme outliers); non-fasting participants</w:t>
      </w:r>
    </w:p>
    <w:p>
      <w:pPr>
        <w:pStyle w:val="ListParagraph"/>
        <w:numPr>
          <w:ilvl w:val="0"/>
          <w:numId w:val="2"/>
        </w:numPr>
        <w:spacing w:after="40" w:before="40"/>
      </w:pPr>
      <w:r>
        <w:rPr>
          <w:rFonts w:ascii="Arial" w:cs="Arial" w:eastAsia="Arial" w:hAnsi="Arial"/>
          <w:b w:val="false"/>
          <w:bCs w:val="false"/>
          <w:color w:val="1E293B"/>
          <w:sz w:val="22"/>
          <w:szCs w:val="22"/>
        </w:rPr>
        <w:t xml:space="preserve">Each fold's normaliser is fit only on training data — never touches test data</w:t>
      </w:r>
    </w:p>
    <w:p>
      <w:pPr>
        <w:spacing w:after="80" w:before="80"/>
      </w:pPr>
    </w:p>
    <w:p>
      <w:pPr>
        <w:spacing w:after="60" w:before="180"/>
      </w:pPr>
      <w:r>
        <w:rPr>
          <w:rFonts w:ascii="Arial" w:cs="Arial" w:eastAsia="Arial" w:hAnsi="Arial"/>
          <w:b/>
          <w:bCs/>
          <w:color w:val="0A1628"/>
          <w:sz w:val="24"/>
          <w:szCs w:val="24"/>
        </w:rPr>
        <w:t xml:space="preserve">Step 2: Direct Regression (XGBoost)</w:t>
      </w:r>
    </w:p>
    <w:p>
      <w:pPr>
        <w:spacing w:after="60" w:before="60"/>
      </w:pPr>
      <w:r>
        <w:rPr>
          <w:rFonts w:ascii="Arial" w:cs="Arial" w:eastAsia="Arial" w:hAnsi="Arial"/>
          <w:color w:val="1E293B"/>
          <w:sz w:val="22"/>
          <w:szCs w:val="22"/>
        </w:rPr>
        <w:t xml:space="preserve">XGBoost (Extreme Gradient Boosting) builds an ensemble of decision trees sequentially. Each tree corrects the errors of the previous one.</w:t>
      </w:r>
    </w:p>
    <w:tbl>
      <w:tblPr>
        <w:tblW w:type="dxa" w:w="9360"/>
        <w:tblBorders>
          <w:top w:val="single" w:color="0D9488" w:sz="6"/>
          <w:left w:val="single" w:color="0D9488" w:sz="16"/>
          <w:bottom w:val="single" w:color="0D9488" w:sz="6"/>
          <w:right w:val="single" w:color="0D9488" w:sz="4"/>
          <w:insideH w:val="single" w:color="auto" w:sz="4"/>
          <w:insideV w:val="single" w:color="auto" w:sz="4"/>
        </w:tblBorders>
      </w:tblPr>
      <w:tblGrid>
        <w:gridCol w:w="9360"/>
      </w:tblGrid>
      <w:tr>
        <w:tc>
          <w:tcPr>
            <w:tcW w:type="dxa" w:w="9360"/>
            <w:tcBorders>
              <w:top w:val="none"/>
              <w:left w:val="none"/>
              <w:bottom w:val="none"/>
              <w:right w:val="none"/>
            </w:tcBorders>
            <w:shd w:fill="CCFBF1" w:val="clear"/>
            <w:tcMar>
              <w:top w:type="dxa" w:w="100"/>
              <w:left w:type="dxa" w:w="200"/>
              <w:bottom w:type="dxa" w:w="100"/>
              <w:right w:type="dxa" w:w="200"/>
            </w:tcMar>
          </w:tcPr>
          <w:p>
            <w:pPr>
              <w:spacing w:after="40" w:before="0"/>
            </w:pPr>
            <w:r>
              <w:rPr>
                <w:rFonts w:ascii="Arial" w:cs="Arial" w:eastAsia="Arial" w:hAnsi="Arial"/>
                <w:b/>
                <w:bCs/>
                <w:color w:val="0D9488"/>
                <w:sz w:val="20"/>
                <w:szCs w:val="20"/>
              </w:rPr>
              <w:t xml:space="preserve">XGBoost Objective</w:t>
            </w:r>
          </w:p>
          <w:p>
            <w:pPr>
              <w:spacing w:after="60" w:before="0"/>
            </w:pPr>
            <w:r>
              <w:rPr>
                <w:rFonts w:ascii="Courier New" w:cs="Courier New" w:eastAsia="Courier New" w:hAnsi="Courier New"/>
                <w:b/>
                <w:bCs/>
                <w:color w:val="0A1628"/>
                <w:sz w:val="24"/>
                <w:szCs w:val="24"/>
              </w:rPr>
              <w:t xml:space="preserve">L(φ) = Σ l(ŷᵢ, yᵢ)  +  Σ Ω(fₖ)</w:t>
            </w:r>
          </w:p>
          <w:p>
            <w:pPr>
              <w:spacing w:after="0" w:before="0"/>
            </w:pPr>
            <w:r>
              <w:rPr>
                <w:rFonts w:ascii="Arial" w:cs="Arial" w:eastAsia="Arial" w:hAnsi="Arial"/>
                <w:i/>
                <w:iCs/>
                <w:color w:val="475569"/>
                <w:sz w:val="20"/>
                <w:szCs w:val="20"/>
              </w:rPr>
              <w:t xml:space="preserve">First term: prediction loss (how wrong are we?). Second term: regularisation Ω = γT + ½λ‖w‖² penalises overly complex trees (T = number of leaves). This prevents overfitting on HOMA-IR prediction.</w:t>
            </w:r>
          </w:p>
        </w:tc>
      </w:tr>
    </w:tbl>
    <w:p>
      <w:pPr>
        <w:spacing w:after="80" w:before="100"/>
      </w:pPr>
    </w:p>
    <w:p>
      <w:pPr>
        <w:pStyle w:val="ListParagraph"/>
        <w:numPr>
          <w:ilvl w:val="0"/>
          <w:numId w:val="2"/>
        </w:numPr>
        <w:spacing w:after="40" w:before="40"/>
      </w:pPr>
      <w:r>
        <w:rPr>
          <w:rFonts w:ascii="Arial" w:cs="Arial" w:eastAsia="Arial" w:hAnsi="Arial"/>
          <w:b w:val="false"/>
          <w:bCs w:val="false"/>
          <w:color w:val="1E293B"/>
          <w:sz w:val="22"/>
          <w:szCs w:val="22"/>
        </w:rPr>
        <w:t xml:space="preserve">Linear learners (gblinear): assume linear relationships between features and HOMA-IR</w:t>
      </w:r>
    </w:p>
    <w:p>
      <w:pPr>
        <w:pStyle w:val="ListParagraph"/>
        <w:numPr>
          <w:ilvl w:val="0"/>
          <w:numId w:val="2"/>
        </w:numPr>
        <w:spacing w:after="40" w:before="40"/>
      </w:pPr>
      <w:r>
        <w:rPr>
          <w:rFonts w:ascii="Arial" w:cs="Arial" w:eastAsia="Arial" w:hAnsi="Arial"/>
          <w:b w:val="false"/>
          <w:bCs w:val="false"/>
          <w:color w:val="1E293B"/>
          <w:sz w:val="22"/>
          <w:szCs w:val="22"/>
        </w:rPr>
        <w:t xml:space="preserve">Tree learners (gbtree): capture non-linear interactions — usually perform better</w:t>
      </w:r>
    </w:p>
    <w:p>
      <w:pPr>
        <w:pStyle w:val="ListParagraph"/>
        <w:numPr>
          <w:ilvl w:val="0"/>
          <w:numId w:val="2"/>
        </w:numPr>
        <w:spacing w:after="40" w:before="40"/>
      </w:pPr>
      <w:r>
        <w:rPr>
          <w:rFonts w:ascii="Arial" w:cs="Arial" w:eastAsia="Arial" w:hAnsi="Arial"/>
          <w:b w:val="false"/>
          <w:bCs w:val="false"/>
          <w:color w:val="1E293B"/>
          <w:sz w:val="22"/>
          <w:szCs w:val="22"/>
        </w:rPr>
        <w:t xml:space="preserve">Best direct R² with optimal features: 0.44 (Wearables + Demo + Fasting Glucose)</w:t>
      </w:r>
    </w:p>
    <w:p>
      <w:pPr>
        <w:spacing w:after="80" w:before="80"/>
      </w:pPr>
    </w:p>
    <w:p>
      <w:pPr>
        <w:spacing w:after="60" w:before="180"/>
      </w:pPr>
      <w:r>
        <w:rPr>
          <w:rFonts w:ascii="Arial" w:cs="Arial" w:eastAsia="Arial" w:hAnsi="Arial"/>
          <w:b/>
          <w:bCs/>
          <w:color w:val="0A1628"/>
          <w:sz w:val="24"/>
          <w:szCs w:val="24"/>
        </w:rPr>
        <w:t xml:space="preserve">Step 3: Representation Learning (Masked Autoencoder)</w:t>
      </w:r>
    </w:p>
    <w:p>
      <w:pPr>
        <w:spacing w:after="60" w:before="60"/>
      </w:pPr>
      <w:r>
        <w:rPr>
          <w:rFonts w:ascii="Arial" w:cs="Arial" w:eastAsia="Arial" w:hAnsi="Arial"/>
          <w:color w:val="1E293B"/>
          <w:sz w:val="22"/>
          <w:szCs w:val="22"/>
        </w:rPr>
        <w:t xml:space="preserve">A Masked Autoencoder (MAE) learns to understand feature relationships before prediction — inspired by BERT in NLP and MAE-ViT in vision.</w:t>
      </w:r>
    </w:p>
    <w:p>
      <w:pPr>
        <w:pStyle w:val="ListParagraph"/>
        <w:numPr>
          <w:ilvl w:val="0"/>
          <w:numId w:val="3"/>
        </w:numPr>
        <w:spacing w:after="40" w:before="40"/>
      </w:pPr>
      <w:r>
        <w:rPr>
          <w:rFonts w:ascii="Arial" w:cs="Arial" w:eastAsia="Arial" w:hAnsi="Arial"/>
          <w:color w:val="1E293B"/>
          <w:sz w:val="22"/>
          <w:szCs w:val="22"/>
        </w:rPr>
        <w:t xml:space="preserve">Randomly mask 75% of input features using a Bernoulli mask vector m</w:t>
      </w:r>
    </w:p>
    <w:p>
      <w:pPr>
        <w:pStyle w:val="ListParagraph"/>
        <w:numPr>
          <w:ilvl w:val="0"/>
          <w:numId w:val="3"/>
        </w:numPr>
        <w:spacing w:after="40" w:before="40"/>
      </w:pPr>
      <w:r>
        <w:rPr>
          <w:rFonts w:ascii="Arial" w:cs="Arial" w:eastAsia="Arial" w:hAnsi="Arial"/>
          <w:color w:val="1E293B"/>
          <w:sz w:val="22"/>
          <w:szCs w:val="22"/>
        </w:rPr>
        <w:t xml:space="preserve">Encoder compresses the masked input: Enc(x ⊙ m) → latent vector z</w:t>
      </w:r>
    </w:p>
    <w:p>
      <w:pPr>
        <w:pStyle w:val="ListParagraph"/>
        <w:numPr>
          <w:ilvl w:val="0"/>
          <w:numId w:val="3"/>
        </w:numPr>
        <w:spacing w:after="40" w:before="40"/>
      </w:pPr>
      <w:r>
        <w:rPr>
          <w:rFonts w:ascii="Arial" w:cs="Arial" w:eastAsia="Arial" w:hAnsi="Arial"/>
          <w:color w:val="1E293B"/>
          <w:sz w:val="22"/>
          <w:szCs w:val="22"/>
        </w:rPr>
        <w:t xml:space="preserve">Decoder reconstructs the full original input: Dec(z) → x̂</w:t>
      </w:r>
    </w:p>
    <w:p>
      <w:pPr>
        <w:pStyle w:val="ListParagraph"/>
        <w:numPr>
          <w:ilvl w:val="0"/>
          <w:numId w:val="3"/>
        </w:numPr>
        <w:spacing w:after="40" w:before="40"/>
      </w:pPr>
      <w:r>
        <w:rPr>
          <w:rFonts w:ascii="Arial" w:cs="Arial" w:eastAsia="Arial" w:hAnsi="Arial"/>
          <w:color w:val="1E293B"/>
          <w:sz w:val="22"/>
          <w:szCs w:val="22"/>
        </w:rPr>
        <w:t xml:space="preserve">Loss = MSE reconstruction + Smooth-L1 (robust to outliers)</w:t>
      </w:r>
    </w:p>
    <w:p>
      <w:pPr>
        <w:pStyle w:val="ListParagraph"/>
        <w:numPr>
          <w:ilvl w:val="0"/>
          <w:numId w:val="3"/>
        </w:numPr>
        <w:spacing w:after="40" w:before="40"/>
      </w:pPr>
      <w:r>
        <w:rPr>
          <w:rFonts w:ascii="Arial" w:cs="Arial" w:eastAsia="Arial" w:hAnsi="Arial"/>
          <w:color w:val="1E293B"/>
          <w:sz w:val="22"/>
          <w:szCs w:val="22"/>
        </w:rPr>
        <w:t xml:space="preserve">After training: encoder is frozen → XGBoost reads latent vectors → predicts HOMA-IR</w:t>
      </w:r>
    </w:p>
    <w:p>
      <w:pPr>
        <w:spacing w:after="80" w:before="80"/>
      </w:pPr>
    </w:p>
    <w:tbl>
      <w:tblPr>
        <w:tblW w:type="dxa" w:w="9360"/>
        <w:tblBorders>
          <w:top w:val="single" w:color="6366F1" w:sz="8"/>
          <w:left w:val="single" w:color="6366F1" w:sz="16"/>
          <w:bottom w:val="single" w:color="6366F1" w:sz="8"/>
          <w:right w:val="single" w:color="6366F1" w:sz="4"/>
          <w:insideH w:val="single" w:color="auto" w:sz="4"/>
          <w:insideV w:val="single" w:color="auto" w:sz="4"/>
        </w:tblBorders>
      </w:tblPr>
      <w:tblGrid>
        <w:gridCol w:w="9360"/>
      </w:tblGrid>
      <w:tr>
        <w:tc>
          <w:tcPr>
            <w:tcW w:type="dxa" w:w="9360"/>
            <w:tcBorders>
              <w:top w:val="none"/>
              <w:left w:val="none"/>
              <w:bottom w:val="none"/>
              <w:right w:val="none"/>
            </w:tcBorders>
            <w:shd w:fill="EDE9FE" w:val="clear"/>
            <w:tcMar>
              <w:top w:type="dxa" w:w="140"/>
              <w:left w:type="dxa" w:w="200"/>
              <w:bottom w:type="dxa" w:w="140"/>
              <w:right w:type="dxa" w:w="200"/>
            </w:tcMar>
          </w:tcPr>
          <w:p>
            <w:pPr>
              <w:spacing w:after="60" w:before="0"/>
            </w:pPr>
            <w:r>
              <w:rPr>
                <w:rFonts w:ascii="Arial" w:cs="Arial" w:eastAsia="Arial" w:hAnsi="Arial"/>
                <w:b/>
                <w:bCs/>
                <w:color w:val="0A1628"/>
                <w:sz w:val="22"/>
                <w:szCs w:val="22"/>
              </w:rPr>
              <w:t xml:space="preserve">Why 75% masking?</w:t>
            </w:r>
          </w:p>
          <w:p>
            <w:pPr>
              <w:spacing w:after="0" w:before="0"/>
            </w:pPr>
            <w:r>
              <w:rPr>
                <w:rFonts w:ascii="Arial" w:cs="Arial" w:eastAsia="Arial" w:hAnsi="Arial"/>
                <w:color w:val="1E293B"/>
                <w:sz w:val="21"/>
                <w:szCs w:val="21"/>
              </w:rPr>
              <w:t xml:space="preserve">Higher masking forces the model to learn richer feature relationships — it can't just copy visible features. He et al. (2022) found 75% optimal for image MAEs. This paper validated the same rate works for tabular health data.</w:t>
            </w:r>
          </w:p>
        </w:tc>
      </w:tr>
    </w:tbl>
    <w:p>
      <w:pPr>
        <w:spacing w:after="80" w:before="80"/>
      </w:pPr>
    </w:p>
    <w:p>
      <w:pPr>
        <w:spacing w:after="60" w:before="180"/>
      </w:pPr>
      <w:r>
        <w:rPr>
          <w:rFonts w:ascii="Arial" w:cs="Arial" w:eastAsia="Arial" w:hAnsi="Arial"/>
          <w:b/>
          <w:bCs/>
          <w:color w:val="0A1628"/>
          <w:sz w:val="24"/>
          <w:szCs w:val="24"/>
        </w:rPr>
        <w:t xml:space="preserve">Key Result: MAE + XGBoost vs Direct XGBoost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c>
          <w:tcPr>
            <w:tcW w:type="dxa" w:w="210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Feature Set</w:t>
            </w:r>
          </w:p>
        </w:tc>
        <w:tc>
          <w:tcPr>
            <w:tcW w:type="dxa" w:w="242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Direct XGB (R²)</w:t>
            </w:r>
          </w:p>
        </w:tc>
        <w:tc>
          <w:tcPr>
            <w:tcW w:type="dxa" w:w="242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MAE + XGB (R²)</w:t>
            </w:r>
          </w:p>
        </w:tc>
        <w:tc>
          <w:tcPr>
            <w:tcW w:type="dxa" w:w="242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Improvement</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Wearables + Demo</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0.17</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0.22</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+29%</w:t>
            </w:r>
          </w:p>
        </w:tc>
      </w:tr>
      <w:tr>
        <w:tc>
          <w:tcPr>
            <w:tcW w:type="dxa" w:w="21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Wearables + Demo + Glucose</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0.40</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0.44</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+10%</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Wearables + Demo + Lipid + Metabolic</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0.46</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0.50</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+9%</w:t>
            </w:r>
          </w:p>
        </w:tc>
      </w:tr>
    </w:tbl>
    <w:p>
      <w:pPr>
        <w:spacing w:after="80" w:before="80"/>
      </w:pPr>
    </w:p>
    <w:p>
      <w:pPr>
        <w:pStyle w:val="Heading2"/>
        <w:pBdr>
          <w:bottom w:val="single" w:color="0D9488" w:sz="6" w:space="2"/>
        </w:pBdr>
        <w:spacing w:after="100" w:before="240"/>
      </w:pPr>
      <w:r>
        <w:rPr>
          <w:rFonts w:ascii="Arial" w:cs="Arial" w:eastAsia="Arial" w:hAnsi="Arial"/>
          <w:b/>
          <w:bCs/>
          <w:color w:val="0D9488"/>
          <w:sz w:val="28"/>
          <w:szCs w:val="28"/>
        </w:rPr>
        <w:t xml:space="preserve">Feature Importance (SHAP Analysis)</w:t>
      </w:r>
    </w:p>
    <w:p>
      <w:pPr>
        <w:spacing w:after="60" w:before="60"/>
      </w:pPr>
      <w:r>
        <w:rPr>
          <w:rFonts w:ascii="Arial" w:cs="Arial" w:eastAsia="Arial" w:hAnsi="Arial"/>
          <w:color w:val="1E293B"/>
          <w:sz w:val="22"/>
          <w:szCs w:val="22"/>
        </w:rPr>
        <w:t xml:space="preserve">SHAP (SHapley Additive exPlanations) quantifies each feature's contribution to each individual prediction — not just overall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c>
          <w:tcPr>
            <w:tcW w:type="dxa" w:w="210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Rank</w:t>
            </w:r>
          </w:p>
        </w:tc>
        <w:tc>
          <w:tcPr>
            <w:tcW w:type="dxa" w:w="242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Feature</w:t>
            </w:r>
          </w:p>
        </w:tc>
        <w:tc>
          <w:tcPr>
            <w:tcW w:type="dxa" w:w="242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SHAP Importance</w:t>
            </w:r>
          </w:p>
        </w:tc>
        <w:tc>
          <w:tcPr>
            <w:tcW w:type="dxa" w:w="242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Insight</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Fasting Glucose</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Highest</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Direct metabolic marker — most informative when available</w:t>
            </w:r>
          </w:p>
        </w:tc>
      </w:tr>
      <w:tr>
        <w:tc>
          <w:tcPr>
            <w:tcW w:type="dxa" w:w="21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BMI</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Very High</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Present in all models; obesity-IR link is strongest single signal</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3</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Triglycerides</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Lipid profile strongly correlated with IR</w:t>
            </w:r>
          </w:p>
        </w:tc>
      </w:tr>
      <w:tr>
        <w:tc>
          <w:tcPr>
            <w:tcW w:type="dxa" w:w="21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4</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Resting Heart Rate</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Top wearable feature — reflects autonomic state and fitness</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5</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Daily Step Count</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Physical activity is independently predictive</w:t>
            </w:r>
          </w:p>
        </w:tc>
      </w:tr>
      <w:tr>
        <w:tc>
          <w:tcPr>
            <w:tcW w:type="dxa" w:w="21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6</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Sleep Duration</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Sleep deprivation increases IR; wearable captures this passively</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7</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HRV (RMSSD)</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Autonomic balance indicator</w:t>
            </w:r>
          </w:p>
        </w:tc>
      </w:tr>
    </w:tbl>
    <w:p>
      <w:pPr>
        <w:spacing w:after="80" w:before="80"/>
      </w:pPr>
    </w:p>
    <w:p>
      <w:pPr>
        <w:pStyle w:val="Heading2"/>
        <w:pBdr>
          <w:bottom w:val="single" w:color="0D9488" w:sz="6" w:space="2"/>
        </w:pBdr>
        <w:spacing w:after="100" w:before="240"/>
      </w:pPr>
      <w:r>
        <w:rPr>
          <w:rFonts w:ascii="Arial" w:cs="Arial" w:eastAsia="Arial" w:hAnsi="Arial"/>
          <w:b/>
          <w:bCs/>
          <w:color w:val="0D9488"/>
          <w:sz w:val="28"/>
          <w:szCs w:val="28"/>
        </w:rPr>
        <w:t xml:space="preserve">Stratified Analysis — Who Benefits Most</w:t>
      </w:r>
    </w:p>
    <w:p>
      <w:pPr>
        <w:spacing w:after="60" w:before="60"/>
      </w:pPr>
      <w:r>
        <w:rPr>
          <w:rFonts w:ascii="Arial" w:cs="Arial" w:eastAsia="Arial" w:hAnsi="Arial"/>
          <w:color w:val="1E293B"/>
          <w:sz w:val="22"/>
          <w:szCs w:val="22"/>
        </w:rPr>
        <w:t xml:space="preserve">The model was tested separately across BMI and activity subgroups: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c>
          <w:tcPr>
            <w:tcW w:type="dxa" w:w="210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Subgroup</w:t>
            </w:r>
          </w:p>
        </w:tc>
        <w:tc>
          <w:tcPr>
            <w:tcW w:type="dxa" w:w="242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Sensitivity</w:t>
            </w:r>
          </w:p>
        </w:tc>
        <w:tc>
          <w:tcPr>
            <w:tcW w:type="dxa" w:w="242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Adj. Specificity</w:t>
            </w:r>
          </w:p>
        </w:tc>
        <w:tc>
          <w:tcPr>
            <w:tcW w:type="dxa" w:w="242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Insight</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cohort</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76%</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84%</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Baseline performance</w:t>
            </w:r>
          </w:p>
        </w:tc>
      </w:tr>
      <w:tr>
        <w:tc>
          <w:tcPr>
            <w:tcW w:type="dxa" w:w="21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Obese (BMI&gt;30)</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86%</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93%</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44% of obese participants are IR — model is better here</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Sedentary (&lt;5000 steps/day)</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88%</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97%</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45% of sedentary individuals are IR</w:t>
            </w:r>
          </w:p>
        </w:tc>
      </w:tr>
      <w:tr>
        <w:tc>
          <w:tcPr>
            <w:tcW w:type="dxa" w:w="21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Sedentary + Obese</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93%</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95%</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Model performs best for highest-risk group</w:t>
            </w:r>
          </w:p>
        </w:tc>
      </w:tr>
    </w:tbl>
    <w:p>
      <w:pPr>
        <w:spacing w:after="80" w:before="80"/>
      </w:pPr>
    </w:p>
    <w:tbl>
      <w:tblPr>
        <w:tblW w:type="dxa" w:w="9360"/>
        <w:tblBorders>
          <w:top w:val="single" w:color="0D9488" w:sz="8"/>
          <w:left w:val="single" w:color="0D9488" w:sz="16"/>
          <w:bottom w:val="single" w:color="0D9488" w:sz="8"/>
          <w:right w:val="single" w:color="0D9488" w:sz="4"/>
          <w:insideH w:val="single" w:color="auto" w:sz="4"/>
          <w:insideV w:val="single" w:color="auto" w:sz="4"/>
        </w:tblBorders>
      </w:tblPr>
      <w:tblGrid>
        <w:gridCol w:w="9360"/>
      </w:tblGrid>
      <w:tr>
        <w:tc>
          <w:tcPr>
            <w:tcW w:type="dxa" w:w="9360"/>
            <w:tcBorders>
              <w:top w:val="none"/>
              <w:left w:val="none"/>
              <w:bottom w:val="none"/>
              <w:right w:val="none"/>
            </w:tcBorders>
            <w:shd w:fill="CCFBF1" w:val="clear"/>
            <w:tcMar>
              <w:top w:type="dxa" w:w="140"/>
              <w:left w:type="dxa" w:w="200"/>
              <w:bottom w:type="dxa" w:w="140"/>
              <w:right w:type="dxa" w:w="200"/>
            </w:tcMar>
          </w:tcPr>
          <w:p>
            <w:pPr>
              <w:spacing w:after="60" w:before="0"/>
            </w:pPr>
            <w:r>
              <w:rPr>
                <w:rFonts w:ascii="Arial" w:cs="Arial" w:eastAsia="Arial" w:hAnsi="Arial"/>
                <w:b/>
                <w:bCs/>
                <w:color w:val="0A1628"/>
                <w:sz w:val="22"/>
                <w:szCs w:val="22"/>
              </w:rPr>
              <w:t xml:space="preserve">Clinical Significance</w:t>
            </w:r>
          </w:p>
          <w:p>
            <w:pPr>
              <w:spacing w:after="0" w:before="0"/>
            </w:pPr>
            <w:r>
              <w:rPr>
                <w:rFonts w:ascii="Arial" w:cs="Arial" w:eastAsia="Arial" w:hAnsi="Arial"/>
                <w:color w:val="1E293B"/>
                <w:sz w:val="21"/>
                <w:szCs w:val="21"/>
              </w:rPr>
              <w:t xml:space="preserve">The model is better for the people who need it most. Sedentary + obese individuals are the primary target population. 93% sensitivity means the model catches 93 of every 100 truly insulin-resistant people in this subgroup — clinically meaningful.</w:t>
            </w:r>
          </w:p>
        </w:tc>
      </w:tr>
    </w:tbl>
    <w:p>
      <w:pPr>
        <w:spacing w:after="80" w:before="80"/>
      </w:pPr>
    </w:p>
    <w:p>
      <w:pPr>
        <w:pStyle w:val="Heading2"/>
        <w:pBdr>
          <w:bottom w:val="single" w:color="0D9488" w:sz="6" w:space="2"/>
        </w:pBdr>
        <w:spacing w:after="100" w:before="240"/>
      </w:pPr>
      <w:r>
        <w:rPr>
          <w:rFonts w:ascii="Arial" w:cs="Arial" w:eastAsia="Arial" w:hAnsi="Arial"/>
          <w:b/>
          <w:bCs/>
          <w:color w:val="0D9488"/>
          <w:sz w:val="28"/>
          <w:szCs w:val="28"/>
        </w:rPr>
        <w:t xml:space="preserve">Robustness Analysis</w:t>
      </w:r>
    </w:p>
    <w:p>
      <w:pPr>
        <w:pStyle w:val="ListParagraph"/>
        <w:numPr>
          <w:ilvl w:val="0"/>
          <w:numId w:val="2"/>
        </w:numPr>
        <w:spacing w:after="40" w:before="40"/>
      </w:pPr>
      <w:r>
        <w:rPr>
          <w:rFonts w:ascii="Arial" w:cs="Arial" w:eastAsia="Arial" w:hAnsi="Arial"/>
          <w:b w:val="false"/>
          <w:bCs w:val="false"/>
          <w:color w:val="1E293B"/>
          <w:sz w:val="22"/>
          <w:szCs w:val="22"/>
        </w:rPr>
        <w:t xml:space="preserve">7-day window: 74% consistent predictions across rolling windows</w:t>
      </w:r>
    </w:p>
    <w:p>
      <w:pPr>
        <w:pStyle w:val="ListParagraph"/>
        <w:numPr>
          <w:ilvl w:val="0"/>
          <w:numId w:val="2"/>
        </w:numPr>
        <w:spacing w:after="40" w:before="40"/>
      </w:pPr>
      <w:r>
        <w:rPr>
          <w:rFonts w:ascii="Arial" w:cs="Arial" w:eastAsia="Arial" w:hAnsi="Arial"/>
          <w:b w:val="false"/>
          <w:bCs w:val="false"/>
          <w:color w:val="1E293B"/>
          <w:sz w:val="22"/>
          <w:szCs w:val="22"/>
        </w:rPr>
        <w:t xml:space="preserve">14-day window: 82% consistent predictions</w:t>
      </w:r>
    </w:p>
    <w:p>
      <w:pPr>
        <w:pStyle w:val="ListParagraph"/>
        <w:numPr>
          <w:ilvl w:val="0"/>
          <w:numId w:val="2"/>
        </w:numPr>
        <w:spacing w:after="40" w:before="40"/>
      </w:pPr>
      <w:r>
        <w:rPr>
          <w:rFonts w:ascii="Arial" w:cs="Arial" w:eastAsia="Arial" w:hAnsi="Arial"/>
          <w:b w:val="false"/>
          <w:bCs w:val="false"/>
          <w:color w:val="1E293B"/>
          <w:sz w:val="22"/>
          <w:szCs w:val="22"/>
        </w:rPr>
        <w:t xml:space="preserve">Adding glucose → 84% (7-day) and 88% (14-day) consistency</w:t>
      </w:r>
    </w:p>
    <w:p>
      <w:pPr>
        <w:pStyle w:val="ListParagraph"/>
        <w:numPr>
          <w:ilvl w:val="0"/>
          <w:numId w:val="2"/>
        </w:numPr>
        <w:spacing w:after="40" w:before="40"/>
      </w:pPr>
      <w:r>
        <w:rPr>
          <w:rFonts w:ascii="Arial" w:cs="Arial" w:eastAsia="Arial" w:hAnsi="Arial"/>
          <w:b w:val="false"/>
          <w:bCs w:val="false"/>
          <w:color w:val="1E293B"/>
          <w:sz w:val="22"/>
          <w:szCs w:val="22"/>
        </w:rPr>
        <w:t xml:space="preserve">Adding full metabolic panel → 92%+ consistency</w:t>
      </w:r>
    </w:p>
    <w:p>
      <w:pPr>
        <w:pStyle w:val="ListParagraph"/>
        <w:numPr>
          <w:ilvl w:val="0"/>
          <w:numId w:val="2"/>
        </w:numPr>
        <w:spacing w:after="40" w:before="40"/>
      </w:pPr>
      <w:r>
        <w:rPr>
          <w:rFonts w:ascii="Arial" w:cs="Arial" w:eastAsia="Arial" w:hAnsi="Arial"/>
          <w:b w:val="false"/>
          <w:bCs w:val="false"/>
          <w:color w:val="1E293B"/>
          <w:sz w:val="22"/>
          <w:szCs w:val="22"/>
        </w:rPr>
        <w:t xml:space="preserve">Individuals with higher BMI and RHR show MORE stable predictions (clearer signal)</w:t>
      </w:r>
    </w:p>
    <w:p>
      <w:pPr>
        <w:spacing w:after="80" w:before="80"/>
      </w:pPr>
    </w:p>
    <w:p>
      <w:pPr>
        <w:pStyle w:val="Heading2"/>
        <w:pBdr>
          <w:bottom w:val="single" w:color="0D9488" w:sz="6" w:space="2"/>
        </w:pBdr>
        <w:spacing w:after="100" w:before="240"/>
      </w:pPr>
      <w:r>
        <w:rPr>
          <w:rFonts w:ascii="Arial" w:cs="Arial" w:eastAsia="Arial" w:hAnsi="Arial"/>
          <w:b/>
          <w:bCs/>
          <w:color w:val="0D9488"/>
          <w:sz w:val="28"/>
          <w:szCs w:val="28"/>
        </w:rPr>
        <w:t xml:space="preserve">External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Metric</w:t>
            </w:r>
          </w:p>
        </w:tc>
        <w:tc>
          <w:tcPr>
            <w:tcW w:type="dxa" w:w="34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Initial Cohort Test Set</w:t>
            </w:r>
          </w:p>
        </w:tc>
        <w:tc>
          <w:tcPr>
            <w:tcW w:type="dxa" w:w="34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External Validation (N=72)</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Sensitivity</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69%</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84%</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Specificity</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85%</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81%</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AUROC</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0.80</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0.81</w:t>
            </w:r>
          </w:p>
        </w:tc>
      </w:tr>
    </w:tbl>
    <w:p>
      <w:pPr>
        <w:spacing w:after="60" w:before="60"/>
      </w:pPr>
      <w:r>
        <w:rPr>
          <w:rFonts w:ascii="Arial" w:cs="Arial" w:eastAsia="Arial" w:hAnsi="Arial"/>
          <w:color w:val="1E293B"/>
          <w:sz w:val="22"/>
          <w:szCs w:val="22"/>
        </w:rPr>
        <w:t xml:space="preserve">The frozen model (trained on 80% of 1,165 participants) was applied directly to the N=72 validation cohort with no fine-tuning. Results were on par — demonstrating genuine generalisability.</w:t>
      </w:r>
    </w:p>
    <w:p>
      <w:pPr>
        <w:spacing w:after="80" w:before="80"/>
      </w:pPr>
    </w:p>
    <w:p>
      <w:pPr>
        <w:pStyle w:val="Heading2"/>
        <w:pBdr>
          <w:bottom w:val="single" w:color="0D9488" w:sz="6" w:space="2"/>
        </w:pBdr>
        <w:spacing w:after="100" w:before="240"/>
      </w:pPr>
      <w:r>
        <w:rPr>
          <w:rFonts w:ascii="Arial" w:cs="Arial" w:eastAsia="Arial" w:hAnsi="Arial"/>
          <w:b/>
          <w:bCs/>
          <w:color w:val="0D9488"/>
          <w:sz w:val="28"/>
          <w:szCs w:val="28"/>
        </w:rPr>
        <w:t xml:space="preserve">LLM Integration — IR Literacy Agent</w:t>
      </w:r>
    </w:p>
    <w:p>
      <w:pPr>
        <w:spacing w:after="60" w:before="60"/>
      </w:pPr>
      <w:r>
        <w:rPr>
          <w:rFonts w:ascii="Arial" w:cs="Arial" w:eastAsia="Arial" w:hAnsi="Arial"/>
          <w:color w:val="1E293B"/>
          <w:sz w:val="22"/>
          <w:szCs w:val="22"/>
        </w:rPr>
        <w:t xml:space="preserve">The paper built a ReAct (Reasoning + Acting) agent on top of Gemini 2.0 Flash to translate model predictions into patient-facing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Component</w:t>
            </w:r>
          </w:p>
        </w:tc>
        <w:tc>
          <w:tcPr>
            <w:tcW w:type="dxa" w:w="46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Role</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THOUGHT</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LLM reasons about user's query and health data</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ACTION</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Calls tool: HOMA-IR model / web search / calculator / visualiser</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OBSERVE</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Processes tool output, checks accuracy</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OUTPUT</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Generates personalised, cited, safe response</w:t>
            </w:r>
          </w:p>
        </w:tc>
      </w:tr>
    </w:tbl>
    <w:p>
      <w:pPr>
        <w:spacing w:after="80" w:before="80"/>
      </w:pPr>
    </w:p>
    <w:p>
      <w:pPr>
        <w:spacing w:after="60" w:before="180"/>
      </w:pPr>
      <w:r>
        <w:rPr>
          <w:rFonts w:ascii="Arial" w:cs="Arial" w:eastAsia="Arial" w:hAnsi="Arial"/>
          <w:b/>
          <w:bCs/>
          <w:color w:val="0A1628"/>
          <w:sz w:val="24"/>
          <w:szCs w:val="24"/>
        </w:rPr>
        <w:t xml:space="preserve">Expert Evaluation by 5 Board-Certified Endocrinologists</w:t>
      </w:r>
    </w:p>
    <w:p>
      <w:pPr>
        <w:pStyle w:val="ListParagraph"/>
        <w:numPr>
          <w:ilvl w:val="0"/>
          <w:numId w:val="2"/>
        </w:numPr>
        <w:spacing w:after="40" w:before="40"/>
      </w:pPr>
      <w:r>
        <w:rPr>
          <w:rFonts w:ascii="Arial" w:cs="Arial" w:eastAsia="Arial" w:hAnsi="Arial"/>
          <w:b w:val="false"/>
          <w:bCs w:val="false"/>
          <w:color w:val="1E293B"/>
          <w:sz w:val="22"/>
          <w:szCs w:val="22"/>
        </w:rPr>
        <w:t xml:space="preserve">80% preferred IR Agent over base LLM for comprehensiveness</w:t>
      </w:r>
    </w:p>
    <w:p>
      <w:pPr>
        <w:pStyle w:val="ListParagraph"/>
        <w:numPr>
          <w:ilvl w:val="0"/>
          <w:numId w:val="2"/>
        </w:numPr>
        <w:spacing w:after="40" w:before="40"/>
      </w:pPr>
      <w:r>
        <w:rPr>
          <w:rFonts w:ascii="Arial" w:cs="Arial" w:eastAsia="Arial" w:hAnsi="Arial"/>
          <w:b w:val="false"/>
          <w:bCs w:val="false"/>
          <w:color w:val="1E293B"/>
          <w:sz w:val="22"/>
          <w:szCs w:val="22"/>
        </w:rPr>
        <w:t xml:space="preserve">92% preferred IR Agent for trustworthiness</w:t>
      </w:r>
    </w:p>
    <w:p>
      <w:pPr>
        <w:pStyle w:val="ListParagraph"/>
        <w:numPr>
          <w:ilvl w:val="0"/>
          <w:numId w:val="2"/>
        </w:numPr>
        <w:spacing w:after="40" w:before="40"/>
      </w:pPr>
      <w:r>
        <w:rPr>
          <w:rFonts w:ascii="Arial" w:cs="Arial" w:eastAsia="Arial" w:hAnsi="Arial"/>
          <w:b w:val="false"/>
          <w:bCs w:val="false"/>
          <w:color w:val="1E293B"/>
          <w:sz w:val="22"/>
          <w:szCs w:val="22"/>
        </w:rPr>
        <w:t xml:space="preserve">73% preferred IR Agent for personalisation</w:t>
      </w:r>
    </w:p>
    <w:p>
      <w:pPr>
        <w:pStyle w:val="ListParagraph"/>
        <w:numPr>
          <w:ilvl w:val="0"/>
          <w:numId w:val="2"/>
        </w:numPr>
        <w:spacing w:after="40" w:before="40"/>
      </w:pPr>
      <w:r>
        <w:rPr>
          <w:rFonts w:ascii="Arial" w:cs="Arial" w:eastAsia="Arial" w:hAnsi="Arial"/>
          <w:b w:val="false"/>
          <w:bCs w:val="false"/>
          <w:color w:val="1E293B"/>
          <w:sz w:val="22"/>
          <w:szCs w:val="22"/>
        </w:rPr>
        <w:t xml:space="preserve">96% of responses rated clinically safe</w:t>
      </w:r>
    </w:p>
    <w:p>
      <w:pPr>
        <w:spacing w:after="0" w:before="0"/>
      </w:pPr>
      <w:r>
        <w:br w:type="page"/>
      </w:r>
    </w:p>
    <w:p>
      <w:pPr>
        <w:pStyle w:val="Heading1"/>
        <w:shd w:fill="0A1628" w:val="clear"/>
        <w:spacing w:after="180" w:before="360"/>
        <w:ind w:left="200" w:right="200"/>
      </w:pPr>
      <w:r>
        <w:rPr>
          <w:rFonts w:ascii="Arial" w:cs="Arial" w:eastAsia="Arial" w:hAnsi="Arial"/>
          <w:b/>
          <w:bCs/>
          <w:color w:val="FFFFFF"/>
          <w:sz w:val="36"/>
          <w:szCs w:val="36"/>
        </w:rPr>
        <w:t xml:space="preserve">Chapter 7  ·  Comparing Both Papers &amp; Research Gaps</w:t>
      </w:r>
    </w:p>
    <w:p>
      <w:pPr>
        <w:pStyle w:val="Heading2"/>
        <w:pBdr>
          <w:bottom w:val="single" w:color="0D9488" w:sz="6" w:space="2"/>
        </w:pBdr>
        <w:spacing w:after="100" w:before="240"/>
      </w:pPr>
      <w:r>
        <w:rPr>
          <w:rFonts w:ascii="Arial" w:cs="Arial" w:eastAsia="Arial" w:hAnsi="Arial"/>
          <w:b/>
          <w:bCs/>
          <w:color w:val="0D9488"/>
          <w:sz w:val="28"/>
          <w:szCs w:val="28"/>
        </w:rPr>
        <w:t xml:space="preserve">Head-to-Head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Dimension</w:t>
            </w:r>
          </w:p>
        </w:tc>
        <w:tc>
          <w:tcPr>
            <w:tcW w:type="dxa" w:w="34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SweetDeep (Paper 1)</w:t>
            </w:r>
          </w:p>
        </w:tc>
        <w:tc>
          <w:tcPr>
            <w:tcW w:type="dxa" w:w="34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Google IR (Paper 2)</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Target</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T2D vs Non-Diabetic (binary)</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HOMA-IR continuous + IR class</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Clinical task</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Screen for existing diabetes</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Detect insulin resistance early</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Dataset size</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285 patients</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1,165 patients (+72 validation)</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Wearable</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Samsung Galaxy Watch 7</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Fitbit / Google Pixel Watch</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Sensors</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ECG + PPG + BIA</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RHR, HRV, steps, sleep</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Ground truth</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FPG + OGTT + HbA1c (ADA)</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HOMA-IR (fasting insulin × glucose)</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ML model</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Tiny FC network (2,990 params)</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MAE + XGBoost ensemble</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Feature type</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Hand-engineered clinical</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Aggregated wearable time-series</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Novel technique</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Sinusoidal temporal encoding</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Masked Autoencoder pretraining</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Best performance</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82.5% accuracy</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AUROC 0.80, R²=0.50</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Validation</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3-fold inter-patient CV</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5-fold CV + external N=72</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Deployment</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Abstention → refer to clinician</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LLM agent for guidance</w:t>
            </w:r>
          </w:p>
        </w:tc>
      </w:tr>
    </w:tbl>
    <w:p>
      <w:pPr>
        <w:spacing w:after="80" w:before="80"/>
      </w:pPr>
    </w:p>
    <w:tbl>
      <w:tblPr>
        <w:tblW w:type="dxa" w:w="9360"/>
        <w:tblBorders>
          <w:top w:val="single" w:color="0D9488" w:sz="8"/>
          <w:left w:val="single" w:color="0D9488" w:sz="16"/>
          <w:bottom w:val="single" w:color="0D9488" w:sz="8"/>
          <w:right w:val="single" w:color="0D9488" w:sz="4"/>
          <w:insideH w:val="single" w:color="auto" w:sz="4"/>
          <w:insideV w:val="single" w:color="auto" w:sz="4"/>
        </w:tblBorders>
      </w:tblPr>
      <w:tblGrid>
        <w:gridCol w:w="9360"/>
      </w:tblGrid>
      <w:tr>
        <w:tc>
          <w:tcPr>
            <w:tcW w:type="dxa" w:w="9360"/>
            <w:tcBorders>
              <w:top w:val="none"/>
              <w:left w:val="none"/>
              <w:bottom w:val="none"/>
              <w:right w:val="none"/>
            </w:tcBorders>
            <w:shd w:fill="CCFBF1" w:val="clear"/>
            <w:tcMar>
              <w:top w:type="dxa" w:w="140"/>
              <w:left w:type="dxa" w:w="200"/>
              <w:bottom w:type="dxa" w:w="140"/>
              <w:right w:type="dxa" w:w="200"/>
            </w:tcMar>
          </w:tcPr>
          <w:p>
            <w:pPr>
              <w:spacing w:after="60" w:before="0"/>
            </w:pPr>
            <w:r>
              <w:rPr>
                <w:rFonts w:ascii="Arial" w:cs="Arial" w:eastAsia="Arial" w:hAnsi="Arial"/>
                <w:b/>
                <w:bCs/>
                <w:color w:val="0A1628"/>
                <w:sz w:val="22"/>
                <w:szCs w:val="22"/>
              </w:rPr>
              <w:t xml:space="preserve">These papers are complementary, not competing</w:t>
            </w:r>
          </w:p>
          <w:p>
            <w:pPr>
              <w:spacing w:after="0" w:before="0"/>
            </w:pPr>
            <w:r>
              <w:rPr>
                <w:rFonts w:ascii="Arial" w:cs="Arial" w:eastAsia="Arial" w:hAnsi="Arial"/>
                <w:color w:val="1E293B"/>
                <w:sz w:val="21"/>
                <w:szCs w:val="21"/>
              </w:rPr>
              <w:t xml:space="preserve">SweetDeep detects existing T2D. Google IR detects its precursor — insulin resistance. Together they form a full metabolic surveillance pipeline: wearables flag IR early → lifestyle intervention → if that fails, monitor for T2D progression. This is the system architecture of your B.Tech project.</w:t>
            </w:r>
          </w:p>
        </w:tc>
      </w:tr>
    </w:tbl>
    <w:p>
      <w:pPr>
        <w:spacing w:after="80" w:before="80"/>
      </w:pPr>
    </w:p>
    <w:p>
      <w:pPr>
        <w:pStyle w:val="Heading2"/>
        <w:pBdr>
          <w:bottom w:val="single" w:color="0D9488" w:sz="6" w:space="2"/>
        </w:pBdr>
        <w:spacing w:after="100" w:before="240"/>
      </w:pPr>
      <w:r>
        <w:rPr>
          <w:rFonts w:ascii="Arial" w:cs="Arial" w:eastAsia="Arial" w:hAnsi="Arial"/>
          <w:b/>
          <w:bCs/>
          <w:color w:val="0D9488"/>
          <w:sz w:val="28"/>
          <w:szCs w:val="28"/>
        </w:rPr>
        <w:t xml:space="preserve">Research Gaps Our Project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Gap</w:t>
            </w:r>
          </w:p>
        </w:tc>
        <w:tc>
          <w:tcPr>
            <w:tcW w:type="dxa" w:w="34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Problem</w:t>
            </w:r>
          </w:p>
        </w:tc>
        <w:tc>
          <w:tcPr>
            <w:tcW w:type="dxa" w:w="34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Our Approach</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No temporal modelling</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Both papers treat each recording as independent. Neither models how IR evolves over weeks/months.</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LSTM-based temporal modelling of wearable time-series trajectories</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No unified pipeline</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IR detection and T2D detection are separate. No paper bridges them in one framework.</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Multi-stage pipeline: IR flag → lifestyle signal → T2D risk monitor</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Limited diversity</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Google: 75% white/Caucasian. SweetDeep: EU+MENA only.</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NHANES (ethnically diverse US) + MESA Sleep (Black, Hispanic, Chinese, White)</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No sleep architecture</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Both use sleep duration only. REM, deep sleep, fragmentation are ignored.</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MESA Sleep dataset provides full sleep stage data as predictive features</w:t>
            </w:r>
          </w:p>
        </w:tc>
      </w:tr>
    </w:tbl>
    <w:p>
      <w:pPr>
        <w:spacing w:after="0" w:before="0"/>
      </w:pPr>
      <w:r>
        <w:br w:type="page"/>
      </w:r>
    </w:p>
    <w:p>
      <w:pPr>
        <w:pStyle w:val="Heading1"/>
        <w:shd w:fill="0A1628" w:val="clear"/>
        <w:spacing w:after="180" w:before="360"/>
        <w:ind w:left="200" w:right="200"/>
      </w:pPr>
      <w:r>
        <w:rPr>
          <w:rFonts w:ascii="Arial" w:cs="Arial" w:eastAsia="Arial" w:hAnsi="Arial"/>
          <w:b/>
          <w:bCs/>
          <w:color w:val="FFFFFF"/>
          <w:sz w:val="36"/>
          <w:szCs w:val="36"/>
        </w:rPr>
        <w:t xml:space="preserve">Chapter 8  ·  Our B.Tech Project Design</w:t>
      </w:r>
    </w:p>
    <w:p>
      <w:pPr>
        <w:pStyle w:val="Heading2"/>
        <w:pBdr>
          <w:bottom w:val="single" w:color="0D9488" w:sz="6" w:space="2"/>
        </w:pBdr>
        <w:spacing w:after="100" w:before="240"/>
      </w:pPr>
      <w:r>
        <w:rPr>
          <w:rFonts w:ascii="Arial" w:cs="Arial" w:eastAsia="Arial" w:hAnsi="Arial"/>
          <w:b/>
          <w:bCs/>
          <w:color w:val="0D9488"/>
          <w:sz w:val="28"/>
          <w:szCs w:val="28"/>
        </w:rPr>
        <w:t xml:space="preserve">Project Goal</w:t>
      </w:r>
    </w:p>
    <w:p>
      <w:pPr>
        <w:spacing w:after="60" w:before="60"/>
      </w:pPr>
      <w:r>
        <w:rPr>
          <w:rFonts w:ascii="Arial" w:cs="Arial" w:eastAsia="Arial" w:hAnsi="Arial"/>
          <w:color w:val="1E293B"/>
          <w:sz w:val="22"/>
          <w:szCs w:val="22"/>
        </w:rPr>
        <w:t xml:space="preserve">Non-invasive, wearable-based prediction of insulin resistance and metabolic risk using machine learning, with HOMA-IR as the primary classification label.</w:t>
      </w:r>
    </w:p>
    <w:p>
      <w:pPr>
        <w:spacing w:after="80" w:before="80"/>
      </w:pPr>
    </w:p>
    <w:p>
      <w:pPr>
        <w:pStyle w:val="Heading2"/>
        <w:pBdr>
          <w:bottom w:val="single" w:color="0D9488" w:sz="6" w:space="2"/>
        </w:pBdr>
        <w:spacing w:after="100" w:before="240"/>
      </w:pPr>
      <w:r>
        <w:rPr>
          <w:rFonts w:ascii="Arial" w:cs="Arial" w:eastAsia="Arial" w:hAnsi="Arial"/>
          <w:b/>
          <w:bCs/>
          <w:color w:val="0D9488"/>
          <w:sz w:val="28"/>
          <w:szCs w:val="28"/>
        </w:rPr>
        <w:t xml:space="preserve">Dataset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Dataset</w:t>
            </w:r>
          </w:p>
        </w:tc>
        <w:tc>
          <w:tcPr>
            <w:tcW w:type="dxa" w:w="34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Role</w:t>
            </w:r>
          </w:p>
        </w:tc>
        <w:tc>
          <w:tcPr>
            <w:tcW w:type="dxa" w:w="34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Why?</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NHANES 2011–2014</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Primary training</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10,000+ participants; diverse US ethnicity; HOMA-IR labels; PPG, accelerometer, demographic data</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MESA Sleep</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Primary training</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Multi-ethnic cohort; longitudinal; sleep stage data; HRV; cardiovascular measures</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D1NAMO</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Secondary</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Continuous glucose + wearable data; bridges IR and glucose dynamics</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LifeSnaps</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Secondary</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Fitbit data + surveys; validates wearable feature extraction pipeline</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BIDMC</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Signal development</w:t>
            </w:r>
          </w:p>
        </w:tc>
        <w:tc>
          <w:tcPr>
            <w:tcW w:type="dxa" w:w="3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Clinical-grade ECG/PPG for signal processing validation before applying to noisy wearable data</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WESAD</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Signal development</w:t>
            </w:r>
          </w:p>
        </w:tc>
        <w:tc>
          <w:tcPr>
            <w:tcW w:type="dxa" w:w="34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Multimodal wearable PPG for feature engineering development</w:t>
            </w:r>
          </w:p>
        </w:tc>
      </w:tr>
    </w:tbl>
    <w:p>
      <w:pPr>
        <w:spacing w:after="80" w:before="80"/>
      </w:pPr>
    </w:p>
    <w:p>
      <w:pPr>
        <w:pStyle w:val="Heading2"/>
        <w:pBdr>
          <w:bottom w:val="single" w:color="0D9488" w:sz="6" w:space="2"/>
        </w:pBdr>
        <w:spacing w:after="100" w:before="240"/>
      </w:pPr>
      <w:r>
        <w:rPr>
          <w:rFonts w:ascii="Arial" w:cs="Arial" w:eastAsia="Arial" w:hAnsi="Arial"/>
          <w:b/>
          <w:bCs/>
          <w:color w:val="0D9488"/>
          <w:sz w:val="28"/>
          <w:szCs w:val="28"/>
        </w:rPr>
        <w:t xml:space="preserve">Model Architecture: LSTM + XGBoost Ensemble</w:t>
      </w:r>
    </w:p>
    <w:p>
      <w:pPr>
        <w:spacing w:after="60" w:before="180"/>
      </w:pPr>
      <w:r>
        <w:rPr>
          <w:rFonts w:ascii="Arial" w:cs="Arial" w:eastAsia="Arial" w:hAnsi="Arial"/>
          <w:b/>
          <w:bCs/>
          <w:color w:val="0A1628"/>
          <w:sz w:val="24"/>
          <w:szCs w:val="24"/>
        </w:rPr>
        <w:t xml:space="preserve">Why LSTM?</w:t>
      </w:r>
    </w:p>
    <w:p>
      <w:pPr>
        <w:pStyle w:val="ListParagraph"/>
        <w:numPr>
          <w:ilvl w:val="0"/>
          <w:numId w:val="2"/>
        </w:numPr>
        <w:spacing w:after="40" w:before="40"/>
      </w:pPr>
      <w:r>
        <w:rPr>
          <w:rFonts w:ascii="Arial" w:cs="Arial" w:eastAsia="Arial" w:hAnsi="Arial"/>
          <w:b w:val="false"/>
          <w:bCs w:val="false"/>
          <w:color w:val="1E293B"/>
          <w:sz w:val="22"/>
          <w:szCs w:val="22"/>
        </w:rPr>
        <w:t xml:space="preserve">Wearable data is inherently temporal — a person's HRV trend over 3 weeks is more informative than a single measurement</w:t>
      </w:r>
    </w:p>
    <w:p>
      <w:pPr>
        <w:pStyle w:val="ListParagraph"/>
        <w:numPr>
          <w:ilvl w:val="0"/>
          <w:numId w:val="2"/>
        </w:numPr>
        <w:spacing w:after="40" w:before="40"/>
      </w:pPr>
      <w:r>
        <w:rPr>
          <w:rFonts w:ascii="Arial" w:cs="Arial" w:eastAsia="Arial" w:hAnsi="Arial"/>
          <w:b w:val="false"/>
          <w:bCs w:val="false"/>
          <w:color w:val="1E293B"/>
          <w:sz w:val="22"/>
          <w:szCs w:val="22"/>
        </w:rPr>
        <w:t xml:space="preserve">LSTMs capture long-range dependencies: what happened Monday can influence Friday's risk score</w:t>
      </w:r>
    </w:p>
    <w:p>
      <w:pPr>
        <w:pStyle w:val="ListParagraph"/>
        <w:numPr>
          <w:ilvl w:val="0"/>
          <w:numId w:val="2"/>
        </w:numPr>
        <w:spacing w:after="40" w:before="40"/>
      </w:pPr>
      <w:r>
        <w:rPr>
          <w:rFonts w:ascii="Arial" w:cs="Arial" w:eastAsia="Arial" w:hAnsi="Arial"/>
          <w:b w:val="false"/>
          <w:bCs w:val="false"/>
          <w:color w:val="1E293B"/>
          <w:sz w:val="22"/>
          <w:szCs w:val="22"/>
        </w:rPr>
        <w:t xml:space="preserve">Hidden state acts as metabolic 'memory' — accumulates physiological context over time</w:t>
      </w:r>
    </w:p>
    <w:p>
      <w:pPr>
        <w:pStyle w:val="ListParagraph"/>
        <w:numPr>
          <w:ilvl w:val="0"/>
          <w:numId w:val="2"/>
        </w:numPr>
        <w:spacing w:after="40" w:before="40"/>
      </w:pPr>
      <w:r>
        <w:rPr>
          <w:rFonts w:ascii="Arial" w:cs="Arial" w:eastAsia="Arial" w:hAnsi="Arial"/>
          <w:b w:val="false"/>
          <w:bCs w:val="false"/>
          <w:color w:val="1E293B"/>
          <w:sz w:val="22"/>
          <w:szCs w:val="22"/>
        </w:rPr>
        <w:t xml:space="preserve">Variable-length sequences handled natively — 7-day and 14-day windows don't need padding</w:t>
      </w:r>
    </w:p>
    <w:p>
      <w:pPr>
        <w:spacing w:after="80" w:before="80"/>
      </w:pPr>
    </w:p>
    <w:p>
      <w:pPr>
        <w:spacing w:after="60" w:before="180"/>
      </w:pPr>
      <w:r>
        <w:rPr>
          <w:rFonts w:ascii="Arial" w:cs="Arial" w:eastAsia="Arial" w:hAnsi="Arial"/>
          <w:b/>
          <w:bCs/>
          <w:color w:val="0A1628"/>
          <w:sz w:val="24"/>
          <w:szCs w:val="24"/>
        </w:rPr>
        <w:t xml:space="preserve">Why XGBoost?</w:t>
      </w:r>
    </w:p>
    <w:p>
      <w:pPr>
        <w:pStyle w:val="ListParagraph"/>
        <w:numPr>
          <w:ilvl w:val="0"/>
          <w:numId w:val="2"/>
        </w:numPr>
        <w:spacing w:after="40" w:before="40"/>
      </w:pPr>
      <w:r>
        <w:rPr>
          <w:rFonts w:ascii="Arial" w:cs="Arial" w:eastAsia="Arial" w:hAnsi="Arial"/>
          <w:b w:val="false"/>
          <w:bCs w:val="false"/>
          <w:color w:val="1E293B"/>
          <w:sz w:val="22"/>
          <w:szCs w:val="22"/>
        </w:rPr>
        <w:t xml:space="preserve">Handles tabular features (demographics, blood biomarkers) that LSTMs don't natively process</w:t>
      </w:r>
    </w:p>
    <w:p>
      <w:pPr>
        <w:pStyle w:val="ListParagraph"/>
        <w:numPr>
          <w:ilvl w:val="0"/>
          <w:numId w:val="2"/>
        </w:numPr>
        <w:spacing w:after="40" w:before="40"/>
      </w:pPr>
      <w:r>
        <w:rPr>
          <w:rFonts w:ascii="Arial" w:cs="Arial" w:eastAsia="Arial" w:hAnsi="Arial"/>
          <w:b w:val="false"/>
          <w:bCs w:val="false"/>
          <w:color w:val="1E293B"/>
          <w:sz w:val="22"/>
          <w:szCs w:val="22"/>
        </w:rPr>
        <w:t xml:space="preserve">State-of-the-art on tabular data — consistently outperforms neural networks on structured inputs</w:t>
      </w:r>
    </w:p>
    <w:p>
      <w:pPr>
        <w:pStyle w:val="ListParagraph"/>
        <w:numPr>
          <w:ilvl w:val="0"/>
          <w:numId w:val="2"/>
        </w:numPr>
        <w:spacing w:after="40" w:before="40"/>
      </w:pPr>
      <w:r>
        <w:rPr>
          <w:rFonts w:ascii="Arial" w:cs="Arial" w:eastAsia="Arial" w:hAnsi="Arial"/>
          <w:b w:val="false"/>
          <w:bCs w:val="false"/>
          <w:color w:val="1E293B"/>
          <w:sz w:val="22"/>
          <w:szCs w:val="22"/>
        </w:rPr>
        <w:t xml:space="preserve">SHAP interpretability — every prediction can be explained feature by feature</w:t>
      </w:r>
    </w:p>
    <w:p>
      <w:pPr>
        <w:pStyle w:val="ListParagraph"/>
        <w:numPr>
          <w:ilvl w:val="0"/>
          <w:numId w:val="2"/>
        </w:numPr>
        <w:spacing w:after="40" w:before="40"/>
      </w:pPr>
      <w:r>
        <w:rPr>
          <w:rFonts w:ascii="Arial" w:cs="Arial" w:eastAsia="Arial" w:hAnsi="Arial"/>
          <w:b w:val="false"/>
          <w:bCs w:val="false"/>
          <w:color w:val="1E293B"/>
          <w:sz w:val="22"/>
          <w:szCs w:val="22"/>
        </w:rPr>
        <w:t xml:space="preserve">Directly comparable to Google paper's approach — provides clear performance baseline</w:t>
      </w:r>
    </w:p>
    <w:p>
      <w:pPr>
        <w:spacing w:after="80" w:before="80"/>
      </w:pPr>
    </w:p>
    <w:p>
      <w:pPr>
        <w:spacing w:after="60" w:before="180"/>
      </w:pPr>
      <w:r>
        <w:rPr>
          <w:rFonts w:ascii="Arial" w:cs="Arial" w:eastAsia="Arial" w:hAnsi="Arial"/>
          <w:b/>
          <w:bCs/>
          <w:color w:val="0A1628"/>
          <w:sz w:val="24"/>
          <w:szCs w:val="24"/>
        </w:rPr>
        <w:t xml:space="preserve">Ensemble Logic</w:t>
      </w:r>
    </w:p>
    <w:p>
      <w:pPr>
        <w:spacing w:after="60" w:before="60"/>
      </w:pPr>
      <w:r>
        <w:rPr>
          <w:rFonts w:ascii="Arial" w:cs="Arial" w:eastAsia="Arial" w:hAnsi="Arial"/>
          <w:color w:val="1E293B"/>
          <w:sz w:val="22"/>
          <w:szCs w:val="22"/>
        </w:rPr>
        <w:t xml:space="preserve">LSTM extracts temporal patterns from wearable time-series → outputs a temporal feature vector. XGBoost receives both the LSTM temporal vector AND static features (demographics, blood biomarkers). Final ensemble outperforms either component alone.</w:t>
      </w:r>
    </w:p>
    <w:p>
      <w:pPr>
        <w:spacing w:after="80" w:before="80"/>
      </w:pPr>
    </w:p>
    <w:p>
      <w:pPr>
        <w:pStyle w:val="Heading2"/>
        <w:pBdr>
          <w:bottom w:val="single" w:color="0D9488" w:sz="6" w:space="2"/>
        </w:pBdr>
        <w:spacing w:after="100" w:before="240"/>
      </w:pPr>
      <w:r>
        <w:rPr>
          <w:rFonts w:ascii="Arial" w:cs="Arial" w:eastAsia="Arial" w:hAnsi="Arial"/>
          <w:b/>
          <w:bCs/>
          <w:color w:val="0D9488"/>
          <w:sz w:val="28"/>
          <w:szCs w:val="28"/>
        </w:rPr>
        <w:t xml:space="preserve">Evaluation Framework</w:t>
      </w:r>
    </w:p>
    <w:p>
      <w:pPr>
        <w:pStyle w:val="ListParagraph"/>
        <w:numPr>
          <w:ilvl w:val="0"/>
          <w:numId w:val="2"/>
        </w:numPr>
        <w:spacing w:after="40" w:before="40"/>
      </w:pPr>
      <w:r>
        <w:rPr>
          <w:rFonts w:ascii="Arial" w:cs="Arial" w:eastAsia="Arial" w:hAnsi="Arial"/>
          <w:b w:val="false"/>
          <w:bCs w:val="false"/>
          <w:color w:val="1E293B"/>
          <w:sz w:val="22"/>
          <w:szCs w:val="22"/>
        </w:rPr>
        <w:t xml:space="preserve">HOMA-IR thresholds: &gt;2.9 = IR; 1.5–2.9 = Impaired; &lt;1.5 = Insulin Sensitive</w:t>
      </w:r>
    </w:p>
    <w:p>
      <w:pPr>
        <w:pStyle w:val="ListParagraph"/>
        <w:numPr>
          <w:ilvl w:val="0"/>
          <w:numId w:val="2"/>
        </w:numPr>
        <w:spacing w:after="40" w:before="40"/>
      </w:pPr>
      <w:r>
        <w:rPr>
          <w:rFonts w:ascii="Arial" w:cs="Arial" w:eastAsia="Arial" w:hAnsi="Arial"/>
          <w:b w:val="false"/>
          <w:bCs w:val="false"/>
          <w:color w:val="1E293B"/>
          <w:sz w:val="22"/>
          <w:szCs w:val="22"/>
        </w:rPr>
        <w:t xml:space="preserve">Regression metrics: R², MAE, MSE on continuous HOMA-IR</w:t>
      </w:r>
    </w:p>
    <w:p>
      <w:pPr>
        <w:pStyle w:val="ListParagraph"/>
        <w:numPr>
          <w:ilvl w:val="0"/>
          <w:numId w:val="2"/>
        </w:numPr>
        <w:spacing w:after="40" w:before="40"/>
      </w:pPr>
      <w:r>
        <w:rPr>
          <w:rFonts w:ascii="Arial" w:cs="Arial" w:eastAsia="Arial" w:hAnsi="Arial"/>
          <w:b w:val="false"/>
          <w:bCs w:val="false"/>
          <w:color w:val="1E293B"/>
          <w:sz w:val="22"/>
          <w:szCs w:val="22"/>
        </w:rPr>
        <w:t xml:space="preserve">Classification metrics: AUROC, Sensitivity, Specificity, Precision, AUPRC</w:t>
      </w:r>
    </w:p>
    <w:p>
      <w:pPr>
        <w:pStyle w:val="ListParagraph"/>
        <w:numPr>
          <w:ilvl w:val="0"/>
          <w:numId w:val="2"/>
        </w:numPr>
        <w:spacing w:after="40" w:before="40"/>
      </w:pPr>
      <w:r>
        <w:rPr>
          <w:rFonts w:ascii="Arial" w:cs="Arial" w:eastAsia="Arial" w:hAnsi="Arial"/>
          <w:b w:val="false"/>
          <w:bCs w:val="false"/>
          <w:color w:val="1E293B"/>
          <w:sz w:val="22"/>
          <w:szCs w:val="22"/>
        </w:rPr>
        <w:t xml:space="preserve">Calibration: ECE (target &lt;10%)</w:t>
      </w:r>
    </w:p>
    <w:p>
      <w:pPr>
        <w:pStyle w:val="ListParagraph"/>
        <w:numPr>
          <w:ilvl w:val="0"/>
          <w:numId w:val="2"/>
        </w:numPr>
        <w:spacing w:after="40" w:before="40"/>
      </w:pPr>
      <w:r>
        <w:rPr>
          <w:rFonts w:ascii="Arial" w:cs="Arial" w:eastAsia="Arial" w:hAnsi="Arial"/>
          <w:b w:val="false"/>
          <w:bCs w:val="false"/>
          <w:color w:val="1E293B"/>
          <w:sz w:val="22"/>
          <w:szCs w:val="22"/>
        </w:rPr>
        <w:t xml:space="preserve">Validation: inter-patient split (non-negotiable); external MESA cohort as validation set</w:t>
      </w:r>
    </w:p>
    <w:p>
      <w:pPr>
        <w:pStyle w:val="ListParagraph"/>
        <w:numPr>
          <w:ilvl w:val="0"/>
          <w:numId w:val="2"/>
        </w:numPr>
        <w:spacing w:after="40" w:before="40"/>
      </w:pPr>
      <w:r>
        <w:rPr>
          <w:rFonts w:ascii="Arial" w:cs="Arial" w:eastAsia="Arial" w:hAnsi="Arial"/>
          <w:b w:val="false"/>
          <w:bCs w:val="false"/>
          <w:color w:val="1E293B"/>
          <w:sz w:val="22"/>
          <w:szCs w:val="22"/>
        </w:rPr>
        <w:t xml:space="preserve">Interpretability: SHAP values for every prediction</w:t>
      </w:r>
    </w:p>
    <w:p>
      <w:pPr>
        <w:spacing w:after="0" w:before="0"/>
      </w:pPr>
      <w:r>
        <w:br w:type="page"/>
      </w:r>
    </w:p>
    <w:p>
      <w:pPr>
        <w:pStyle w:val="Heading1"/>
        <w:shd w:fill="0A1628" w:val="clear"/>
        <w:spacing w:after="180" w:before="360"/>
        <w:ind w:left="200" w:right="200"/>
      </w:pPr>
      <w:r>
        <w:rPr>
          <w:rFonts w:ascii="Arial" w:cs="Arial" w:eastAsia="Arial" w:hAnsi="Arial"/>
          <w:b/>
          <w:bCs/>
          <w:color w:val="FFFFFF"/>
          <w:sz w:val="36"/>
          <w:szCs w:val="36"/>
        </w:rPr>
        <w:t xml:space="preserve">Chapter 9  ·  All Key Formulas</w:t>
      </w:r>
    </w:p>
    <w:tbl>
      <w:tblPr>
        <w:tblW w:type="dxa" w:w="9360"/>
        <w:tblBorders>
          <w:top w:val="single" w:color="0D9488" w:sz="6"/>
          <w:left w:val="single" w:color="0D9488" w:sz="16"/>
          <w:bottom w:val="single" w:color="0D9488" w:sz="6"/>
          <w:right w:val="single" w:color="0D9488" w:sz="4"/>
          <w:insideH w:val="single" w:color="auto" w:sz="4"/>
          <w:insideV w:val="single" w:color="auto" w:sz="4"/>
        </w:tblBorders>
      </w:tblPr>
      <w:tblGrid>
        <w:gridCol w:w="9360"/>
      </w:tblGrid>
      <w:tr>
        <w:tc>
          <w:tcPr>
            <w:tcW w:type="dxa" w:w="9360"/>
            <w:tcBorders>
              <w:top w:val="none"/>
              <w:left w:val="none"/>
              <w:bottom w:val="none"/>
              <w:right w:val="none"/>
            </w:tcBorders>
            <w:shd w:fill="CCFBF1" w:val="clear"/>
            <w:tcMar>
              <w:top w:type="dxa" w:w="100"/>
              <w:left w:type="dxa" w:w="200"/>
              <w:bottom w:type="dxa" w:w="100"/>
              <w:right w:type="dxa" w:w="200"/>
            </w:tcMar>
          </w:tcPr>
          <w:p>
            <w:pPr>
              <w:spacing w:after="40" w:before="0"/>
            </w:pPr>
            <w:r>
              <w:rPr>
                <w:rFonts w:ascii="Arial" w:cs="Arial" w:eastAsia="Arial" w:hAnsi="Arial"/>
                <w:b/>
                <w:bCs/>
                <w:color w:val="0D9488"/>
                <w:sz w:val="20"/>
                <w:szCs w:val="20"/>
              </w:rPr>
              <w:t xml:space="preserve">HOMA-IR</w:t>
            </w:r>
          </w:p>
          <w:p>
            <w:pPr>
              <w:spacing w:after="60" w:before="0"/>
            </w:pPr>
            <w:r>
              <w:rPr>
                <w:rFonts w:ascii="Courier New" w:cs="Courier New" w:eastAsia="Courier New" w:hAnsi="Courier New"/>
                <w:b/>
                <w:bCs/>
                <w:color w:val="0A1628"/>
                <w:sz w:val="24"/>
                <w:szCs w:val="24"/>
              </w:rPr>
              <w:t xml:space="preserve">HOMA-IR = (Fasting Insulin [µU/mL] × Fasting Glucose [mg/dL]) / 405</w:t>
            </w:r>
          </w:p>
          <w:p>
            <w:pPr>
              <w:spacing w:after="0" w:before="0"/>
            </w:pPr>
            <w:r>
              <w:rPr>
                <w:rFonts w:ascii="Arial" w:cs="Arial" w:eastAsia="Arial" w:hAnsi="Arial"/>
                <w:i/>
                <w:iCs/>
                <w:color w:val="475569"/>
                <w:sz w:val="20"/>
                <w:szCs w:val="20"/>
              </w:rPr>
              <w:t xml:space="preserve">Ground truth for IR. &gt;2.9 = IR. &lt;1.5 = IS. Derived by Matthews et al. 1985.</w:t>
            </w:r>
          </w:p>
        </w:tc>
      </w:tr>
    </w:tbl>
    <w:p>
      <w:pPr>
        <w:spacing w:after="80" w:before="80"/>
      </w:pPr>
    </w:p>
    <w:tbl>
      <w:tblPr>
        <w:tblW w:type="dxa" w:w="9360"/>
        <w:tblBorders>
          <w:top w:val="single" w:color="0D9488" w:sz="6"/>
          <w:left w:val="single" w:color="0D9488" w:sz="16"/>
          <w:bottom w:val="single" w:color="0D9488" w:sz="6"/>
          <w:right w:val="single" w:color="0D9488" w:sz="4"/>
          <w:insideH w:val="single" w:color="auto" w:sz="4"/>
          <w:insideV w:val="single" w:color="auto" w:sz="4"/>
        </w:tblBorders>
      </w:tblPr>
      <w:tblGrid>
        <w:gridCol w:w="9360"/>
      </w:tblGrid>
      <w:tr>
        <w:tc>
          <w:tcPr>
            <w:tcW w:type="dxa" w:w="9360"/>
            <w:tcBorders>
              <w:top w:val="none"/>
              <w:left w:val="none"/>
              <w:bottom w:val="none"/>
              <w:right w:val="none"/>
            </w:tcBorders>
            <w:shd w:fill="CCFBF1" w:val="clear"/>
            <w:tcMar>
              <w:top w:type="dxa" w:w="100"/>
              <w:left w:type="dxa" w:w="200"/>
              <w:bottom w:type="dxa" w:w="100"/>
              <w:right w:type="dxa" w:w="200"/>
            </w:tcMar>
          </w:tcPr>
          <w:p>
            <w:pPr>
              <w:spacing w:after="40" w:before="0"/>
            </w:pPr>
            <w:r>
              <w:rPr>
                <w:rFonts w:ascii="Arial" w:cs="Arial" w:eastAsia="Arial" w:hAnsi="Arial"/>
                <w:b/>
                <w:bCs/>
                <w:color w:val="0D9488"/>
                <w:sz w:val="20"/>
                <w:szCs w:val="20"/>
              </w:rPr>
              <w:t xml:space="preserve">QTc (Fridericia)</w:t>
            </w:r>
          </w:p>
          <w:p>
            <w:pPr>
              <w:spacing w:after="60" w:before="0"/>
            </w:pPr>
            <w:r>
              <w:rPr>
                <w:rFonts w:ascii="Courier New" w:cs="Courier New" w:eastAsia="Courier New" w:hAnsi="Courier New"/>
                <w:b/>
                <w:bCs/>
                <w:color w:val="0A1628"/>
                <w:sz w:val="24"/>
                <w:szCs w:val="24"/>
              </w:rPr>
              <w:t xml:space="preserve">QTc = delay(R_Onset, T_Offset) / [delay(R_Peak, R_Peak_next)]^(1/3)</w:t>
            </w:r>
          </w:p>
          <w:p>
            <w:pPr>
              <w:spacing w:after="0" w:before="0"/>
            </w:pPr>
            <w:r>
              <w:rPr>
                <w:rFonts w:ascii="Arial" w:cs="Arial" w:eastAsia="Arial" w:hAnsi="Arial"/>
                <w:i/>
                <w:iCs/>
                <w:color w:val="475569"/>
                <w:sz w:val="20"/>
                <w:szCs w:val="20"/>
              </w:rPr>
              <w:t xml:space="preserve">Corrects QT for heart rate. Elevated QTc indicates ventricular weakness from CAN.</w:t>
            </w:r>
          </w:p>
        </w:tc>
      </w:tr>
    </w:tbl>
    <w:p>
      <w:pPr>
        <w:spacing w:after="80" w:before="80"/>
      </w:pPr>
    </w:p>
    <w:tbl>
      <w:tblPr>
        <w:tblW w:type="dxa" w:w="9360"/>
        <w:tblBorders>
          <w:top w:val="single" w:color="0D9488" w:sz="6"/>
          <w:left w:val="single" w:color="0D9488" w:sz="16"/>
          <w:bottom w:val="single" w:color="0D9488" w:sz="6"/>
          <w:right w:val="single" w:color="0D9488" w:sz="4"/>
          <w:insideH w:val="single" w:color="auto" w:sz="4"/>
          <w:insideV w:val="single" w:color="auto" w:sz="4"/>
        </w:tblBorders>
      </w:tblPr>
      <w:tblGrid>
        <w:gridCol w:w="9360"/>
      </w:tblGrid>
      <w:tr>
        <w:tc>
          <w:tcPr>
            <w:tcW w:type="dxa" w:w="9360"/>
            <w:tcBorders>
              <w:top w:val="none"/>
              <w:left w:val="none"/>
              <w:bottom w:val="none"/>
              <w:right w:val="none"/>
            </w:tcBorders>
            <w:shd w:fill="CCFBF1" w:val="clear"/>
            <w:tcMar>
              <w:top w:type="dxa" w:w="100"/>
              <w:left w:type="dxa" w:w="200"/>
              <w:bottom w:type="dxa" w:w="100"/>
              <w:right w:type="dxa" w:w="200"/>
            </w:tcMar>
          </w:tcPr>
          <w:p>
            <w:pPr>
              <w:spacing w:after="40" w:before="0"/>
            </w:pPr>
            <w:r>
              <w:rPr>
                <w:rFonts w:ascii="Arial" w:cs="Arial" w:eastAsia="Arial" w:hAnsi="Arial"/>
                <w:b/>
                <w:bCs/>
                <w:color w:val="0D9488"/>
                <w:sz w:val="20"/>
                <w:szCs w:val="20"/>
              </w:rPr>
              <w:t xml:space="preserve">SDNN</w:t>
            </w:r>
          </w:p>
          <w:p>
            <w:pPr>
              <w:spacing w:after="60" w:before="0"/>
            </w:pPr>
            <w:r>
              <w:rPr>
                <w:rFonts w:ascii="Courier New" w:cs="Courier New" w:eastAsia="Courier New" w:hAnsi="Courier New"/>
                <w:b/>
                <w:bCs/>
                <w:color w:val="0A1628"/>
                <w:sz w:val="24"/>
                <w:szCs w:val="24"/>
              </w:rPr>
              <w:t xml:space="preserve">SDNN = sqrt( (1/(N−1)) × Σᵢ (RRᵢ − RR̄)² )</w:t>
            </w:r>
          </w:p>
          <w:p>
            <w:pPr>
              <w:spacing w:after="0" w:before="0"/>
            </w:pPr>
            <w:r>
              <w:rPr>
                <w:rFonts w:ascii="Arial" w:cs="Arial" w:eastAsia="Arial" w:hAnsi="Arial"/>
                <w:i/>
                <w:iCs/>
                <w:color w:val="475569"/>
                <w:sz w:val="20"/>
                <w:szCs w:val="20"/>
              </w:rPr>
              <w:t xml:space="preserve">Overall autonomic variability. Low = autonomic nerve damage. N = number of RR intervals.</w:t>
            </w:r>
          </w:p>
        </w:tc>
      </w:tr>
    </w:tbl>
    <w:p>
      <w:pPr>
        <w:spacing w:after="80" w:before="80"/>
      </w:pPr>
    </w:p>
    <w:tbl>
      <w:tblPr>
        <w:tblW w:type="dxa" w:w="9360"/>
        <w:tblBorders>
          <w:top w:val="single" w:color="0D9488" w:sz="6"/>
          <w:left w:val="single" w:color="0D9488" w:sz="16"/>
          <w:bottom w:val="single" w:color="0D9488" w:sz="6"/>
          <w:right w:val="single" w:color="0D9488" w:sz="4"/>
          <w:insideH w:val="single" w:color="auto" w:sz="4"/>
          <w:insideV w:val="single" w:color="auto" w:sz="4"/>
        </w:tblBorders>
      </w:tblPr>
      <w:tblGrid>
        <w:gridCol w:w="9360"/>
      </w:tblGrid>
      <w:tr>
        <w:tc>
          <w:tcPr>
            <w:tcW w:type="dxa" w:w="9360"/>
            <w:tcBorders>
              <w:top w:val="none"/>
              <w:left w:val="none"/>
              <w:bottom w:val="none"/>
              <w:right w:val="none"/>
            </w:tcBorders>
            <w:shd w:fill="CCFBF1" w:val="clear"/>
            <w:tcMar>
              <w:top w:type="dxa" w:w="100"/>
              <w:left w:type="dxa" w:w="200"/>
              <w:bottom w:type="dxa" w:w="100"/>
              <w:right w:type="dxa" w:w="200"/>
            </w:tcMar>
          </w:tcPr>
          <w:p>
            <w:pPr>
              <w:spacing w:after="40" w:before="0"/>
            </w:pPr>
            <w:r>
              <w:rPr>
                <w:rFonts w:ascii="Arial" w:cs="Arial" w:eastAsia="Arial" w:hAnsi="Arial"/>
                <w:b/>
                <w:bCs/>
                <w:color w:val="0D9488"/>
                <w:sz w:val="20"/>
                <w:szCs w:val="20"/>
              </w:rPr>
              <w:t xml:space="preserve">RMSSD</w:t>
            </w:r>
          </w:p>
          <w:p>
            <w:pPr>
              <w:spacing w:after="60" w:before="0"/>
            </w:pPr>
            <w:r>
              <w:rPr>
                <w:rFonts w:ascii="Courier New" w:cs="Courier New" w:eastAsia="Courier New" w:hAnsi="Courier New"/>
                <w:b/>
                <w:bCs/>
                <w:color w:val="0A1628"/>
                <w:sz w:val="24"/>
                <w:szCs w:val="24"/>
              </w:rPr>
              <w:t xml:space="preserve">RMSSD = sqrt( (1/M) × Σⱼ (ΔRRⱼ)² )</w:t>
            </w:r>
          </w:p>
          <w:p>
            <w:pPr>
              <w:spacing w:after="0" w:before="0"/>
            </w:pPr>
            <w:r>
              <w:rPr>
                <w:rFonts w:ascii="Arial" w:cs="Arial" w:eastAsia="Arial" w:hAnsi="Arial"/>
                <w:i/>
                <w:iCs/>
                <w:color w:val="475569"/>
                <w:sz w:val="20"/>
                <w:szCs w:val="20"/>
              </w:rPr>
              <w:t xml:space="preserve">Parasympathetic activity. ΔRRⱼ = difference between consecutive RR pairs. Low = CAN.</w:t>
            </w:r>
          </w:p>
        </w:tc>
      </w:tr>
    </w:tbl>
    <w:p>
      <w:pPr>
        <w:spacing w:after="80" w:before="80"/>
      </w:pPr>
    </w:p>
    <w:tbl>
      <w:tblPr>
        <w:tblW w:type="dxa" w:w="9360"/>
        <w:tblBorders>
          <w:top w:val="single" w:color="0D9488" w:sz="6"/>
          <w:left w:val="single" w:color="0D9488" w:sz="16"/>
          <w:bottom w:val="single" w:color="0D9488" w:sz="6"/>
          <w:right w:val="single" w:color="0D9488" w:sz="4"/>
          <w:insideH w:val="single" w:color="auto" w:sz="4"/>
          <w:insideV w:val="single" w:color="auto" w:sz="4"/>
        </w:tblBorders>
      </w:tblPr>
      <w:tblGrid>
        <w:gridCol w:w="9360"/>
      </w:tblGrid>
      <w:tr>
        <w:tc>
          <w:tcPr>
            <w:tcW w:type="dxa" w:w="9360"/>
            <w:tcBorders>
              <w:top w:val="none"/>
              <w:left w:val="none"/>
              <w:bottom w:val="none"/>
              <w:right w:val="none"/>
            </w:tcBorders>
            <w:shd w:fill="CCFBF1" w:val="clear"/>
            <w:tcMar>
              <w:top w:type="dxa" w:w="100"/>
              <w:left w:type="dxa" w:w="200"/>
              <w:bottom w:type="dxa" w:w="100"/>
              <w:right w:type="dxa" w:w="200"/>
            </w:tcMar>
          </w:tcPr>
          <w:p>
            <w:pPr>
              <w:spacing w:after="40" w:before="0"/>
            </w:pPr>
            <w:r>
              <w:rPr>
                <w:rFonts w:ascii="Arial" w:cs="Arial" w:eastAsia="Arial" w:hAnsi="Arial"/>
                <w:b/>
                <w:bCs/>
                <w:color w:val="0D9488"/>
                <w:sz w:val="20"/>
                <w:szCs w:val="20"/>
              </w:rPr>
              <w:t xml:space="preserve">Temporal Phase</w:t>
            </w:r>
          </w:p>
          <w:p>
            <w:pPr>
              <w:spacing w:after="60" w:before="0"/>
            </w:pPr>
            <w:r>
              <w:rPr>
                <w:rFonts w:ascii="Courier New" w:cs="Courier New" w:eastAsia="Courier New" w:hAnsi="Courier New"/>
                <w:b/>
                <w:bCs/>
                <w:color w:val="0A1628"/>
                <w:sz w:val="24"/>
                <w:szCs w:val="24"/>
              </w:rPr>
              <w:t xml:space="preserve">φ = (2πt) / 86400   [t = seconds since midnight]</w:t>
            </w:r>
          </w:p>
          <w:p>
            <w:pPr>
              <w:spacing w:after="0" w:before="0"/>
            </w:pPr>
            <w:r>
              <w:rPr>
                <w:rFonts w:ascii="Arial" w:cs="Arial" w:eastAsia="Arial" w:hAnsi="Arial"/>
                <w:i/>
                <w:iCs/>
                <w:color w:val="475569"/>
                <w:sz w:val="20"/>
                <w:szCs w:val="20"/>
              </w:rPr>
              <w:t xml:space="preserve">8 time features: sin/cos(φ), sin/cos(2φ), sin/cos(3φ), sin/cos(4φ). Cyclical encoding.</w:t>
            </w:r>
          </w:p>
        </w:tc>
      </w:tr>
    </w:tbl>
    <w:p>
      <w:pPr>
        <w:spacing w:after="80" w:before="80"/>
      </w:pPr>
    </w:p>
    <w:tbl>
      <w:tblPr>
        <w:tblW w:type="dxa" w:w="9360"/>
        <w:tblBorders>
          <w:top w:val="single" w:color="0D9488" w:sz="6"/>
          <w:left w:val="single" w:color="0D9488" w:sz="16"/>
          <w:bottom w:val="single" w:color="0D9488" w:sz="6"/>
          <w:right w:val="single" w:color="0D9488" w:sz="4"/>
          <w:insideH w:val="single" w:color="auto" w:sz="4"/>
          <w:insideV w:val="single" w:color="auto" w:sz="4"/>
        </w:tblBorders>
      </w:tblPr>
      <w:tblGrid>
        <w:gridCol w:w="9360"/>
      </w:tblGrid>
      <w:tr>
        <w:tc>
          <w:tcPr>
            <w:tcW w:type="dxa" w:w="9360"/>
            <w:tcBorders>
              <w:top w:val="none"/>
              <w:left w:val="none"/>
              <w:bottom w:val="none"/>
              <w:right w:val="none"/>
            </w:tcBorders>
            <w:shd w:fill="CCFBF1" w:val="clear"/>
            <w:tcMar>
              <w:top w:type="dxa" w:w="100"/>
              <w:left w:type="dxa" w:w="200"/>
              <w:bottom w:type="dxa" w:w="100"/>
              <w:right w:type="dxa" w:w="200"/>
            </w:tcMar>
          </w:tcPr>
          <w:p>
            <w:pPr>
              <w:spacing w:after="40" w:before="0"/>
            </w:pPr>
            <w:r>
              <w:rPr>
                <w:rFonts w:ascii="Arial" w:cs="Arial" w:eastAsia="Arial" w:hAnsi="Arial"/>
                <w:b/>
                <w:bCs/>
                <w:color w:val="0D9488"/>
                <w:sz w:val="20"/>
                <w:szCs w:val="20"/>
              </w:rPr>
              <w:t xml:space="preserve">Patient-Level Probability (SweetDeep)</w:t>
            </w:r>
          </w:p>
          <w:p>
            <w:pPr>
              <w:spacing w:after="60" w:before="0"/>
            </w:pPr>
            <w:r>
              <w:rPr>
                <w:rFonts w:ascii="Courier New" w:cs="Courier New" w:eastAsia="Courier New" w:hAnsi="Courier New"/>
                <w:b/>
                <w:bCs/>
                <w:color w:val="0A1628"/>
                <w:sz w:val="24"/>
                <w:szCs w:val="24"/>
              </w:rPr>
              <w:t xml:space="preserve">p̂_X = (1/N) × Σᵢ p̂_xᵢ</w:t>
            </w:r>
          </w:p>
          <w:p>
            <w:pPr>
              <w:spacing w:after="0" w:before="0"/>
            </w:pPr>
            <w:r>
              <w:rPr>
                <w:rFonts w:ascii="Arial" w:cs="Arial" w:eastAsia="Arial" w:hAnsi="Arial"/>
                <w:i/>
                <w:iCs/>
                <w:color w:val="475569"/>
                <w:sz w:val="20"/>
                <w:szCs w:val="20"/>
              </w:rPr>
              <w:t xml:space="preserve">Average of all N instance-level probabilities for patient X. Reduces noise via averaging.</w:t>
            </w:r>
          </w:p>
        </w:tc>
      </w:tr>
    </w:tbl>
    <w:p>
      <w:pPr>
        <w:spacing w:after="80" w:before="80"/>
      </w:pPr>
    </w:p>
    <w:tbl>
      <w:tblPr>
        <w:tblW w:type="dxa" w:w="9360"/>
        <w:tblBorders>
          <w:top w:val="single" w:color="0D9488" w:sz="6"/>
          <w:left w:val="single" w:color="0D9488" w:sz="16"/>
          <w:bottom w:val="single" w:color="0D9488" w:sz="6"/>
          <w:right w:val="single" w:color="0D9488" w:sz="4"/>
          <w:insideH w:val="single" w:color="auto" w:sz="4"/>
          <w:insideV w:val="single" w:color="auto" w:sz="4"/>
        </w:tblBorders>
      </w:tblPr>
      <w:tblGrid>
        <w:gridCol w:w="9360"/>
      </w:tblGrid>
      <w:tr>
        <w:tc>
          <w:tcPr>
            <w:tcW w:type="dxa" w:w="9360"/>
            <w:tcBorders>
              <w:top w:val="none"/>
              <w:left w:val="none"/>
              <w:bottom w:val="none"/>
              <w:right w:val="none"/>
            </w:tcBorders>
            <w:shd w:fill="CCFBF1" w:val="clear"/>
            <w:tcMar>
              <w:top w:type="dxa" w:w="100"/>
              <w:left w:type="dxa" w:w="200"/>
              <w:bottom w:type="dxa" w:w="100"/>
              <w:right w:type="dxa" w:w="200"/>
            </w:tcMar>
          </w:tcPr>
          <w:p>
            <w:pPr>
              <w:spacing w:after="40" w:before="0"/>
            </w:pPr>
            <w:r>
              <w:rPr>
                <w:rFonts w:ascii="Arial" w:cs="Arial" w:eastAsia="Arial" w:hAnsi="Arial"/>
                <w:b/>
                <w:bCs/>
                <w:color w:val="0D9488"/>
                <w:sz w:val="20"/>
                <w:szCs w:val="20"/>
              </w:rPr>
              <w:t xml:space="preserve">Abstention Rule (SweetDeep)</w:t>
            </w:r>
          </w:p>
          <w:p>
            <w:pPr>
              <w:spacing w:after="60" w:before="0"/>
            </w:pPr>
            <w:r>
              <w:rPr>
                <w:rFonts w:ascii="Courier New" w:cs="Courier New" w:eastAsia="Courier New" w:hAnsi="Courier New"/>
                <w:b/>
                <w:bCs/>
                <w:color w:val="0A1628"/>
                <w:sz w:val="24"/>
                <w:szCs w:val="24"/>
              </w:rPr>
              <w:t xml:space="preserve">Abstain if |p̂_X − 0.5| &lt; 0.08</w:t>
            </w:r>
          </w:p>
          <w:p>
            <w:pPr>
              <w:spacing w:after="0" w:before="0"/>
            </w:pPr>
            <w:r>
              <w:rPr>
                <w:rFonts w:ascii="Arial" w:cs="Arial" w:eastAsia="Arial" w:hAnsi="Arial"/>
                <w:i/>
                <w:iCs/>
                <w:color w:val="475569"/>
                <w:sz w:val="20"/>
                <w:szCs w:val="20"/>
              </w:rPr>
              <w:t xml:space="preserve">Abstains when 0.42 &lt; p̂_X &lt; 0.58. Applied to &lt;10% of patients. No retraining needed.</w:t>
            </w:r>
          </w:p>
        </w:tc>
      </w:tr>
    </w:tbl>
    <w:p>
      <w:pPr>
        <w:spacing w:after="80" w:before="80"/>
      </w:pPr>
    </w:p>
    <w:tbl>
      <w:tblPr>
        <w:tblW w:type="dxa" w:w="9360"/>
        <w:tblBorders>
          <w:top w:val="single" w:color="0D9488" w:sz="6"/>
          <w:left w:val="single" w:color="0D9488" w:sz="16"/>
          <w:bottom w:val="single" w:color="0D9488" w:sz="6"/>
          <w:right w:val="single" w:color="0D9488" w:sz="4"/>
          <w:insideH w:val="single" w:color="auto" w:sz="4"/>
          <w:insideV w:val="single" w:color="auto" w:sz="4"/>
        </w:tblBorders>
      </w:tblPr>
      <w:tblGrid>
        <w:gridCol w:w="9360"/>
      </w:tblGrid>
      <w:tr>
        <w:tc>
          <w:tcPr>
            <w:tcW w:type="dxa" w:w="9360"/>
            <w:tcBorders>
              <w:top w:val="none"/>
              <w:left w:val="none"/>
              <w:bottom w:val="none"/>
              <w:right w:val="none"/>
            </w:tcBorders>
            <w:shd w:fill="CCFBF1" w:val="clear"/>
            <w:tcMar>
              <w:top w:type="dxa" w:w="100"/>
              <w:left w:type="dxa" w:w="200"/>
              <w:bottom w:type="dxa" w:w="100"/>
              <w:right w:type="dxa" w:w="200"/>
            </w:tcMar>
          </w:tcPr>
          <w:p>
            <w:pPr>
              <w:spacing w:after="40" w:before="0"/>
            </w:pPr>
            <w:r>
              <w:rPr>
                <w:rFonts w:ascii="Arial" w:cs="Arial" w:eastAsia="Arial" w:hAnsi="Arial"/>
                <w:b/>
                <w:bCs/>
                <w:color w:val="0D9488"/>
                <w:sz w:val="20"/>
                <w:szCs w:val="20"/>
              </w:rPr>
              <w:t xml:space="preserve">ECE — Expected Calibration Error</w:t>
            </w:r>
          </w:p>
          <w:p>
            <w:pPr>
              <w:spacing w:after="60" w:before="0"/>
            </w:pPr>
            <w:r>
              <w:rPr>
                <w:rFonts w:ascii="Courier New" w:cs="Courier New" w:eastAsia="Courier New" w:hAnsi="Courier New"/>
                <w:b/>
                <w:bCs/>
                <w:color w:val="0A1628"/>
                <w:sz w:val="24"/>
                <w:szCs w:val="24"/>
              </w:rPr>
              <w:t xml:space="preserve">ECE = Σ_b (|b|/|D|) × |p̄_b − p̂_b|</w:t>
            </w:r>
          </w:p>
          <w:p>
            <w:pPr>
              <w:spacing w:after="0" w:before="0"/>
            </w:pPr>
            <w:r>
              <w:rPr>
                <w:rFonts w:ascii="Arial" w:cs="Arial" w:eastAsia="Arial" w:hAnsi="Arial"/>
                <w:i/>
                <w:iCs/>
                <w:color w:val="475569"/>
                <w:sz w:val="20"/>
                <w:szCs w:val="20"/>
              </w:rPr>
              <w:t xml:space="preserve">Average gap between predicted probability and actual frequency across 10 bins. SweetDeep: 5.5%.</w:t>
            </w:r>
          </w:p>
        </w:tc>
      </w:tr>
    </w:tbl>
    <w:p>
      <w:pPr>
        <w:spacing w:after="80" w:before="80"/>
      </w:pPr>
    </w:p>
    <w:tbl>
      <w:tblPr>
        <w:tblW w:type="dxa" w:w="9360"/>
        <w:tblBorders>
          <w:top w:val="single" w:color="0D9488" w:sz="6"/>
          <w:left w:val="single" w:color="0D9488" w:sz="16"/>
          <w:bottom w:val="single" w:color="0D9488" w:sz="6"/>
          <w:right w:val="single" w:color="0D9488" w:sz="4"/>
          <w:insideH w:val="single" w:color="auto" w:sz="4"/>
          <w:insideV w:val="single" w:color="auto" w:sz="4"/>
        </w:tblBorders>
      </w:tblPr>
      <w:tblGrid>
        <w:gridCol w:w="9360"/>
      </w:tblGrid>
      <w:tr>
        <w:tc>
          <w:tcPr>
            <w:tcW w:type="dxa" w:w="9360"/>
            <w:tcBorders>
              <w:top w:val="none"/>
              <w:left w:val="none"/>
              <w:bottom w:val="none"/>
              <w:right w:val="none"/>
            </w:tcBorders>
            <w:shd w:fill="CCFBF1" w:val="clear"/>
            <w:tcMar>
              <w:top w:type="dxa" w:w="100"/>
              <w:left w:type="dxa" w:w="200"/>
              <w:bottom w:type="dxa" w:w="100"/>
              <w:right w:type="dxa" w:w="200"/>
            </w:tcMar>
          </w:tcPr>
          <w:p>
            <w:pPr>
              <w:spacing w:after="40" w:before="0"/>
            </w:pPr>
            <w:r>
              <w:rPr>
                <w:rFonts w:ascii="Arial" w:cs="Arial" w:eastAsia="Arial" w:hAnsi="Arial"/>
                <w:b/>
                <w:bCs/>
                <w:color w:val="0D9488"/>
                <w:sz w:val="20"/>
                <w:szCs w:val="20"/>
              </w:rPr>
              <w:t xml:space="preserve">Accuracy</w:t>
            </w:r>
          </w:p>
          <w:p>
            <w:pPr>
              <w:spacing w:after="60" w:before="0"/>
            </w:pPr>
            <w:r>
              <w:rPr>
                <w:rFonts w:ascii="Courier New" w:cs="Courier New" w:eastAsia="Courier New" w:hAnsi="Courier New"/>
                <w:b/>
                <w:bCs/>
                <w:color w:val="0A1628"/>
                <w:sz w:val="24"/>
                <w:szCs w:val="24"/>
              </w:rPr>
              <w:t xml:space="preserve">Accuracy = (TP + TN) / (TP + TN + FP + FN)</w:t>
            </w:r>
          </w:p>
          <w:p>
            <w:pPr>
              <w:spacing w:after="0" w:before="0"/>
            </w:pPr>
            <w:r>
              <w:rPr>
                <w:rFonts w:ascii="Arial" w:cs="Arial" w:eastAsia="Arial" w:hAnsi="Arial"/>
                <w:i/>
                <w:iCs/>
                <w:color w:val="475569"/>
                <w:sz w:val="20"/>
                <w:szCs w:val="20"/>
              </w:rPr>
              <w:t xml:space="preserve">All correct / all predictions.</w:t>
            </w:r>
          </w:p>
        </w:tc>
      </w:tr>
    </w:tbl>
    <w:p>
      <w:pPr>
        <w:spacing w:after="80" w:before="80"/>
      </w:pPr>
    </w:p>
    <w:tbl>
      <w:tblPr>
        <w:tblW w:type="dxa" w:w="9360"/>
        <w:tblBorders>
          <w:top w:val="single" w:color="0D9488" w:sz="6"/>
          <w:left w:val="single" w:color="0D9488" w:sz="16"/>
          <w:bottom w:val="single" w:color="0D9488" w:sz="6"/>
          <w:right w:val="single" w:color="0D9488" w:sz="4"/>
          <w:insideH w:val="single" w:color="auto" w:sz="4"/>
          <w:insideV w:val="single" w:color="auto" w:sz="4"/>
        </w:tblBorders>
      </w:tblPr>
      <w:tblGrid>
        <w:gridCol w:w="9360"/>
      </w:tblGrid>
      <w:tr>
        <w:tc>
          <w:tcPr>
            <w:tcW w:type="dxa" w:w="9360"/>
            <w:tcBorders>
              <w:top w:val="none"/>
              <w:left w:val="none"/>
              <w:bottom w:val="none"/>
              <w:right w:val="none"/>
            </w:tcBorders>
            <w:shd w:fill="CCFBF1" w:val="clear"/>
            <w:tcMar>
              <w:top w:type="dxa" w:w="100"/>
              <w:left w:type="dxa" w:w="200"/>
              <w:bottom w:type="dxa" w:w="100"/>
              <w:right w:type="dxa" w:w="200"/>
            </w:tcMar>
          </w:tcPr>
          <w:p>
            <w:pPr>
              <w:spacing w:after="40" w:before="0"/>
            </w:pPr>
            <w:r>
              <w:rPr>
                <w:rFonts w:ascii="Arial" w:cs="Arial" w:eastAsia="Arial" w:hAnsi="Arial"/>
                <w:b/>
                <w:bCs/>
                <w:color w:val="0D9488"/>
                <w:sz w:val="20"/>
                <w:szCs w:val="20"/>
              </w:rPr>
              <w:t xml:space="preserve">Sensitivity (Recall)</w:t>
            </w:r>
          </w:p>
          <w:p>
            <w:pPr>
              <w:spacing w:after="60" w:before="0"/>
            </w:pPr>
            <w:r>
              <w:rPr>
                <w:rFonts w:ascii="Courier New" w:cs="Courier New" w:eastAsia="Courier New" w:hAnsi="Courier New"/>
                <w:b/>
                <w:bCs/>
                <w:color w:val="0A1628"/>
                <w:sz w:val="24"/>
                <w:szCs w:val="24"/>
              </w:rPr>
              <w:t xml:space="preserve">Sensitivity = TP / (TP + FN)</w:t>
            </w:r>
          </w:p>
          <w:p>
            <w:pPr>
              <w:spacing w:after="0" w:before="0"/>
            </w:pPr>
            <w:r>
              <w:rPr>
                <w:rFonts w:ascii="Arial" w:cs="Arial" w:eastAsia="Arial" w:hAnsi="Arial"/>
                <w:i/>
                <w:iCs/>
                <w:color w:val="475569"/>
                <w:sz w:val="20"/>
                <w:szCs w:val="20"/>
              </w:rPr>
              <w:t xml:space="preserve">Of all true positives, how many did we catch?</w:t>
            </w:r>
          </w:p>
        </w:tc>
      </w:tr>
    </w:tbl>
    <w:p>
      <w:pPr>
        <w:spacing w:after="80" w:before="80"/>
      </w:pPr>
    </w:p>
    <w:tbl>
      <w:tblPr>
        <w:tblW w:type="dxa" w:w="9360"/>
        <w:tblBorders>
          <w:top w:val="single" w:color="0D9488" w:sz="6"/>
          <w:left w:val="single" w:color="0D9488" w:sz="16"/>
          <w:bottom w:val="single" w:color="0D9488" w:sz="6"/>
          <w:right w:val="single" w:color="0D9488" w:sz="4"/>
          <w:insideH w:val="single" w:color="auto" w:sz="4"/>
          <w:insideV w:val="single" w:color="auto" w:sz="4"/>
        </w:tblBorders>
      </w:tblPr>
      <w:tblGrid>
        <w:gridCol w:w="9360"/>
      </w:tblGrid>
      <w:tr>
        <w:tc>
          <w:tcPr>
            <w:tcW w:type="dxa" w:w="9360"/>
            <w:tcBorders>
              <w:top w:val="none"/>
              <w:left w:val="none"/>
              <w:bottom w:val="none"/>
              <w:right w:val="none"/>
            </w:tcBorders>
            <w:shd w:fill="CCFBF1" w:val="clear"/>
            <w:tcMar>
              <w:top w:type="dxa" w:w="100"/>
              <w:left w:type="dxa" w:w="200"/>
              <w:bottom w:type="dxa" w:w="100"/>
              <w:right w:type="dxa" w:w="200"/>
            </w:tcMar>
          </w:tcPr>
          <w:p>
            <w:pPr>
              <w:spacing w:after="40" w:before="0"/>
            </w:pPr>
            <w:r>
              <w:rPr>
                <w:rFonts w:ascii="Arial" w:cs="Arial" w:eastAsia="Arial" w:hAnsi="Arial"/>
                <w:b/>
                <w:bCs/>
                <w:color w:val="0D9488"/>
                <w:sz w:val="20"/>
                <w:szCs w:val="20"/>
              </w:rPr>
              <w:t xml:space="preserve">Specificity</w:t>
            </w:r>
          </w:p>
          <w:p>
            <w:pPr>
              <w:spacing w:after="60" w:before="0"/>
            </w:pPr>
            <w:r>
              <w:rPr>
                <w:rFonts w:ascii="Courier New" w:cs="Courier New" w:eastAsia="Courier New" w:hAnsi="Courier New"/>
                <w:b/>
                <w:bCs/>
                <w:color w:val="0A1628"/>
                <w:sz w:val="24"/>
                <w:szCs w:val="24"/>
              </w:rPr>
              <w:t xml:space="preserve">Specificity = TN / (TN + FP)</w:t>
            </w:r>
          </w:p>
          <w:p>
            <w:pPr>
              <w:spacing w:after="0" w:before="0"/>
            </w:pPr>
            <w:r>
              <w:rPr>
                <w:rFonts w:ascii="Arial" w:cs="Arial" w:eastAsia="Arial" w:hAnsi="Arial"/>
                <w:i/>
                <w:iCs/>
                <w:color w:val="475569"/>
                <w:sz w:val="20"/>
                <w:szCs w:val="20"/>
              </w:rPr>
              <w:t xml:space="preserve">Of all true negatives, how many did we correctly exclude?</w:t>
            </w:r>
          </w:p>
        </w:tc>
      </w:tr>
    </w:tbl>
    <w:p>
      <w:pPr>
        <w:spacing w:after="80" w:before="80"/>
      </w:pPr>
    </w:p>
    <w:tbl>
      <w:tblPr>
        <w:tblW w:type="dxa" w:w="9360"/>
        <w:tblBorders>
          <w:top w:val="single" w:color="0D9488" w:sz="6"/>
          <w:left w:val="single" w:color="0D9488" w:sz="16"/>
          <w:bottom w:val="single" w:color="0D9488" w:sz="6"/>
          <w:right w:val="single" w:color="0D9488" w:sz="4"/>
          <w:insideH w:val="single" w:color="auto" w:sz="4"/>
          <w:insideV w:val="single" w:color="auto" w:sz="4"/>
        </w:tblBorders>
      </w:tblPr>
      <w:tblGrid>
        <w:gridCol w:w="9360"/>
      </w:tblGrid>
      <w:tr>
        <w:tc>
          <w:tcPr>
            <w:tcW w:type="dxa" w:w="9360"/>
            <w:tcBorders>
              <w:top w:val="none"/>
              <w:left w:val="none"/>
              <w:bottom w:val="none"/>
              <w:right w:val="none"/>
            </w:tcBorders>
            <w:shd w:fill="CCFBF1" w:val="clear"/>
            <w:tcMar>
              <w:top w:type="dxa" w:w="100"/>
              <w:left w:type="dxa" w:w="200"/>
              <w:bottom w:type="dxa" w:w="100"/>
              <w:right w:type="dxa" w:w="200"/>
            </w:tcMar>
          </w:tcPr>
          <w:p>
            <w:pPr>
              <w:spacing w:after="40" w:before="0"/>
            </w:pPr>
            <w:r>
              <w:rPr>
                <w:rFonts w:ascii="Arial" w:cs="Arial" w:eastAsia="Arial" w:hAnsi="Arial"/>
                <w:b/>
                <w:bCs/>
                <w:color w:val="0D9488"/>
                <w:sz w:val="20"/>
                <w:szCs w:val="20"/>
              </w:rPr>
              <w:t xml:space="preserve">Macro-F1</w:t>
            </w:r>
          </w:p>
          <w:p>
            <w:pPr>
              <w:spacing w:after="60" w:before="0"/>
            </w:pPr>
            <w:r>
              <w:rPr>
                <w:rFonts w:ascii="Courier New" w:cs="Courier New" w:eastAsia="Courier New" w:hAnsi="Courier New"/>
                <w:b/>
                <w:bCs/>
                <w:color w:val="0A1628"/>
                <w:sz w:val="24"/>
                <w:szCs w:val="24"/>
              </w:rPr>
              <w:t xml:space="preserve">F1 = ½ × [2TP/(2TP+FP+FN)  +  2TN/(2TN+FP+FN)]</w:t>
            </w:r>
          </w:p>
          <w:p>
            <w:pPr>
              <w:spacing w:after="0" w:before="0"/>
            </w:pPr>
            <w:r>
              <w:rPr>
                <w:rFonts w:ascii="Arial" w:cs="Arial" w:eastAsia="Arial" w:hAnsi="Arial"/>
                <w:i/>
                <w:iCs/>
                <w:color w:val="475569"/>
                <w:sz w:val="20"/>
                <w:szCs w:val="20"/>
              </w:rPr>
              <w:t xml:space="preserve">Average F1 across both classes. Robust to class imbalance. SweetDeep: 82.1% patient-level.</w:t>
            </w:r>
          </w:p>
        </w:tc>
      </w:tr>
    </w:tbl>
    <w:p>
      <w:pPr>
        <w:spacing w:after="80" w:before="80"/>
      </w:pPr>
    </w:p>
    <w:tbl>
      <w:tblPr>
        <w:tblW w:type="dxa" w:w="9360"/>
        <w:tblBorders>
          <w:top w:val="single" w:color="0D9488" w:sz="6"/>
          <w:left w:val="single" w:color="0D9488" w:sz="16"/>
          <w:bottom w:val="single" w:color="0D9488" w:sz="6"/>
          <w:right w:val="single" w:color="0D9488" w:sz="4"/>
          <w:insideH w:val="single" w:color="auto" w:sz="4"/>
          <w:insideV w:val="single" w:color="auto" w:sz="4"/>
        </w:tblBorders>
      </w:tblPr>
      <w:tblGrid>
        <w:gridCol w:w="9360"/>
      </w:tblGrid>
      <w:tr>
        <w:tc>
          <w:tcPr>
            <w:tcW w:type="dxa" w:w="9360"/>
            <w:tcBorders>
              <w:top w:val="none"/>
              <w:left w:val="none"/>
              <w:bottom w:val="none"/>
              <w:right w:val="none"/>
            </w:tcBorders>
            <w:shd w:fill="CCFBF1" w:val="clear"/>
            <w:tcMar>
              <w:top w:type="dxa" w:w="100"/>
              <w:left w:type="dxa" w:w="200"/>
              <w:bottom w:type="dxa" w:w="100"/>
              <w:right w:type="dxa" w:w="200"/>
            </w:tcMar>
          </w:tcPr>
          <w:p>
            <w:pPr>
              <w:spacing w:after="40" w:before="0"/>
            </w:pPr>
            <w:r>
              <w:rPr>
                <w:rFonts w:ascii="Arial" w:cs="Arial" w:eastAsia="Arial" w:hAnsi="Arial"/>
                <w:b/>
                <w:bCs/>
                <w:color w:val="0D9488"/>
                <w:sz w:val="20"/>
                <w:szCs w:val="20"/>
              </w:rPr>
              <w:t xml:space="preserve">XGBoost Objective</w:t>
            </w:r>
          </w:p>
          <w:p>
            <w:pPr>
              <w:spacing w:after="60" w:before="0"/>
            </w:pPr>
            <w:r>
              <w:rPr>
                <w:rFonts w:ascii="Courier New" w:cs="Courier New" w:eastAsia="Courier New" w:hAnsi="Courier New"/>
                <w:b/>
                <w:bCs/>
                <w:color w:val="0A1628"/>
                <w:sz w:val="24"/>
                <w:szCs w:val="24"/>
              </w:rPr>
              <w:t xml:space="preserve">L(φ) = Σᵢ l(ŷᵢ, yᵢ)  +  Σₖ Ω(fₖ),  Ω = γT + ½λ‖w‖²</w:t>
            </w:r>
          </w:p>
          <w:p>
            <w:pPr>
              <w:spacing w:after="0" w:before="0"/>
            </w:pPr>
            <w:r>
              <w:rPr>
                <w:rFonts w:ascii="Arial" w:cs="Arial" w:eastAsia="Arial" w:hAnsi="Arial"/>
                <w:i/>
                <w:iCs/>
                <w:color w:val="475569"/>
                <w:sz w:val="20"/>
                <w:szCs w:val="20"/>
              </w:rPr>
              <w:t xml:space="preserve">l = prediction loss; Ω = regularisation penalising tree complexity T. Google paper uses this.</w:t>
            </w:r>
          </w:p>
        </w:tc>
      </w:tr>
    </w:tbl>
    <w:p>
      <w:pPr>
        <w:spacing w:after="80" w:before="80"/>
      </w:pPr>
    </w:p>
    <w:tbl>
      <w:tblPr>
        <w:tblW w:type="dxa" w:w="9360"/>
        <w:tblBorders>
          <w:top w:val="single" w:color="0D9488" w:sz="6"/>
          <w:left w:val="single" w:color="0D9488" w:sz="16"/>
          <w:bottom w:val="single" w:color="0D9488" w:sz="6"/>
          <w:right w:val="single" w:color="0D9488" w:sz="4"/>
          <w:insideH w:val="single" w:color="auto" w:sz="4"/>
          <w:insideV w:val="single" w:color="auto" w:sz="4"/>
        </w:tblBorders>
      </w:tblPr>
      <w:tblGrid>
        <w:gridCol w:w="9360"/>
      </w:tblGrid>
      <w:tr>
        <w:tc>
          <w:tcPr>
            <w:tcW w:type="dxa" w:w="9360"/>
            <w:tcBorders>
              <w:top w:val="none"/>
              <w:left w:val="none"/>
              <w:bottom w:val="none"/>
              <w:right w:val="none"/>
            </w:tcBorders>
            <w:shd w:fill="CCFBF1" w:val="clear"/>
            <w:tcMar>
              <w:top w:type="dxa" w:w="100"/>
              <w:left w:type="dxa" w:w="200"/>
              <w:bottom w:type="dxa" w:w="100"/>
              <w:right w:type="dxa" w:w="200"/>
            </w:tcMar>
          </w:tcPr>
          <w:p>
            <w:pPr>
              <w:spacing w:after="40" w:before="0"/>
            </w:pPr>
            <w:r>
              <w:rPr>
                <w:rFonts w:ascii="Arial" w:cs="Arial" w:eastAsia="Arial" w:hAnsi="Arial"/>
                <w:b/>
                <w:bCs/>
                <w:color w:val="0D9488"/>
                <w:sz w:val="20"/>
                <w:szCs w:val="20"/>
              </w:rPr>
              <w:t xml:space="preserve">MAE Reconstruction Loss</w:t>
            </w:r>
          </w:p>
          <w:p>
            <w:pPr>
              <w:spacing w:after="60" w:before="0"/>
            </w:pPr>
            <w:r>
              <w:rPr>
                <w:rFonts w:ascii="Courier New" w:cs="Courier New" w:eastAsia="Courier New" w:hAnsi="Courier New"/>
                <w:b/>
                <w:bCs/>
                <w:color w:val="0A1628"/>
                <w:sz w:val="24"/>
                <w:szCs w:val="24"/>
              </w:rPr>
              <w:t xml:space="preserve">L_MAE(x) = E‖Dec(Enc(x ⊙ m)) − x‖² + λ·SL(x, Dec(Enc(x ⊙ m)))</w:t>
            </w:r>
          </w:p>
          <w:p>
            <w:pPr>
              <w:spacing w:after="0" w:before="0"/>
            </w:pPr>
            <w:r>
              <w:rPr>
                <w:rFonts w:ascii="Arial" w:cs="Arial" w:eastAsia="Arial" w:hAnsi="Arial"/>
                <w:i/>
                <w:iCs/>
                <w:color w:val="475569"/>
                <w:sz w:val="20"/>
                <w:szCs w:val="20"/>
              </w:rPr>
              <w:t xml:space="preserve">m = Bernoulli mask (p=0.75). SL = Smooth-L1 loss, robust to outliers. λ=0.01.</w:t>
            </w:r>
          </w:p>
        </w:tc>
      </w:tr>
    </w:tbl>
    <w:p>
      <w:pPr>
        <w:spacing w:after="0" w:before="0"/>
      </w:pPr>
      <w:r>
        <w:br w:type="page"/>
      </w:r>
    </w:p>
    <w:p>
      <w:pPr>
        <w:pStyle w:val="Heading1"/>
        <w:shd w:fill="0A1628" w:val="clear"/>
        <w:spacing w:after="180" w:before="360"/>
        <w:ind w:left="200" w:right="200"/>
      </w:pPr>
      <w:r>
        <w:rPr>
          <w:rFonts w:ascii="Arial" w:cs="Arial" w:eastAsia="Arial" w:hAnsi="Arial"/>
          <w:b/>
          <w:bCs/>
          <w:color w:val="FFFFFF"/>
          <w:sz w:val="36"/>
          <w:szCs w:val="36"/>
        </w:rPr>
        <w:t xml:space="preserve">Chapter 10  ·  50 Viva Questions &amp; Answers</w:t>
      </w:r>
    </w:p>
    <w:p>
      <w:pPr>
        <w:spacing w:after="60" w:before="60"/>
      </w:pPr>
      <w:r>
        <w:rPr>
          <w:rFonts w:ascii="Arial" w:cs="Arial" w:eastAsia="Arial" w:hAnsi="Arial"/>
          <w:color w:val="1E293B"/>
          <w:sz w:val="22"/>
          <w:szCs w:val="22"/>
        </w:rPr>
        <w:t xml:space="preserve">These are the highest-probability questions based on both papers. Answers are concise — memorise the core then expand in conversation.</w:t>
      </w:r>
    </w:p>
    <w:p>
      <w:pPr>
        <w:spacing w:after="80" w:before="80"/>
      </w:pPr>
    </w:p>
    <w:p>
      <w:pPr>
        <w:pStyle w:val="Heading2"/>
        <w:pBdr>
          <w:bottom w:val="single" w:color="0D9488" w:sz="6" w:space="2"/>
        </w:pBdr>
        <w:spacing w:after="100" w:before="240"/>
      </w:pPr>
      <w:r>
        <w:rPr>
          <w:rFonts w:ascii="Arial" w:cs="Arial" w:eastAsia="Arial" w:hAnsi="Arial"/>
          <w:b/>
          <w:bCs/>
          <w:color w:val="0D9488"/>
          <w:sz w:val="28"/>
          <w:szCs w:val="28"/>
        </w:rPr>
        <w:t xml:space="preserve">Fundamentals</w:t>
      </w:r>
    </w:p>
    <w:p>
      <w:pPr>
        <w:spacing w:after="40" w:before="140"/>
      </w:pPr>
      <w:r>
        <w:rPr>
          <w:rFonts w:ascii="Arial" w:cs="Arial" w:eastAsia="Arial" w:hAnsi="Arial"/>
          <w:b/>
          <w:bCs/>
          <w:color w:val="0D9488"/>
          <w:sz w:val="22"/>
          <w:szCs w:val="22"/>
        </w:rPr>
        <w:t xml:space="preserve">Q1. </w:t>
      </w:r>
      <w:r>
        <w:rPr>
          <w:rFonts w:ascii="Arial" w:cs="Arial" w:eastAsia="Arial" w:hAnsi="Arial"/>
          <w:b/>
          <w:bCs/>
          <w:color w:val="0A1628"/>
          <w:sz w:val="22"/>
          <w:szCs w:val="22"/>
        </w:rPr>
        <w:t xml:space="preserve">What is insulin resistance?</w:t>
      </w:r>
    </w:p>
    <w:p>
      <w:pPr>
        <w:spacing w:after="60" w:before="0"/>
        <w:ind w:left="300"/>
      </w:pPr>
      <w:r>
        <w:rPr>
          <w:rFonts w:ascii="Arial" w:cs="Arial" w:eastAsia="Arial" w:hAnsi="Arial"/>
          <w:color w:val="334155"/>
          <w:sz w:val="21"/>
          <w:szCs w:val="21"/>
        </w:rPr>
        <w:t xml:space="preserve">Cells stop responding normally to insulin — they need more insulin to absorb the same glucose. The pancreas compensates by producing more, but eventually exhausts, leading to T2D.</w:t>
      </w:r>
    </w:p>
    <w:p>
      <w:pPr>
        <w:spacing w:after="40" w:before="140"/>
      </w:pPr>
      <w:r>
        <w:rPr>
          <w:rFonts w:ascii="Arial" w:cs="Arial" w:eastAsia="Arial" w:hAnsi="Arial"/>
          <w:b/>
          <w:bCs/>
          <w:color w:val="0D9488"/>
          <w:sz w:val="22"/>
          <w:szCs w:val="22"/>
        </w:rPr>
        <w:t xml:space="preserve">Q2. </w:t>
      </w:r>
      <w:r>
        <w:rPr>
          <w:rFonts w:ascii="Arial" w:cs="Arial" w:eastAsia="Arial" w:hAnsi="Arial"/>
          <w:b/>
          <w:bCs/>
          <w:color w:val="0A1628"/>
          <w:sz w:val="22"/>
          <w:szCs w:val="22"/>
        </w:rPr>
        <w:t xml:space="preserve">What is HOMA-IR and how is it calculated?</w:t>
      </w:r>
    </w:p>
    <w:p>
      <w:pPr>
        <w:spacing w:after="60" w:before="0"/>
        <w:ind w:left="300"/>
      </w:pPr>
      <w:r>
        <w:rPr>
          <w:rFonts w:ascii="Arial" w:cs="Arial" w:eastAsia="Arial" w:hAnsi="Arial"/>
          <w:color w:val="334155"/>
          <w:sz w:val="21"/>
          <w:szCs w:val="21"/>
        </w:rPr>
        <w:t xml:space="preserve">(Fasting Insulin [µU/mL] × Fasting Glucose [mg/dL]) / 405. &gt;2.9 = IR; &lt;1.5 = IS; 1.5–2.9 = Impaired-IS. Ground truth in Google's paper. Not routinely measured because insulin tests are expensive.</w:t>
      </w:r>
    </w:p>
    <w:p>
      <w:pPr>
        <w:spacing w:after="40" w:before="140"/>
      </w:pPr>
      <w:r>
        <w:rPr>
          <w:rFonts w:ascii="Arial" w:cs="Arial" w:eastAsia="Arial" w:hAnsi="Arial"/>
          <w:b/>
          <w:bCs/>
          <w:color w:val="0D9488"/>
          <w:sz w:val="22"/>
          <w:szCs w:val="22"/>
        </w:rPr>
        <w:t xml:space="preserve">Q3. </w:t>
      </w:r>
      <w:r>
        <w:rPr>
          <w:rFonts w:ascii="Arial" w:cs="Arial" w:eastAsia="Arial" w:hAnsi="Arial"/>
          <w:b/>
          <w:bCs/>
          <w:color w:val="0A1628"/>
          <w:sz w:val="22"/>
          <w:szCs w:val="22"/>
        </w:rPr>
        <w:t xml:space="preserve">Why is 42.8% of global diabetes undiagnosed?</w:t>
      </w:r>
    </w:p>
    <w:p>
      <w:pPr>
        <w:spacing w:after="60" w:before="0"/>
        <w:ind w:left="300"/>
      </w:pPr>
      <w:r>
        <w:rPr>
          <w:rFonts w:ascii="Arial" w:cs="Arial" w:eastAsia="Arial" w:hAnsi="Arial"/>
          <w:color w:val="334155"/>
          <w:sz w:val="21"/>
          <w:szCs w:val="21"/>
        </w:rPr>
        <w:t xml:space="preserve">Blood tests are invasive, expensive, and infrequent. Most people only get tested annually. Wearable AI solves this by enabling continuous passive monitoring at zero marginal cost.</w:t>
      </w:r>
    </w:p>
    <w:p>
      <w:pPr>
        <w:spacing w:after="40" w:before="140"/>
      </w:pPr>
      <w:r>
        <w:rPr>
          <w:rFonts w:ascii="Arial" w:cs="Arial" w:eastAsia="Arial" w:hAnsi="Arial"/>
          <w:b/>
          <w:bCs/>
          <w:color w:val="0D9488"/>
          <w:sz w:val="22"/>
          <w:szCs w:val="22"/>
        </w:rPr>
        <w:t xml:space="preserve">Q4. </w:t>
      </w:r>
      <w:r>
        <w:rPr>
          <w:rFonts w:ascii="Arial" w:cs="Arial" w:eastAsia="Arial" w:hAnsi="Arial"/>
          <w:b/>
          <w:bCs/>
          <w:color w:val="0A1628"/>
          <w:sz w:val="22"/>
          <w:szCs w:val="22"/>
        </w:rPr>
        <w:t xml:space="preserve">What are the three ADA diagnostic tests?</w:t>
      </w:r>
    </w:p>
    <w:p>
      <w:pPr>
        <w:spacing w:after="60" w:before="0"/>
        <w:ind w:left="300"/>
      </w:pPr>
      <w:r>
        <w:rPr>
          <w:rFonts w:ascii="Arial" w:cs="Arial" w:eastAsia="Arial" w:hAnsi="Arial"/>
          <w:color w:val="334155"/>
          <w:sz w:val="21"/>
          <w:szCs w:val="21"/>
        </w:rPr>
        <w:t xml:space="preserve">FPG (&gt;126 mg/dL), OGTT-2hr (&gt;200 mg/dL), HbA1c (&gt;6.5%). A patient is T2D if ANY test is positive. Note: HOMA-IR is NOT an ADA diagnostic criterion — it's a research tool.</w:t>
      </w:r>
    </w:p>
    <w:p>
      <w:pPr>
        <w:spacing w:after="40" w:before="140"/>
      </w:pPr>
      <w:r>
        <w:rPr>
          <w:rFonts w:ascii="Arial" w:cs="Arial" w:eastAsia="Arial" w:hAnsi="Arial"/>
          <w:b/>
          <w:bCs/>
          <w:color w:val="0D9488"/>
          <w:sz w:val="22"/>
          <w:szCs w:val="22"/>
        </w:rPr>
        <w:t xml:space="preserve">Q5. </w:t>
      </w:r>
      <w:r>
        <w:rPr>
          <w:rFonts w:ascii="Arial" w:cs="Arial" w:eastAsia="Arial" w:hAnsi="Arial"/>
          <w:b/>
          <w:bCs/>
          <w:color w:val="0A1628"/>
          <w:sz w:val="22"/>
          <w:szCs w:val="22"/>
        </w:rPr>
        <w:t xml:space="preserve">Why can't wearables directly measure blood glucose?</w:t>
      </w:r>
    </w:p>
    <w:p>
      <w:pPr>
        <w:spacing w:after="60" w:before="0"/>
        <w:ind w:left="300"/>
      </w:pPr>
      <w:r>
        <w:rPr>
          <w:rFonts w:ascii="Arial" w:cs="Arial" w:eastAsia="Arial" w:hAnsi="Arial"/>
          <w:color w:val="334155"/>
          <w:sz w:val="21"/>
          <w:szCs w:val="21"/>
        </w:rPr>
        <w:t xml:space="preserve">Glucose is a specific molecule; wearables measure physical/electrical signals (light, electrical impedance, heart rate). They detect physiological correlates of glycaemic dysfunction, not glucose itself. This is why the papers predict IR risk, not glucose levels.</w:t>
      </w:r>
    </w:p>
    <w:p>
      <w:pPr>
        <w:spacing w:after="40" w:before="140"/>
      </w:pPr>
      <w:r>
        <w:rPr>
          <w:rFonts w:ascii="Arial" w:cs="Arial" w:eastAsia="Arial" w:hAnsi="Arial"/>
          <w:b/>
          <w:bCs/>
          <w:color w:val="0D9488"/>
          <w:sz w:val="22"/>
          <w:szCs w:val="22"/>
        </w:rPr>
        <w:t xml:space="preserve">Q6. </w:t>
      </w:r>
      <w:r>
        <w:rPr>
          <w:rFonts w:ascii="Arial" w:cs="Arial" w:eastAsia="Arial" w:hAnsi="Arial"/>
          <w:b/>
          <w:bCs/>
          <w:color w:val="0A1628"/>
          <w:sz w:val="22"/>
          <w:szCs w:val="22"/>
        </w:rPr>
        <w:t xml:space="preserve">What is Cardiac Autonomic Neuropathy (CAN)?</w:t>
      </w:r>
    </w:p>
    <w:p>
      <w:pPr>
        <w:spacing w:after="60" w:before="0"/>
        <w:ind w:left="300"/>
      </w:pPr>
      <w:r>
        <w:rPr>
          <w:rFonts w:ascii="Arial" w:cs="Arial" w:eastAsia="Arial" w:hAnsi="Arial"/>
          <w:color w:val="334155"/>
          <w:sz w:val="21"/>
          <w:szCs w:val="21"/>
        </w:rPr>
        <w:t xml:space="preserve">Damage to autonomic nerves that regulate the heart, caused by chronic hyperglycaemia (glycation of nerve proteins). Manifests as ↓HRV, ↑QTc, ↑resting HR. Detectable within year 1 of T2D onset — the ECG fingerprint SweetDeep uses.</w:t>
      </w:r>
    </w:p>
    <w:p>
      <w:pPr>
        <w:spacing w:after="40" w:before="140"/>
      </w:pPr>
      <w:r>
        <w:rPr>
          <w:rFonts w:ascii="Arial" w:cs="Arial" w:eastAsia="Arial" w:hAnsi="Arial"/>
          <w:b/>
          <w:bCs/>
          <w:color w:val="0D9488"/>
          <w:sz w:val="22"/>
          <w:szCs w:val="22"/>
        </w:rPr>
        <w:t xml:space="preserve">Q7. </w:t>
      </w:r>
      <w:r>
        <w:rPr>
          <w:rFonts w:ascii="Arial" w:cs="Arial" w:eastAsia="Arial" w:hAnsi="Arial"/>
          <w:b/>
          <w:bCs/>
          <w:color w:val="0A1628"/>
          <w:sz w:val="22"/>
          <w:szCs w:val="22"/>
        </w:rPr>
        <w:t xml:space="preserve">What does HbA1c measure?</w:t>
      </w:r>
    </w:p>
    <w:p>
      <w:pPr>
        <w:spacing w:after="60" w:before="0"/>
        <w:ind w:left="300"/>
      </w:pPr>
      <w:r>
        <w:rPr>
          <w:rFonts w:ascii="Arial" w:cs="Arial" w:eastAsia="Arial" w:hAnsi="Arial"/>
          <w:color w:val="334155"/>
          <w:sz w:val="21"/>
          <w:szCs w:val="21"/>
        </w:rPr>
        <w:t xml:space="preserve">The percentage of haemoglobin with glucose attached (glycated). Reflects average blood glucose over the past 8–12 weeks. &gt;6.5% = diabetic; 5.7–6.4% = pre-diabetic. Cannot detect recent changes.</w:t>
      </w:r>
    </w:p>
    <w:p>
      <w:pPr>
        <w:spacing w:after="40" w:before="140"/>
      </w:pPr>
      <w:r>
        <w:rPr>
          <w:rFonts w:ascii="Arial" w:cs="Arial" w:eastAsia="Arial" w:hAnsi="Arial"/>
          <w:b/>
          <w:bCs/>
          <w:color w:val="0D9488"/>
          <w:sz w:val="22"/>
          <w:szCs w:val="22"/>
        </w:rPr>
        <w:t xml:space="preserve">Q8. </w:t>
      </w:r>
      <w:r>
        <w:rPr>
          <w:rFonts w:ascii="Arial" w:cs="Arial" w:eastAsia="Arial" w:hAnsi="Arial"/>
          <w:b/>
          <w:bCs/>
          <w:color w:val="0A1628"/>
          <w:sz w:val="22"/>
          <w:szCs w:val="22"/>
        </w:rPr>
        <w:t xml:space="preserve">What is the difference between T1D and T2D?</w:t>
      </w:r>
    </w:p>
    <w:p>
      <w:pPr>
        <w:spacing w:after="60" w:before="0"/>
        <w:ind w:left="300"/>
      </w:pPr>
      <w:r>
        <w:rPr>
          <w:rFonts w:ascii="Arial" w:cs="Arial" w:eastAsia="Arial" w:hAnsi="Arial"/>
          <w:color w:val="334155"/>
          <w:sz w:val="21"/>
          <w:szCs w:val="21"/>
        </w:rPr>
        <w:t xml:space="preserve">T1D: autoimmune destruction of beta cells → absolute insulin deficiency (~10% of cases). T2D: insulin resistance → relative insulin deficiency (~90% of cases). T2D is largely preventable and sometimes reversible.</w:t>
      </w:r>
    </w:p>
    <w:p>
      <w:pPr>
        <w:spacing w:after="40" w:before="140"/>
      </w:pPr>
      <w:r>
        <w:rPr>
          <w:rFonts w:ascii="Arial" w:cs="Arial" w:eastAsia="Arial" w:hAnsi="Arial"/>
          <w:b/>
          <w:bCs/>
          <w:color w:val="0D9488"/>
          <w:sz w:val="22"/>
          <w:szCs w:val="22"/>
        </w:rPr>
        <w:t xml:space="preserve">Q9. </w:t>
      </w:r>
      <w:r>
        <w:rPr>
          <w:rFonts w:ascii="Arial" w:cs="Arial" w:eastAsia="Arial" w:hAnsi="Arial"/>
          <w:b/>
          <w:bCs/>
          <w:color w:val="0A1628"/>
          <w:sz w:val="22"/>
          <w:szCs w:val="22"/>
        </w:rPr>
        <w:t xml:space="preserve">What ECG features does SweetDeep use and why?</w:t>
      </w:r>
    </w:p>
    <w:p>
      <w:pPr>
        <w:spacing w:after="60" w:before="0"/>
        <w:ind w:left="300"/>
      </w:pPr>
      <w:r>
        <w:rPr>
          <w:rFonts w:ascii="Arial" w:cs="Arial" w:eastAsia="Arial" w:hAnsi="Arial"/>
          <w:color w:val="334155"/>
          <w:sz w:val="21"/>
          <w:szCs w:val="21"/>
        </w:rPr>
        <w:t xml:space="preserve">QTc (elevated in CAN — ventricular weakness), SDNN (overall HRV — autonomic balance), RMSSD (parasympathetic activity). All three reflect the progressive autonomic nerve damage from chronic hyperglycaemia.</w:t>
      </w:r>
    </w:p>
    <w:p>
      <w:pPr>
        <w:spacing w:after="40" w:before="140"/>
      </w:pPr>
      <w:r>
        <w:rPr>
          <w:rFonts w:ascii="Arial" w:cs="Arial" w:eastAsia="Arial" w:hAnsi="Arial"/>
          <w:b/>
          <w:bCs/>
          <w:color w:val="0D9488"/>
          <w:sz w:val="22"/>
          <w:szCs w:val="22"/>
        </w:rPr>
        <w:t xml:space="preserve">Q10. </w:t>
      </w:r>
      <w:r>
        <w:rPr>
          <w:rFonts w:ascii="Arial" w:cs="Arial" w:eastAsia="Arial" w:hAnsi="Arial"/>
          <w:b/>
          <w:bCs/>
          <w:color w:val="0A1628"/>
          <w:sz w:val="22"/>
          <w:szCs w:val="22"/>
        </w:rPr>
        <w:t xml:space="preserve">Explain the QTc Fridericia correction.</w:t>
      </w:r>
    </w:p>
    <w:p>
      <w:pPr>
        <w:spacing w:after="60" w:before="0"/>
        <w:ind w:left="300"/>
      </w:pPr>
      <w:r>
        <w:rPr>
          <w:rFonts w:ascii="Arial" w:cs="Arial" w:eastAsia="Arial" w:hAnsi="Arial"/>
          <w:color w:val="334155"/>
          <w:sz w:val="21"/>
          <w:szCs w:val="21"/>
        </w:rPr>
        <w:t xml:space="preserve">QTc = QT / RR^(1/3). The cube-root correction removes the influence of heart rate on QT duration, making QTc comparable across patients with different resting heart rates. SweetDeep uses this for cross-patient comparability.</w:t>
      </w:r>
    </w:p>
    <w:p>
      <w:pPr>
        <w:spacing w:after="40" w:before="140"/>
      </w:pPr>
      <w:r>
        <w:rPr>
          <w:rFonts w:ascii="Arial" w:cs="Arial" w:eastAsia="Arial" w:hAnsi="Arial"/>
          <w:b/>
          <w:bCs/>
          <w:color w:val="0D9488"/>
          <w:sz w:val="22"/>
          <w:szCs w:val="22"/>
        </w:rPr>
        <w:t xml:space="preserve">Q11. </w:t>
      </w:r>
      <w:r>
        <w:rPr>
          <w:rFonts w:ascii="Arial" w:cs="Arial" w:eastAsia="Arial" w:hAnsi="Arial"/>
          <w:b/>
          <w:bCs/>
          <w:color w:val="0A1628"/>
          <w:sz w:val="22"/>
          <w:szCs w:val="22"/>
        </w:rPr>
        <w:t xml:space="preserve">What are TPR and CO, and why are they in SweetDeep?</w:t>
      </w:r>
    </w:p>
    <w:p>
      <w:pPr>
        <w:spacing w:after="60" w:before="0"/>
        <w:ind w:left="300"/>
      </w:pPr>
      <w:r>
        <w:rPr>
          <w:rFonts w:ascii="Arial" w:cs="Arial" w:eastAsia="Arial" w:hAnsi="Arial"/>
          <w:color w:val="334155"/>
          <w:sz w:val="21"/>
          <w:szCs w:val="21"/>
        </w:rPr>
        <w:t xml:space="preserve">Total Peripheral Resistance (resistance of all blood vessels) and Cardiac Output (blood volume pumped per minute). Diabetes causes vascular stiffness and hypertension, measurable via PPG-derived blood pressure proxies.</w:t>
      </w:r>
    </w:p>
    <w:p>
      <w:pPr>
        <w:spacing w:after="40" w:before="140"/>
      </w:pPr>
      <w:r>
        <w:rPr>
          <w:rFonts w:ascii="Arial" w:cs="Arial" w:eastAsia="Arial" w:hAnsi="Arial"/>
          <w:b/>
          <w:bCs/>
          <w:color w:val="0D9488"/>
          <w:sz w:val="22"/>
          <w:szCs w:val="22"/>
        </w:rPr>
        <w:t xml:space="preserve">Q12. </w:t>
      </w:r>
      <w:r>
        <w:rPr>
          <w:rFonts w:ascii="Arial" w:cs="Arial" w:eastAsia="Arial" w:hAnsi="Arial"/>
          <w:b/>
          <w:bCs/>
          <w:color w:val="0A1628"/>
          <w:sz w:val="22"/>
          <w:szCs w:val="22"/>
        </w:rPr>
        <w:t xml:space="preserve">Why does SweetDeep include BIA features?</w:t>
      </w:r>
    </w:p>
    <w:p>
      <w:pPr>
        <w:spacing w:after="60" w:before="0"/>
        <w:ind w:left="300"/>
      </w:pPr>
      <w:r>
        <w:rPr>
          <w:rFonts w:ascii="Arial" w:cs="Arial" w:eastAsia="Arial" w:hAnsi="Arial"/>
          <w:color w:val="334155"/>
          <w:sz w:val="21"/>
          <w:szCs w:val="21"/>
        </w:rPr>
        <w:t xml:space="preserve">BIA measures body composition (fat mass, muscle mass, metabolic rate). Obesity and metabolic dysfunction — hallmarks of T2D — alter body composition measurably. BIA is the second most important feature group (3.2% accuracy drop when removed).</w:t>
      </w:r>
    </w:p>
    <w:p>
      <w:pPr>
        <w:spacing w:after="40" w:before="140"/>
      </w:pPr>
      <w:r>
        <w:rPr>
          <w:rFonts w:ascii="Arial" w:cs="Arial" w:eastAsia="Arial" w:hAnsi="Arial"/>
          <w:b/>
          <w:bCs/>
          <w:color w:val="0D9488"/>
          <w:sz w:val="22"/>
          <w:szCs w:val="22"/>
        </w:rPr>
        <w:t xml:space="preserve">Q13. </w:t>
      </w:r>
      <w:r>
        <w:rPr>
          <w:rFonts w:ascii="Arial" w:cs="Arial" w:eastAsia="Arial" w:hAnsi="Arial"/>
          <w:b/>
          <w:bCs/>
          <w:color w:val="0A1628"/>
          <w:sz w:val="22"/>
          <w:szCs w:val="22"/>
        </w:rPr>
        <w:t xml:space="preserve">What is the sinusoidal temporal encoding and why is it novel?</w:t>
      </w:r>
    </w:p>
    <w:p>
      <w:pPr>
        <w:spacing w:after="60" w:before="0"/>
        <w:ind w:left="300"/>
      </w:pPr>
      <w:r>
        <w:rPr>
          <w:rFonts w:ascii="Arial" w:cs="Arial" w:eastAsia="Arial" w:hAnsi="Arial"/>
          <w:color w:val="334155"/>
          <w:sz w:val="21"/>
          <w:szCs w:val="21"/>
        </w:rPr>
        <w:t xml:space="preserve">Time-of-day is encoded as φ = 2πt/86400, then as 8 sinusoidal features {sin/cos(nφ), n=1..4}. Novel because: (1) first use in tabular disease classification, (2) cyclical — midnight and 23:59 produce near-identical values, (3) captures circadian variation in HRV, BP, and metabolic signals.</w:t>
      </w:r>
    </w:p>
    <w:p>
      <w:pPr>
        <w:spacing w:after="40" w:before="140"/>
      </w:pPr>
      <w:r>
        <w:rPr>
          <w:rFonts w:ascii="Arial" w:cs="Arial" w:eastAsia="Arial" w:hAnsi="Arial"/>
          <w:b/>
          <w:bCs/>
          <w:color w:val="0D9488"/>
          <w:sz w:val="22"/>
          <w:szCs w:val="22"/>
        </w:rPr>
        <w:t xml:space="preserve">Q14. </w:t>
      </w:r>
      <w:r>
        <w:rPr>
          <w:rFonts w:ascii="Arial" w:cs="Arial" w:eastAsia="Arial" w:hAnsi="Arial"/>
          <w:b/>
          <w:bCs/>
          <w:color w:val="0A1628"/>
          <w:sz w:val="22"/>
          <w:szCs w:val="22"/>
        </w:rPr>
        <w:t xml:space="preserve">Why use engineered features instead of end-to-end deep learning?</w:t>
      </w:r>
    </w:p>
    <w:p>
      <w:pPr>
        <w:spacing w:after="60" w:before="0"/>
        <w:ind w:left="300"/>
      </w:pPr>
      <w:r>
        <w:rPr>
          <w:rFonts w:ascii="Arial" w:cs="Arial" w:eastAsia="Arial" w:hAnsi="Arial"/>
          <w:color w:val="334155"/>
          <w:sz w:val="21"/>
          <w:szCs w:val="21"/>
        </w:rPr>
        <w:t xml:space="preserve">285 patients is too small for end-to-end learning on raw signals. Engineered features: (1) reduce task complexity, (2) are sensor-agnostic → cross-device generalisation, (3) are interpretable for clinicians, (4) incorporate domain knowledge that prevents learning spurious correlations.</w:t>
      </w:r>
    </w:p>
    <w:p>
      <w:pPr>
        <w:spacing w:after="40" w:before="140"/>
      </w:pPr>
      <w:r>
        <w:rPr>
          <w:rFonts w:ascii="Arial" w:cs="Arial" w:eastAsia="Arial" w:hAnsi="Arial"/>
          <w:b/>
          <w:bCs/>
          <w:color w:val="0D9488"/>
          <w:sz w:val="22"/>
          <w:szCs w:val="22"/>
        </w:rPr>
        <w:t xml:space="preserve">Q15. </w:t>
      </w:r>
      <w:r>
        <w:rPr>
          <w:rFonts w:ascii="Arial" w:cs="Arial" w:eastAsia="Arial" w:hAnsi="Arial"/>
          <w:b/>
          <w:bCs/>
          <w:color w:val="0A1628"/>
          <w:sz w:val="22"/>
          <w:szCs w:val="22"/>
        </w:rPr>
        <w:t xml:space="preserve">What is SMOTE and why was it used?</w:t>
      </w:r>
    </w:p>
    <w:p>
      <w:pPr>
        <w:spacing w:after="60" w:before="0"/>
        <w:ind w:left="300"/>
      </w:pPr>
      <w:r>
        <w:rPr>
          <w:rFonts w:ascii="Arial" w:cs="Arial" w:eastAsia="Arial" w:hAnsi="Arial"/>
          <w:color w:val="334155"/>
          <w:sz w:val="21"/>
          <w:szCs w:val="21"/>
        </w:rPr>
        <w:t xml:space="preserve">Synthetic Minority Over-Sampling Technique. Creates synthetic training samples for the minority class (T2D: 123 patients) to balance against the majority (ND: 162). Applied only to training data — never to test data. Prevents the model from defaulting to always predicting the majority class.</w:t>
      </w:r>
    </w:p>
    <w:p>
      <w:pPr>
        <w:spacing w:after="40" w:before="140"/>
      </w:pPr>
      <w:r>
        <w:rPr>
          <w:rFonts w:ascii="Arial" w:cs="Arial" w:eastAsia="Arial" w:hAnsi="Arial"/>
          <w:b/>
          <w:bCs/>
          <w:color w:val="0D9488"/>
          <w:sz w:val="22"/>
          <w:szCs w:val="22"/>
        </w:rPr>
        <w:t xml:space="preserve">Q16. </w:t>
      </w:r>
      <w:r>
        <w:rPr>
          <w:rFonts w:ascii="Arial" w:cs="Arial" w:eastAsia="Arial" w:hAnsi="Arial"/>
          <w:b/>
          <w:bCs/>
          <w:color w:val="0A1628"/>
          <w:sz w:val="22"/>
          <w:szCs w:val="22"/>
        </w:rPr>
        <w:t xml:space="preserve">What is inter-patient vs intra-patient cross-validation?</w:t>
      </w:r>
    </w:p>
    <w:p>
      <w:pPr>
        <w:spacing w:after="60" w:before="0"/>
        <w:ind w:left="300"/>
      </w:pPr>
      <w:r>
        <w:rPr>
          <w:rFonts w:ascii="Arial" w:cs="Arial" w:eastAsia="Arial" w:hAnsi="Arial"/>
          <w:color w:val="334155"/>
          <w:sz w:val="21"/>
          <w:szCs w:val="21"/>
        </w:rPr>
        <w:t xml:space="preserve">Inter-patient: no patient's recordings appear in both training and test sets. Intra-patient: the same patient's data appears in both. Intra-patient creates data leakage — patient-specific physiological patterns 'leak' to the test set, inflating accuracy by 10–20%. All rigorous wearable AI studies must use inter-patient splits.</w:t>
      </w:r>
    </w:p>
    <w:p>
      <w:pPr>
        <w:spacing w:after="40" w:before="140"/>
      </w:pPr>
      <w:r>
        <w:rPr>
          <w:rFonts w:ascii="Arial" w:cs="Arial" w:eastAsia="Arial" w:hAnsi="Arial"/>
          <w:b/>
          <w:bCs/>
          <w:color w:val="0D9488"/>
          <w:sz w:val="22"/>
          <w:szCs w:val="22"/>
        </w:rPr>
        <w:t xml:space="preserve">Q17. </w:t>
      </w:r>
      <w:r>
        <w:rPr>
          <w:rFonts w:ascii="Arial" w:cs="Arial" w:eastAsia="Arial" w:hAnsi="Arial"/>
          <w:b/>
          <w:bCs/>
          <w:color w:val="0A1628"/>
          <w:sz w:val="22"/>
          <w:szCs w:val="22"/>
        </w:rPr>
        <w:t xml:space="preserve">What is Expected Calibration Error (ECE)?</w:t>
      </w:r>
    </w:p>
    <w:p>
      <w:pPr>
        <w:spacing w:after="60" w:before="0"/>
        <w:ind w:left="300"/>
      </w:pPr>
      <w:r>
        <w:rPr>
          <w:rFonts w:ascii="Arial" w:cs="Arial" w:eastAsia="Arial" w:hAnsi="Arial"/>
          <w:color w:val="334155"/>
          <w:sz w:val="21"/>
          <w:szCs w:val="21"/>
        </w:rPr>
        <w:t xml:space="preserve">ECE = Σ_b (|b|/|D|) × |p̄_b − p̂_b|. Measures the average gap between predicted probabilities and actual outcome frequencies across 10 bins. SweetDeep achieves 5.5% — well below the 10% 'well-calibrated' threshold. Clinically important: physicians need to trust probabilities, not just binary labels.</w:t>
      </w:r>
    </w:p>
    <w:p>
      <w:pPr>
        <w:spacing w:after="40" w:before="140"/>
      </w:pPr>
      <w:r>
        <w:rPr>
          <w:rFonts w:ascii="Arial" w:cs="Arial" w:eastAsia="Arial" w:hAnsi="Arial"/>
          <w:b/>
          <w:bCs/>
          <w:color w:val="0D9488"/>
          <w:sz w:val="22"/>
          <w:szCs w:val="22"/>
        </w:rPr>
        <w:t xml:space="preserve">Q18. </w:t>
      </w:r>
      <w:r>
        <w:rPr>
          <w:rFonts w:ascii="Arial" w:cs="Arial" w:eastAsia="Arial" w:hAnsi="Arial"/>
          <w:b/>
          <w:bCs/>
          <w:color w:val="0A1628"/>
          <w:sz w:val="22"/>
          <w:szCs w:val="22"/>
        </w:rPr>
        <w:t xml:space="preserve">Why does SweetDeep have only 2,990 parameters?</w:t>
      </w:r>
    </w:p>
    <w:p>
      <w:pPr>
        <w:spacing w:after="60" w:before="0"/>
        <w:ind w:left="300"/>
      </w:pPr>
      <w:r>
        <w:rPr>
          <w:rFonts w:ascii="Arial" w:cs="Arial" w:eastAsia="Arial" w:hAnsi="Arial"/>
          <w:color w:val="334155"/>
          <w:sz w:val="21"/>
          <w:szCs w:val="21"/>
        </w:rPr>
        <w:t xml:space="preserve">Two hidden layers with 64 and 8 neurons respectively: 35×64 + 64 + 64×8 + 8 + 8×2 + 2 = 2,990. Deliberately tiny: (1) avoids overconfidence (large networks are poorly calibrated), (2) edge deployable, (3) sufficient because input is 35 expert features, not raw signals.</w:t>
      </w:r>
    </w:p>
    <w:p>
      <w:pPr>
        <w:spacing w:after="40" w:before="140"/>
      </w:pPr>
      <w:r>
        <w:rPr>
          <w:rFonts w:ascii="Arial" w:cs="Arial" w:eastAsia="Arial" w:hAnsi="Arial"/>
          <w:b/>
          <w:bCs/>
          <w:color w:val="0D9488"/>
          <w:sz w:val="22"/>
          <w:szCs w:val="22"/>
        </w:rPr>
        <w:t xml:space="preserve">Q19. </w:t>
      </w:r>
      <w:r>
        <w:rPr>
          <w:rFonts w:ascii="Arial" w:cs="Arial" w:eastAsia="Arial" w:hAnsi="Arial"/>
          <w:b/>
          <w:bCs/>
          <w:color w:val="0A1628"/>
          <w:sz w:val="22"/>
          <w:szCs w:val="22"/>
        </w:rPr>
        <w:t xml:space="preserve">What is the abstention rule in SweetDeep?</w:t>
      </w:r>
    </w:p>
    <w:p>
      <w:pPr>
        <w:spacing w:after="60" w:before="0"/>
        <w:ind w:left="300"/>
      </w:pPr>
      <w:r>
        <w:rPr>
          <w:rFonts w:ascii="Arial" w:cs="Arial" w:eastAsia="Arial" w:hAnsi="Arial"/>
          <w:color w:val="334155"/>
          <w:sz w:val="21"/>
          <w:szCs w:val="21"/>
        </w:rPr>
        <w:t xml:space="preserve">|p̂_X − 0.5| &lt; 0.08 → report 'Don't Know'. Applied to patients with predicted probability between 42% and 58%. Abstains on &lt;10% of patients. Requires no retraining. With abstention: accuracy rises to 84.5% on the covered 90.5% of patients.</w:t>
      </w:r>
    </w:p>
    <w:p>
      <w:pPr>
        <w:spacing w:after="40" w:before="140"/>
      </w:pPr>
      <w:r>
        <w:rPr>
          <w:rFonts w:ascii="Arial" w:cs="Arial" w:eastAsia="Arial" w:hAnsi="Arial"/>
          <w:b/>
          <w:bCs/>
          <w:color w:val="0D9488"/>
          <w:sz w:val="22"/>
          <w:szCs w:val="22"/>
        </w:rPr>
        <w:t xml:space="preserve">Q20. </w:t>
      </w:r>
      <w:r>
        <w:rPr>
          <w:rFonts w:ascii="Arial" w:cs="Arial" w:eastAsia="Arial" w:hAnsi="Arial"/>
          <w:b/>
          <w:bCs/>
          <w:color w:val="0A1628"/>
          <w:sz w:val="22"/>
          <w:szCs w:val="22"/>
        </w:rPr>
        <w:t xml:space="preserve">Why does patient-level accuracy exceed instance-level accuracy?</w:t>
      </w:r>
    </w:p>
    <w:p>
      <w:pPr>
        <w:spacing w:after="60" w:before="0"/>
        <w:ind w:left="300"/>
      </w:pPr>
      <w:r>
        <w:rPr>
          <w:rFonts w:ascii="Arial" w:cs="Arial" w:eastAsia="Arial" w:hAnsi="Arial"/>
          <w:color w:val="334155"/>
          <w:sz w:val="21"/>
          <w:szCs w:val="21"/>
        </w:rPr>
        <w:t xml:space="preserve">Patient-level = average of ~20 instance probabilities. Random noise in individual recordings cancels out. True signal accumulates. Equivalent to Bayesian updating across 20 independent observations. Patient-level: 82.5% vs instance-level: 80.9%.</w:t>
      </w:r>
    </w:p>
    <w:p>
      <w:pPr>
        <w:spacing w:after="40" w:before="140"/>
      </w:pPr>
      <w:r>
        <w:rPr>
          <w:rFonts w:ascii="Arial" w:cs="Arial" w:eastAsia="Arial" w:hAnsi="Arial"/>
          <w:b/>
          <w:bCs/>
          <w:color w:val="0D9488"/>
          <w:sz w:val="22"/>
          <w:szCs w:val="22"/>
        </w:rPr>
        <w:t xml:space="preserve">Q21. </w:t>
      </w:r>
      <w:r>
        <w:rPr>
          <w:rFonts w:ascii="Arial" w:cs="Arial" w:eastAsia="Arial" w:hAnsi="Arial"/>
          <w:b/>
          <w:bCs/>
          <w:color w:val="0A1628"/>
          <w:sz w:val="22"/>
          <w:szCs w:val="22"/>
        </w:rPr>
        <w:t xml:space="preserve">What is HOMA-IR's limitation as ground truth?</w:t>
      </w:r>
    </w:p>
    <w:p>
      <w:pPr>
        <w:spacing w:after="60" w:before="0"/>
        <w:ind w:left="300"/>
      </w:pPr>
      <w:r>
        <w:rPr>
          <w:rFonts w:ascii="Arial" w:cs="Arial" w:eastAsia="Arial" w:hAnsi="Arial"/>
          <w:color w:val="334155"/>
          <w:sz w:val="21"/>
          <w:szCs w:val="21"/>
        </w:rPr>
        <w:t xml:space="preserve">23.5% coefficient of variation between repeated measurements. Insulin immunoassay standardisation varies between labs. SweetDeep used a single lab (Quest Diagnostics) across all participants — minimising this limitation.</w:t>
      </w:r>
    </w:p>
    <w:p>
      <w:pPr>
        <w:spacing w:after="40" w:before="140"/>
      </w:pPr>
      <w:r>
        <w:rPr>
          <w:rFonts w:ascii="Arial" w:cs="Arial" w:eastAsia="Arial" w:hAnsi="Arial"/>
          <w:b/>
          <w:bCs/>
          <w:color w:val="0D9488"/>
          <w:sz w:val="22"/>
          <w:szCs w:val="22"/>
        </w:rPr>
        <w:t xml:space="preserve">Q22. </w:t>
      </w:r>
      <w:r>
        <w:rPr>
          <w:rFonts w:ascii="Arial" w:cs="Arial" w:eastAsia="Arial" w:hAnsi="Arial"/>
          <w:b/>
          <w:bCs/>
          <w:color w:val="0A1628"/>
          <w:sz w:val="22"/>
          <w:szCs w:val="22"/>
        </w:rPr>
        <w:t xml:space="preserve">What is the Masked Autoencoder (MAE) in Google's paper?</w:t>
      </w:r>
    </w:p>
    <w:p>
      <w:pPr>
        <w:spacing w:after="60" w:before="0"/>
        <w:ind w:left="300"/>
      </w:pPr>
      <w:r>
        <w:rPr>
          <w:rFonts w:ascii="Arial" w:cs="Arial" w:eastAsia="Arial" w:hAnsi="Arial"/>
          <w:color w:val="334155"/>
          <w:sz w:val="21"/>
          <w:szCs w:val="21"/>
        </w:rPr>
        <w:t xml:space="preserve">A self-supervised architecture that learns feature representations without labels. Randomly masks 75% of input features, then trains to reconstruct the full input. Forces the encoder to learn rich cross-feature relationships. Frozen encoder then feeds XGBoost for HOMA-IR regression.</w:t>
      </w:r>
    </w:p>
    <w:p>
      <w:pPr>
        <w:spacing w:after="40" w:before="140"/>
      </w:pPr>
      <w:r>
        <w:rPr>
          <w:rFonts w:ascii="Arial" w:cs="Arial" w:eastAsia="Arial" w:hAnsi="Arial"/>
          <w:b/>
          <w:bCs/>
          <w:color w:val="0D9488"/>
          <w:sz w:val="22"/>
          <w:szCs w:val="22"/>
        </w:rPr>
        <w:t xml:space="preserve">Q23. </w:t>
      </w:r>
      <w:r>
        <w:rPr>
          <w:rFonts w:ascii="Arial" w:cs="Arial" w:eastAsia="Arial" w:hAnsi="Arial"/>
          <w:b/>
          <w:bCs/>
          <w:color w:val="0A1628"/>
          <w:sz w:val="22"/>
          <w:szCs w:val="22"/>
        </w:rPr>
        <w:t xml:space="preserve">Why 75% masking in the MAE?</w:t>
      </w:r>
    </w:p>
    <w:p>
      <w:pPr>
        <w:spacing w:after="60" w:before="0"/>
        <w:ind w:left="300"/>
      </w:pPr>
      <w:r>
        <w:rPr>
          <w:rFonts w:ascii="Arial" w:cs="Arial" w:eastAsia="Arial" w:hAnsi="Arial"/>
          <w:color w:val="334155"/>
          <w:sz w:val="21"/>
          <w:szCs w:val="21"/>
        </w:rPr>
        <w:t xml:space="preserve">Found optimal via grid search. Higher masking = harder task = richer learned representations. He et al. (2022) found 75% optimal for vision MAEs; this paper validated the same rate for tabular health data.</w:t>
      </w:r>
    </w:p>
    <w:p>
      <w:pPr>
        <w:spacing w:after="40" w:before="140"/>
      </w:pPr>
      <w:r>
        <w:rPr>
          <w:rFonts w:ascii="Arial" w:cs="Arial" w:eastAsia="Arial" w:hAnsi="Arial"/>
          <w:b/>
          <w:bCs/>
          <w:color w:val="0D9488"/>
          <w:sz w:val="22"/>
          <w:szCs w:val="22"/>
        </w:rPr>
        <w:t xml:space="preserve">Q24. </w:t>
      </w:r>
      <w:r>
        <w:rPr>
          <w:rFonts w:ascii="Arial" w:cs="Arial" w:eastAsia="Arial" w:hAnsi="Arial"/>
          <w:b/>
          <w:bCs/>
          <w:color w:val="0A1628"/>
          <w:sz w:val="22"/>
          <w:szCs w:val="22"/>
        </w:rPr>
        <w:t xml:space="preserve">What is SHAP and why is it important?</w:t>
      </w:r>
    </w:p>
    <w:p>
      <w:pPr>
        <w:spacing w:after="60" w:before="0"/>
        <w:ind w:left="300"/>
      </w:pPr>
      <w:r>
        <w:rPr>
          <w:rFonts w:ascii="Arial" w:cs="Arial" w:eastAsia="Arial" w:hAnsi="Arial"/>
          <w:color w:val="334155"/>
          <w:sz w:val="21"/>
          <w:szCs w:val="21"/>
        </w:rPr>
        <w:t xml:space="preserve">SHapley Additive exPlanations — assigns each feature a contribution score to each individual prediction (not just overall model importance). Essential for clinical explainability: a physician can see 'BMI contributed +0.8 HOMA-IR units to this prediction'. Used in Google's paper for interpretability validation.</w:t>
      </w:r>
    </w:p>
    <w:p>
      <w:pPr>
        <w:spacing w:after="40" w:before="140"/>
      </w:pPr>
      <w:r>
        <w:rPr>
          <w:rFonts w:ascii="Arial" w:cs="Arial" w:eastAsia="Arial" w:hAnsi="Arial"/>
          <w:b/>
          <w:bCs/>
          <w:color w:val="0D9488"/>
          <w:sz w:val="22"/>
          <w:szCs w:val="22"/>
        </w:rPr>
        <w:t xml:space="preserve">Q25. </w:t>
      </w:r>
      <w:r>
        <w:rPr>
          <w:rFonts w:ascii="Arial" w:cs="Arial" w:eastAsia="Arial" w:hAnsi="Arial"/>
          <w:b/>
          <w:bCs/>
          <w:color w:val="0A1628"/>
          <w:sz w:val="22"/>
          <w:szCs w:val="22"/>
        </w:rPr>
        <w:t xml:space="preserve">Why did adding fasting glucose cause such a large improvement in Google's model?</w:t>
      </w:r>
    </w:p>
    <w:p>
      <w:pPr>
        <w:spacing w:after="60" w:before="0"/>
        <w:ind w:left="300"/>
      </w:pPr>
      <w:r>
        <w:rPr>
          <w:rFonts w:ascii="Arial" w:cs="Arial" w:eastAsia="Arial" w:hAnsi="Arial"/>
          <w:color w:val="334155"/>
          <w:sz w:val="21"/>
          <w:szCs w:val="21"/>
        </w:rPr>
        <w:t xml:space="preserve">R² almost doubled from 0.22 to 0.44. Fasting glucose is directly related to HOMA-IR (HOMA-IR formula includes glucose). It provides an orthogonal dimension to wearable lifestyle signals — wearables capture fitness/behaviour, glucose captures current metabolic state.</w:t>
      </w:r>
    </w:p>
    <w:p>
      <w:pPr>
        <w:spacing w:after="40" w:before="140"/>
      </w:pPr>
      <w:r>
        <w:rPr>
          <w:rFonts w:ascii="Arial" w:cs="Arial" w:eastAsia="Arial" w:hAnsi="Arial"/>
          <w:b/>
          <w:bCs/>
          <w:color w:val="0D9488"/>
          <w:sz w:val="22"/>
          <w:szCs w:val="22"/>
        </w:rPr>
        <w:t xml:space="preserve">Q26. </w:t>
      </w:r>
      <w:r>
        <w:rPr>
          <w:rFonts w:ascii="Arial" w:cs="Arial" w:eastAsia="Arial" w:hAnsi="Arial"/>
          <w:b/>
          <w:bCs/>
          <w:color w:val="0A1628"/>
          <w:sz w:val="22"/>
          <w:szCs w:val="22"/>
        </w:rPr>
        <w:t xml:space="preserve">What is adjusted specificity and why is it used in Google's paper?</w:t>
      </w:r>
    </w:p>
    <w:p>
      <w:pPr>
        <w:spacing w:after="60" w:before="0"/>
        <w:ind w:left="300"/>
      </w:pPr>
      <w:r>
        <w:rPr>
          <w:rFonts w:ascii="Arial" w:cs="Arial" w:eastAsia="Arial" w:hAnsi="Arial"/>
          <w:color w:val="334155"/>
          <w:sz w:val="21"/>
          <w:szCs w:val="21"/>
        </w:rPr>
        <w:t xml:space="preserve">In 3-class classification (IS/Impaired-IS/IR), adjusted specificity measures false positives only at the extreme healthy end — cases predicted as IR who are actually IS (not Impaired-IS). Rationale: predicting Impaired-IS as IR is less harmful (they're progressing anyway) than predicting IS as IR.</w:t>
      </w:r>
    </w:p>
    <w:p>
      <w:pPr>
        <w:spacing w:after="40" w:before="140"/>
      </w:pPr>
      <w:r>
        <w:rPr>
          <w:rFonts w:ascii="Arial" w:cs="Arial" w:eastAsia="Arial" w:hAnsi="Arial"/>
          <w:b/>
          <w:bCs/>
          <w:color w:val="0D9488"/>
          <w:sz w:val="22"/>
          <w:szCs w:val="22"/>
        </w:rPr>
        <w:t xml:space="preserve">Q27. </w:t>
      </w:r>
      <w:r>
        <w:rPr>
          <w:rFonts w:ascii="Arial" w:cs="Arial" w:eastAsia="Arial" w:hAnsi="Arial"/>
          <w:b/>
          <w:bCs/>
          <w:color w:val="0A1628"/>
          <w:sz w:val="22"/>
          <w:szCs w:val="22"/>
        </w:rPr>
        <w:t xml:space="preserve">Why did the sedentary + obese subgroup show the best performance?</w:t>
      </w:r>
    </w:p>
    <w:p>
      <w:pPr>
        <w:spacing w:after="60" w:before="0"/>
        <w:ind w:left="300"/>
      </w:pPr>
      <w:r>
        <w:rPr>
          <w:rFonts w:ascii="Arial" w:cs="Arial" w:eastAsia="Arial" w:hAnsi="Arial"/>
          <w:color w:val="334155"/>
          <w:sz w:val="21"/>
          <w:szCs w:val="21"/>
        </w:rPr>
        <w:t xml:space="preserve">These individuals have the most extreme physiological signals (highest RHR, lowest HRV, fewest steps, highest BMI). More extreme values = clearer separation from normal → model is more confident and accurate. They are also the highest-risk group clinically.</w:t>
      </w:r>
    </w:p>
    <w:p>
      <w:pPr>
        <w:spacing w:after="40" w:before="140"/>
      </w:pPr>
      <w:r>
        <w:rPr>
          <w:rFonts w:ascii="Arial" w:cs="Arial" w:eastAsia="Arial" w:hAnsi="Arial"/>
          <w:b/>
          <w:bCs/>
          <w:color w:val="0D9488"/>
          <w:sz w:val="22"/>
          <w:szCs w:val="22"/>
        </w:rPr>
        <w:t xml:space="preserve">Q28. </w:t>
      </w:r>
      <w:r>
        <w:rPr>
          <w:rFonts w:ascii="Arial" w:cs="Arial" w:eastAsia="Arial" w:hAnsi="Arial"/>
          <w:b/>
          <w:bCs/>
          <w:color w:val="0A1628"/>
          <w:sz w:val="22"/>
          <w:szCs w:val="22"/>
        </w:rPr>
        <w:t xml:space="preserve">What is a Decentralised Clinical Trial (DCT)?</w:t>
      </w:r>
    </w:p>
    <w:p>
      <w:pPr>
        <w:spacing w:after="60" w:before="0"/>
        <w:ind w:left="300"/>
      </w:pPr>
      <w:r>
        <w:rPr>
          <w:rFonts w:ascii="Arial" w:cs="Arial" w:eastAsia="Arial" w:hAnsi="Arial"/>
          <w:color w:val="334155"/>
          <w:sz w:val="21"/>
          <w:szCs w:val="21"/>
        </w:rPr>
        <w:t xml:space="preserve">A study where participants collect data at home using consumer devices, rather than visiting a clinic. SweetDeep used a DCT design — major advantage: higher ecological validity. Prior art used lab settings; SweetDeep is the first ECG/PPG/BIA diabetes classification in free-living conditions.</w:t>
      </w:r>
    </w:p>
    <w:p>
      <w:pPr>
        <w:spacing w:after="40" w:before="140"/>
      </w:pPr>
      <w:r>
        <w:rPr>
          <w:rFonts w:ascii="Arial" w:cs="Arial" w:eastAsia="Arial" w:hAnsi="Arial"/>
          <w:b/>
          <w:bCs/>
          <w:color w:val="0D9488"/>
          <w:sz w:val="22"/>
          <w:szCs w:val="22"/>
        </w:rPr>
        <w:t xml:space="preserve">Q29. </w:t>
      </w:r>
      <w:r>
        <w:rPr>
          <w:rFonts w:ascii="Arial" w:cs="Arial" w:eastAsia="Arial" w:hAnsi="Arial"/>
          <w:b/>
          <w:bCs/>
          <w:color w:val="0A1628"/>
          <w:sz w:val="22"/>
          <w:szCs w:val="22"/>
        </w:rPr>
        <w:t xml:space="preserve">What quality control steps did SweetDeep apply to ECG signals?</w:t>
      </w:r>
    </w:p>
    <w:p>
      <w:pPr>
        <w:spacing w:after="60" w:before="0"/>
        <w:ind w:left="300"/>
      </w:pPr>
      <w:r>
        <w:rPr>
          <w:rFonts w:ascii="Arial" w:cs="Arial" w:eastAsia="Arial" w:hAnsi="Arial"/>
          <w:color w:val="334155"/>
          <w:sz w:val="21"/>
          <w:szCs w:val="21"/>
        </w:rPr>
        <w:t xml:space="preserve">Peak-finding to align heartbeats by R-peaks → wavelet-based delineation of Q, T points → outlier-based and clinical threshold filtering on QT and RR intervals. If &lt;10% of heartbeats remain after QC, the entire recording is discarded. PPG and BIA undergo similar quality screening.</w:t>
      </w:r>
    </w:p>
    <w:p>
      <w:pPr>
        <w:spacing w:after="40" w:before="140"/>
      </w:pPr>
      <w:r>
        <w:rPr>
          <w:rFonts w:ascii="Arial" w:cs="Arial" w:eastAsia="Arial" w:hAnsi="Arial"/>
          <w:b/>
          <w:bCs/>
          <w:color w:val="0D9488"/>
          <w:sz w:val="22"/>
          <w:szCs w:val="22"/>
        </w:rPr>
        <w:t xml:space="preserve">Q30. </w:t>
      </w:r>
      <w:r>
        <w:rPr>
          <w:rFonts w:ascii="Arial" w:cs="Arial" w:eastAsia="Arial" w:hAnsi="Arial"/>
          <w:b/>
          <w:bCs/>
          <w:color w:val="0A1628"/>
          <w:sz w:val="22"/>
          <w:szCs w:val="22"/>
        </w:rPr>
        <w:t xml:space="preserve">Why did larger SweetDeep models not improve accuracy?</w:t>
      </w:r>
    </w:p>
    <w:p>
      <w:pPr>
        <w:spacing w:after="60" w:before="0"/>
        <w:ind w:left="300"/>
      </w:pPr>
      <w:r>
        <w:rPr>
          <w:rFonts w:ascii="Arial" w:cs="Arial" w:eastAsia="Arial" w:hAnsi="Arial"/>
          <w:color w:val="334155"/>
          <w:sz w:val="21"/>
          <w:szCs w:val="21"/>
        </w:rPr>
        <w:t xml:space="preserve">The ablation shows 'Wider + Deeper' networks have lower accuracy and higher ECE than baseline. With only 285 patients, larger models overfit without compensatory gains. Also, larger networks are inherently more overconfident (well-established in calibration literature: Guo et al. 2017).</w:t>
      </w:r>
    </w:p>
    <w:p>
      <w:pPr>
        <w:spacing w:after="40" w:before="140"/>
      </w:pPr>
      <w:r>
        <w:rPr>
          <w:rFonts w:ascii="Arial" w:cs="Arial" w:eastAsia="Arial" w:hAnsi="Arial"/>
          <w:b/>
          <w:bCs/>
          <w:color w:val="0D9488"/>
          <w:sz w:val="22"/>
          <w:szCs w:val="22"/>
        </w:rPr>
        <w:t xml:space="preserve">Q31. </w:t>
      </w:r>
      <w:r>
        <w:rPr>
          <w:rFonts w:ascii="Arial" w:cs="Arial" w:eastAsia="Arial" w:hAnsi="Arial"/>
          <w:b/>
          <w:bCs/>
          <w:color w:val="0A1628"/>
          <w:sz w:val="22"/>
          <w:szCs w:val="22"/>
        </w:rPr>
        <w:t xml:space="preserve">How does Google's paper handle different wearable window sizes?</w:t>
      </w:r>
    </w:p>
    <w:p>
      <w:pPr>
        <w:spacing w:after="60" w:before="0"/>
        <w:ind w:left="300"/>
      </w:pPr>
      <w:r>
        <w:rPr>
          <w:rFonts w:ascii="Arial" w:cs="Arial" w:eastAsia="Arial" w:hAnsi="Arial"/>
          <w:color w:val="334155"/>
          <w:sz w:val="21"/>
          <w:szCs w:val="21"/>
        </w:rPr>
        <w:t xml:space="preserve">Tested 7, 14, 30, 60, 90, 120-day windows. Performance plateaued after 30 days. 7 days chosen as default: competitive accuracy + earlier intervention opportunity + more practical for users.</w:t>
      </w:r>
    </w:p>
    <w:p>
      <w:pPr>
        <w:spacing w:after="40" w:before="140"/>
      </w:pPr>
      <w:r>
        <w:rPr>
          <w:rFonts w:ascii="Arial" w:cs="Arial" w:eastAsia="Arial" w:hAnsi="Arial"/>
          <w:b/>
          <w:bCs/>
          <w:color w:val="0D9488"/>
          <w:sz w:val="22"/>
          <w:szCs w:val="22"/>
        </w:rPr>
        <w:t xml:space="preserve">Q32. </w:t>
      </w:r>
      <w:r>
        <w:rPr>
          <w:rFonts w:ascii="Arial" w:cs="Arial" w:eastAsia="Arial" w:hAnsi="Arial"/>
          <w:b/>
          <w:bCs/>
          <w:color w:val="0A1628"/>
          <w:sz w:val="22"/>
          <w:szCs w:val="22"/>
        </w:rPr>
        <w:t xml:space="preserve">What is the ReAct framework for the LLM agent?</w:t>
      </w:r>
    </w:p>
    <w:p>
      <w:pPr>
        <w:spacing w:after="60" w:before="0"/>
        <w:ind w:left="300"/>
      </w:pPr>
      <w:r>
        <w:rPr>
          <w:rFonts w:ascii="Arial" w:cs="Arial" w:eastAsia="Arial" w:hAnsi="Arial"/>
          <w:color w:val="334155"/>
          <w:sz w:val="21"/>
          <w:szCs w:val="21"/>
        </w:rPr>
        <w:t xml:space="preserve">Reasoning + Acting. The agent alternates between: THOUGHT (reason about query), ACTION (call a tool: ML model/web search/calculator), OBSERVE (process tool output), OUTPUT (generate response). Grounds answers in real calculations, not just LLM knowledge. Built on OneTwo framework with Gemini 2.0 Flash.</w:t>
      </w:r>
    </w:p>
    <w:p>
      <w:pPr>
        <w:spacing w:after="40" w:before="140"/>
      </w:pPr>
      <w:r>
        <w:rPr>
          <w:rFonts w:ascii="Arial" w:cs="Arial" w:eastAsia="Arial" w:hAnsi="Arial"/>
          <w:b/>
          <w:bCs/>
          <w:color w:val="0D9488"/>
          <w:sz w:val="22"/>
          <w:szCs w:val="22"/>
        </w:rPr>
        <w:t xml:space="preserve">Q33. </w:t>
      </w:r>
      <w:r>
        <w:rPr>
          <w:rFonts w:ascii="Arial" w:cs="Arial" w:eastAsia="Arial" w:hAnsi="Arial"/>
          <w:b/>
          <w:bCs/>
          <w:color w:val="0A1628"/>
          <w:sz w:val="22"/>
          <w:szCs w:val="22"/>
        </w:rPr>
        <w:t xml:space="preserve">Why are pre-diabetic (PD) patients excluded from SweetDeep training?</w:t>
      </w:r>
    </w:p>
    <w:p>
      <w:pPr>
        <w:spacing w:after="60" w:before="0"/>
        <w:ind w:left="300"/>
      </w:pPr>
      <w:r>
        <w:rPr>
          <w:rFonts w:ascii="Arial" w:cs="Arial" w:eastAsia="Arial" w:hAnsi="Arial"/>
          <w:color w:val="334155"/>
          <w:sz w:val="21"/>
          <w:szCs w:val="21"/>
        </w:rPr>
        <w:t xml:space="preserve">To focus the binary classification on ND vs T2D. PD patients show a bimodal probability distribution — some classified as ND, some as T2D, reflecting their intermediate physiological state. They are preserved for a future three-class model extension.</w:t>
      </w:r>
    </w:p>
    <w:p>
      <w:pPr>
        <w:spacing w:after="40" w:before="140"/>
      </w:pPr>
      <w:r>
        <w:rPr>
          <w:rFonts w:ascii="Arial" w:cs="Arial" w:eastAsia="Arial" w:hAnsi="Arial"/>
          <w:b/>
          <w:bCs/>
          <w:color w:val="0D9488"/>
          <w:sz w:val="22"/>
          <w:szCs w:val="22"/>
        </w:rPr>
        <w:t xml:space="preserve">Q34. </w:t>
      </w:r>
      <w:r>
        <w:rPr>
          <w:rFonts w:ascii="Arial" w:cs="Arial" w:eastAsia="Arial" w:hAnsi="Arial"/>
          <w:b/>
          <w:bCs/>
          <w:color w:val="0A1628"/>
          <w:sz w:val="22"/>
          <w:szCs w:val="22"/>
        </w:rPr>
        <w:t xml:space="preserve">What is the difference between AUROC and accuracy?</w:t>
      </w:r>
    </w:p>
    <w:p>
      <w:pPr>
        <w:spacing w:after="60" w:before="0"/>
        <w:ind w:left="300"/>
      </w:pPr>
      <w:r>
        <w:rPr>
          <w:rFonts w:ascii="Arial" w:cs="Arial" w:eastAsia="Arial" w:hAnsi="Arial"/>
          <w:color w:val="334155"/>
          <w:sz w:val="21"/>
          <w:szCs w:val="21"/>
        </w:rPr>
        <w:t xml:space="preserve">AUROC measures discriminability across all thresholds — how well does the model rank positive cases above negative ones? Accuracy is at a fixed threshold (typically 0.5). AUROC is more informative when class balance varies. Google paper reports AUROC; SweetDeep reports accuracy + F1.</w:t>
      </w:r>
    </w:p>
    <w:p>
      <w:pPr>
        <w:spacing w:after="40" w:before="140"/>
      </w:pPr>
      <w:r>
        <w:rPr>
          <w:rFonts w:ascii="Arial" w:cs="Arial" w:eastAsia="Arial" w:hAnsi="Arial"/>
          <w:b/>
          <w:bCs/>
          <w:color w:val="0D9488"/>
          <w:sz w:val="22"/>
          <w:szCs w:val="22"/>
        </w:rPr>
        <w:t xml:space="preserve">Q35. </w:t>
      </w:r>
      <w:r>
        <w:rPr>
          <w:rFonts w:ascii="Arial" w:cs="Arial" w:eastAsia="Arial" w:hAnsi="Arial"/>
          <w:b/>
          <w:bCs/>
          <w:color w:val="0A1628"/>
          <w:sz w:val="22"/>
          <w:szCs w:val="22"/>
        </w:rPr>
        <w:t xml:space="preserve">Why is macro-F1 preferred over accuracy in SweetDeep?</w:t>
      </w:r>
    </w:p>
    <w:p>
      <w:pPr>
        <w:spacing w:after="60" w:before="0"/>
        <w:ind w:left="300"/>
      </w:pPr>
      <w:r>
        <w:rPr>
          <w:rFonts w:ascii="Arial" w:cs="Arial" w:eastAsia="Arial" w:hAnsi="Arial"/>
          <w:color w:val="334155"/>
          <w:sz w:val="21"/>
          <w:szCs w:val="21"/>
        </w:rPr>
        <w:t xml:space="preserve">Accuracy is misleading under class imbalance. A trivial model predicting 'always ND' achieves 57% accuracy (162/285) but zero sensitivity. Macro-F1 averages F1 across both classes, penalising failure on either class equally.</w:t>
      </w:r>
    </w:p>
    <w:p>
      <w:pPr>
        <w:spacing w:after="40" w:before="140"/>
      </w:pPr>
      <w:r>
        <w:rPr>
          <w:rFonts w:ascii="Arial" w:cs="Arial" w:eastAsia="Arial" w:hAnsi="Arial"/>
          <w:b/>
          <w:bCs/>
          <w:color w:val="0D9488"/>
          <w:sz w:val="22"/>
          <w:szCs w:val="22"/>
        </w:rPr>
        <w:t xml:space="preserve">Q36. </w:t>
      </w:r>
      <w:r>
        <w:rPr>
          <w:rFonts w:ascii="Arial" w:cs="Arial" w:eastAsia="Arial" w:hAnsi="Arial"/>
          <w:b/>
          <w:bCs/>
          <w:color w:val="0A1628"/>
          <w:sz w:val="22"/>
          <w:szCs w:val="22"/>
        </w:rPr>
        <w:t xml:space="preserve">What is the euglycaemic clamp and why isn't it used?</w:t>
      </w:r>
    </w:p>
    <w:p>
      <w:pPr>
        <w:spacing w:after="60" w:before="0"/>
        <w:ind w:left="300"/>
      </w:pPr>
      <w:r>
        <w:rPr>
          <w:rFonts w:ascii="Arial" w:cs="Arial" w:eastAsia="Arial" w:hAnsi="Arial"/>
          <w:color w:val="334155"/>
          <w:sz w:val="21"/>
          <w:szCs w:val="21"/>
        </w:rPr>
        <w:t xml:space="preserve">Gold standard for insulin resistance measurement — controlled intravenous insulin + glucose infusion, measuring how much glucose is needed to maintain normal blood glucose. Extremely accurate but requires hospital setting, medical team, 2–4 hours, and is expensive. Impractical for population screening. HOMA-IR is the accessible proxy.</w:t>
      </w:r>
    </w:p>
    <w:p>
      <w:pPr>
        <w:spacing w:after="40" w:before="140"/>
      </w:pPr>
      <w:r>
        <w:rPr>
          <w:rFonts w:ascii="Arial" w:cs="Arial" w:eastAsia="Arial" w:hAnsi="Arial"/>
          <w:b/>
          <w:bCs/>
          <w:color w:val="0D9488"/>
          <w:sz w:val="22"/>
          <w:szCs w:val="22"/>
        </w:rPr>
        <w:t xml:space="preserve">Q37. </w:t>
      </w:r>
      <w:r>
        <w:rPr>
          <w:rFonts w:ascii="Arial" w:cs="Arial" w:eastAsia="Arial" w:hAnsi="Arial"/>
          <w:b/>
          <w:bCs/>
          <w:color w:val="0A1628"/>
          <w:sz w:val="22"/>
          <w:szCs w:val="22"/>
        </w:rPr>
        <w:t xml:space="preserve">How did SweetDeep handle the class imbalance between ND and T2D?</w:t>
      </w:r>
    </w:p>
    <w:p>
      <w:pPr>
        <w:spacing w:after="60" w:before="0"/>
        <w:ind w:left="300"/>
      </w:pPr>
      <w:r>
        <w:rPr>
          <w:rFonts w:ascii="Arial" w:cs="Arial" w:eastAsia="Arial" w:hAnsi="Arial"/>
          <w:color w:val="334155"/>
          <w:sz w:val="21"/>
          <w:szCs w:val="21"/>
        </w:rPr>
        <w:t xml:space="preserve">SMOTE (Synthetic Minority Over-Sampling Technique) was applied to training sets only. It generates synthetic T2D samples by interpolating between real T2D patients in feature space. Three-fold cross-validation was class-stratified — each fold maintains the original ND/T2D ratio.</w:t>
      </w:r>
    </w:p>
    <w:p>
      <w:pPr>
        <w:spacing w:after="40" w:before="140"/>
      </w:pPr>
      <w:r>
        <w:rPr>
          <w:rFonts w:ascii="Arial" w:cs="Arial" w:eastAsia="Arial" w:hAnsi="Arial"/>
          <w:b/>
          <w:bCs/>
          <w:color w:val="0D9488"/>
          <w:sz w:val="22"/>
          <w:szCs w:val="22"/>
        </w:rPr>
        <w:t xml:space="preserve">Q38. </w:t>
      </w:r>
      <w:r>
        <w:rPr>
          <w:rFonts w:ascii="Arial" w:cs="Arial" w:eastAsia="Arial" w:hAnsi="Arial"/>
          <w:b/>
          <w:bCs/>
          <w:color w:val="0A1628"/>
          <w:sz w:val="22"/>
          <w:szCs w:val="22"/>
        </w:rPr>
        <w:t xml:space="preserve">What is BatchNorm and why does it help/hurt calibration?</w:t>
      </w:r>
    </w:p>
    <w:p>
      <w:pPr>
        <w:spacing w:after="60" w:before="0"/>
        <w:ind w:left="300"/>
      </w:pPr>
      <w:r>
        <w:rPr>
          <w:rFonts w:ascii="Arial" w:cs="Arial" w:eastAsia="Arial" w:hAnsi="Arial"/>
          <w:color w:val="334155"/>
          <w:sz w:val="21"/>
          <w:szCs w:val="21"/>
        </w:rPr>
        <w:t xml:space="preserve">Batch Normalisation normalises layer activations to zero mean, unit variance during training. Helps: stabilises training, acts as regulariser. Hurts calibration: train-test discrepancy in running statistics can make the model overconfident. SweetDeep shows removing BN + Dropout drops ECE from 5.5% to 2.8% but also drops accuracy.</w:t>
      </w:r>
    </w:p>
    <w:p>
      <w:pPr>
        <w:spacing w:after="40" w:before="140"/>
      </w:pPr>
      <w:r>
        <w:rPr>
          <w:rFonts w:ascii="Arial" w:cs="Arial" w:eastAsia="Arial" w:hAnsi="Arial"/>
          <w:b/>
          <w:bCs/>
          <w:color w:val="0D9488"/>
          <w:sz w:val="22"/>
          <w:szCs w:val="22"/>
        </w:rPr>
        <w:t xml:space="preserve">Q39. </w:t>
      </w:r>
      <w:r>
        <w:rPr>
          <w:rFonts w:ascii="Arial" w:cs="Arial" w:eastAsia="Arial" w:hAnsi="Arial"/>
          <w:b/>
          <w:bCs/>
          <w:color w:val="0A1628"/>
          <w:sz w:val="22"/>
          <w:szCs w:val="22"/>
        </w:rPr>
        <w:t xml:space="preserve">What is the cardiovascular-kidney-metabolic (CKM) syndrome?</w:t>
      </w:r>
    </w:p>
    <w:p>
      <w:pPr>
        <w:spacing w:after="60" w:before="0"/>
        <w:ind w:left="300"/>
      </w:pPr>
      <w:r>
        <w:rPr>
          <w:rFonts w:ascii="Arial" w:cs="Arial" w:eastAsia="Arial" w:hAnsi="Arial"/>
          <w:color w:val="334155"/>
          <w:sz w:val="21"/>
          <w:szCs w:val="21"/>
        </w:rPr>
        <w:t xml:space="preserve">A syndrome characterised by interactions between metabolic risk factors (including IR), chronic kidney disease, and cardiovascular disease. Insulin resistance is a key component — early IR detection via wearables could reduce the entire CKM disease burden.</w:t>
      </w:r>
    </w:p>
    <w:p>
      <w:pPr>
        <w:spacing w:after="40" w:before="140"/>
      </w:pPr>
      <w:r>
        <w:rPr>
          <w:rFonts w:ascii="Arial" w:cs="Arial" w:eastAsia="Arial" w:hAnsi="Arial"/>
          <w:b/>
          <w:bCs/>
          <w:color w:val="0D9488"/>
          <w:sz w:val="22"/>
          <w:szCs w:val="22"/>
        </w:rPr>
        <w:t xml:space="preserve">Q40. </w:t>
      </w:r>
      <w:r>
        <w:rPr>
          <w:rFonts w:ascii="Arial" w:cs="Arial" w:eastAsia="Arial" w:hAnsi="Arial"/>
          <w:b/>
          <w:bCs/>
          <w:color w:val="0A1628"/>
          <w:sz w:val="22"/>
          <w:szCs w:val="22"/>
        </w:rPr>
        <w:t xml:space="preserve">How does GLP-1 relate to insulin resistance?</w:t>
      </w:r>
    </w:p>
    <w:p>
      <w:pPr>
        <w:spacing w:after="60" w:before="0"/>
        <w:ind w:left="300"/>
      </w:pPr>
      <w:r>
        <w:rPr>
          <w:rFonts w:ascii="Arial" w:cs="Arial" w:eastAsia="Arial" w:hAnsi="Arial"/>
          <w:color w:val="334155"/>
          <w:sz w:val="21"/>
          <w:szCs w:val="21"/>
        </w:rPr>
        <w:t xml:space="preserve">GLP-1 (Glucagon-like Peptide-1) is an incretin hormone that increases insulin secretion from pancreatic beta-cells. GLP-1 agonists (like semaglutide/Ozempic) are now used to treat T2D and obesity. Google's paper suggests IR detection could better guide GLP-1 prescribing decisions beyond BMI alone.</w:t>
      </w:r>
    </w:p>
    <w:p>
      <w:pPr>
        <w:spacing w:after="40" w:before="140"/>
      </w:pPr>
      <w:r>
        <w:rPr>
          <w:rFonts w:ascii="Arial" w:cs="Arial" w:eastAsia="Arial" w:hAnsi="Arial"/>
          <w:b/>
          <w:bCs/>
          <w:color w:val="0D9488"/>
          <w:sz w:val="22"/>
          <w:szCs w:val="22"/>
        </w:rPr>
        <w:t xml:space="preserve">Q41. </w:t>
      </w:r>
      <w:r>
        <w:rPr>
          <w:rFonts w:ascii="Arial" w:cs="Arial" w:eastAsia="Arial" w:hAnsi="Arial"/>
          <w:b/>
          <w:bCs/>
          <w:color w:val="0A1628"/>
          <w:sz w:val="22"/>
          <w:szCs w:val="22"/>
        </w:rPr>
        <w:t xml:space="preserve">What is glucotyping and why is it mentioned in Google's paper?</w:t>
      </w:r>
    </w:p>
    <w:p>
      <w:pPr>
        <w:spacing w:after="60" w:before="0"/>
        <w:ind w:left="300"/>
      </w:pPr>
      <w:r>
        <w:rPr>
          <w:rFonts w:ascii="Arial" w:cs="Arial" w:eastAsia="Arial" w:hAnsi="Arial"/>
          <w:color w:val="334155"/>
          <w:sz w:val="21"/>
          <w:szCs w:val="21"/>
        </w:rPr>
        <w:t xml:space="preserve">Glucotyping analyses glucose time-series patterns via CGM to detect IR. Achieved AUROC 0.88 — higher than wearable-only models. However, CGM requires sensor attachment and is not widely adopted by non-diabetics. Wearable smartwatches are vastly more accessible.</w:t>
      </w:r>
    </w:p>
    <w:p>
      <w:pPr>
        <w:spacing w:after="40" w:before="140"/>
      </w:pPr>
      <w:r>
        <w:rPr>
          <w:rFonts w:ascii="Arial" w:cs="Arial" w:eastAsia="Arial" w:hAnsi="Arial"/>
          <w:b/>
          <w:bCs/>
          <w:color w:val="0D9488"/>
          <w:sz w:val="22"/>
          <w:szCs w:val="22"/>
        </w:rPr>
        <w:t xml:space="preserve">Q42. </w:t>
      </w:r>
      <w:r>
        <w:rPr>
          <w:rFonts w:ascii="Arial" w:cs="Arial" w:eastAsia="Arial" w:hAnsi="Arial"/>
          <w:b/>
          <w:bCs/>
          <w:color w:val="0A1628"/>
          <w:sz w:val="22"/>
          <w:szCs w:val="22"/>
        </w:rPr>
        <w:t xml:space="preserve">What does the t-SNE visualisation of the MAE latent space show?</w:t>
      </w:r>
    </w:p>
    <w:p>
      <w:pPr>
        <w:spacing w:after="60" w:before="0"/>
        <w:ind w:left="300"/>
      </w:pPr>
      <w:r>
        <w:rPr>
          <w:rFonts w:ascii="Arial" w:cs="Arial" w:eastAsia="Arial" w:hAnsi="Arial"/>
          <w:color w:val="334155"/>
          <w:sz w:val="21"/>
          <w:szCs w:val="21"/>
        </w:rPr>
        <w:t xml:space="preserve">t-SNE reduces the high-dimensional latent vectors to 2D for visualisation. The plot shows individuals with high BMI clustered together, and high RHR individuals clustered separately. This confirms the MAE learned physiologically meaningful representations — not random feature compression.</w:t>
      </w:r>
    </w:p>
    <w:p>
      <w:pPr>
        <w:spacing w:after="40" w:before="140"/>
      </w:pPr>
      <w:r>
        <w:rPr>
          <w:rFonts w:ascii="Arial" w:cs="Arial" w:eastAsia="Arial" w:hAnsi="Arial"/>
          <w:b/>
          <w:bCs/>
          <w:color w:val="0D9488"/>
          <w:sz w:val="22"/>
          <w:szCs w:val="22"/>
        </w:rPr>
        <w:t xml:space="preserve">Q43. </w:t>
      </w:r>
      <w:r>
        <w:rPr>
          <w:rFonts w:ascii="Arial" w:cs="Arial" w:eastAsia="Arial" w:hAnsi="Arial"/>
          <w:b/>
          <w:bCs/>
          <w:color w:val="0A1628"/>
          <w:sz w:val="22"/>
          <w:szCs w:val="22"/>
        </w:rPr>
        <w:t xml:space="preserve">How does Google's paper handle ethnic generalisation?</w:t>
      </w:r>
    </w:p>
    <w:p>
      <w:pPr>
        <w:spacing w:after="60" w:before="0"/>
        <w:ind w:left="300"/>
      </w:pPr>
      <w:r>
        <w:rPr>
          <w:rFonts w:ascii="Arial" w:cs="Arial" w:eastAsia="Arial" w:hAnsi="Arial"/>
          <w:color w:val="334155"/>
          <w:sz w:val="21"/>
          <w:szCs w:val="21"/>
        </w:rPr>
        <w:t xml:space="preserve">75% white/Caucasian training data. Stratified analysis shows: Hispanic, East Asian, and Mixed groups generalise well. African-American and Asian-Indian show performance drops when excluded from training. Conclusion: diverse training data is essential; ethnicity-specific models may be needed for some groups.</w:t>
      </w:r>
    </w:p>
    <w:p>
      <w:pPr>
        <w:spacing w:after="40" w:before="140"/>
      </w:pPr>
      <w:r>
        <w:rPr>
          <w:rFonts w:ascii="Arial" w:cs="Arial" w:eastAsia="Arial" w:hAnsi="Arial"/>
          <w:b/>
          <w:bCs/>
          <w:color w:val="0D9488"/>
          <w:sz w:val="22"/>
          <w:szCs w:val="22"/>
        </w:rPr>
        <w:t xml:space="preserve">Q44. </w:t>
      </w:r>
      <w:r>
        <w:rPr>
          <w:rFonts w:ascii="Arial" w:cs="Arial" w:eastAsia="Arial" w:hAnsi="Arial"/>
          <w:b/>
          <w:bCs/>
          <w:color w:val="0A1628"/>
          <w:sz w:val="22"/>
          <w:szCs w:val="22"/>
        </w:rPr>
        <w:t xml:space="preserve">What is the difference between sensitivity and specificity in a screening context?</w:t>
      </w:r>
    </w:p>
    <w:p>
      <w:pPr>
        <w:spacing w:after="60" w:before="0"/>
        <w:ind w:left="300"/>
      </w:pPr>
      <w:r>
        <w:rPr>
          <w:rFonts w:ascii="Arial" w:cs="Arial" w:eastAsia="Arial" w:hAnsi="Arial"/>
          <w:color w:val="334155"/>
          <w:sz w:val="21"/>
          <w:szCs w:val="21"/>
        </w:rPr>
        <w:t xml:space="preserve">Sensitivity: of all IR patients, how many does the model catch? (High sensitivity = few missed IR cases). Specificity: of all non-IR patients, how many are correctly excluded? (High specificity = few false alarms). For IR screening, sensitivity is more important — missing a case is costlier than a false alarm.</w:t>
      </w:r>
    </w:p>
    <w:p>
      <w:pPr>
        <w:spacing w:after="40" w:before="140"/>
      </w:pPr>
      <w:r>
        <w:rPr>
          <w:rFonts w:ascii="Arial" w:cs="Arial" w:eastAsia="Arial" w:hAnsi="Arial"/>
          <w:b/>
          <w:bCs/>
          <w:color w:val="0D9488"/>
          <w:sz w:val="22"/>
          <w:szCs w:val="22"/>
        </w:rPr>
        <w:t xml:space="preserve">Q45. </w:t>
      </w:r>
      <w:r>
        <w:rPr>
          <w:rFonts w:ascii="Arial" w:cs="Arial" w:eastAsia="Arial" w:hAnsi="Arial"/>
          <w:b/>
          <w:bCs/>
          <w:color w:val="0A1628"/>
          <w:sz w:val="22"/>
          <w:szCs w:val="22"/>
        </w:rPr>
        <w:t xml:space="preserve">What datasets does our B.Tech project use and why?</w:t>
      </w:r>
    </w:p>
    <w:p>
      <w:pPr>
        <w:spacing w:after="60" w:before="0"/>
        <w:ind w:left="300"/>
      </w:pPr>
      <w:r>
        <w:rPr>
          <w:rFonts w:ascii="Arial" w:cs="Arial" w:eastAsia="Arial" w:hAnsi="Arial"/>
          <w:color w:val="334155"/>
          <w:sz w:val="21"/>
          <w:szCs w:val="21"/>
        </w:rPr>
        <w:t xml:space="preserve">NHANES 2011–14 (primary: ethnically diverse, 10k+ participants, HOMA-IR labels); MESA Sleep (primary: sleep architecture, multi-ethnic, longitudinal); D1NAMO (secondary: glucose + wearable data); LifeSnaps (secondary: Fitbit feature validation); BIDMC and WESAD (signal processing pipeline development).</w:t>
      </w:r>
    </w:p>
    <w:p>
      <w:pPr>
        <w:spacing w:after="40" w:before="140"/>
      </w:pPr>
      <w:r>
        <w:rPr>
          <w:rFonts w:ascii="Arial" w:cs="Arial" w:eastAsia="Arial" w:hAnsi="Arial"/>
          <w:b/>
          <w:bCs/>
          <w:color w:val="0D9488"/>
          <w:sz w:val="22"/>
          <w:szCs w:val="22"/>
        </w:rPr>
        <w:t xml:space="preserve">Q46. </w:t>
      </w:r>
      <w:r>
        <w:rPr>
          <w:rFonts w:ascii="Arial" w:cs="Arial" w:eastAsia="Arial" w:hAnsi="Arial"/>
          <w:b/>
          <w:bCs/>
          <w:color w:val="0A1628"/>
          <w:sz w:val="22"/>
          <w:szCs w:val="22"/>
        </w:rPr>
        <w:t xml:space="preserve">What novel contributions does our project add beyond these two papers?</w:t>
      </w:r>
    </w:p>
    <w:p>
      <w:pPr>
        <w:spacing w:after="60" w:before="0"/>
        <w:ind w:left="300"/>
      </w:pPr>
      <w:r>
        <w:rPr>
          <w:rFonts w:ascii="Arial" w:cs="Arial" w:eastAsia="Arial" w:hAnsi="Arial"/>
          <w:color w:val="334155"/>
          <w:sz w:val="21"/>
          <w:szCs w:val="21"/>
        </w:rPr>
        <w:t xml:space="preserve">(1) LSTM temporal modelling of IR trajectory — neither paper does this. (2) Sleep architecture features from MESA — more than just sleep duration. (3) Ethnically diverse public datasets addressing the diversity gap. (4) Unified IR→T2D surveillance pipeline. (5) HOMA-IR prediction from fully non-invasive signals (no blood biomarkers required in Tier 1).</w:t>
      </w:r>
    </w:p>
    <w:p>
      <w:pPr>
        <w:spacing w:after="40" w:before="140"/>
      </w:pPr>
      <w:r>
        <w:rPr>
          <w:rFonts w:ascii="Arial" w:cs="Arial" w:eastAsia="Arial" w:hAnsi="Arial"/>
          <w:b/>
          <w:bCs/>
          <w:color w:val="0D9488"/>
          <w:sz w:val="22"/>
          <w:szCs w:val="22"/>
        </w:rPr>
        <w:t xml:space="preserve">Q47. </w:t>
      </w:r>
      <w:r>
        <w:rPr>
          <w:rFonts w:ascii="Arial" w:cs="Arial" w:eastAsia="Arial" w:hAnsi="Arial"/>
          <w:b/>
          <w:bCs/>
          <w:color w:val="0A1628"/>
          <w:sz w:val="22"/>
          <w:szCs w:val="22"/>
        </w:rPr>
        <w:t xml:space="preserve">What is the Fridericia correction and why not use Bazett's?</w:t>
      </w:r>
    </w:p>
    <w:p>
      <w:pPr>
        <w:spacing w:after="60" w:before="0"/>
        <w:ind w:left="300"/>
      </w:pPr>
      <w:r>
        <w:rPr>
          <w:rFonts w:ascii="Arial" w:cs="Arial" w:eastAsia="Arial" w:hAnsi="Arial"/>
          <w:color w:val="334155"/>
          <w:sz w:val="21"/>
          <w:szCs w:val="21"/>
        </w:rPr>
        <w:t xml:space="preserve">Fridericia: QTc = QT/RR^(1/3). Bazett: QTc = QT/√RR. Bazett overcorrects at high heart rates (common in patients). Fridericia is more accurate across a wider range of heart rates and is the correction used in SweetDeep.</w:t>
      </w:r>
    </w:p>
    <w:p>
      <w:pPr>
        <w:spacing w:after="40" w:before="140"/>
      </w:pPr>
      <w:r>
        <w:rPr>
          <w:rFonts w:ascii="Arial" w:cs="Arial" w:eastAsia="Arial" w:hAnsi="Arial"/>
          <w:b/>
          <w:bCs/>
          <w:color w:val="0D9488"/>
          <w:sz w:val="22"/>
          <w:szCs w:val="22"/>
        </w:rPr>
        <w:t xml:space="preserve">Q48. </w:t>
      </w:r>
      <w:r>
        <w:rPr>
          <w:rFonts w:ascii="Arial" w:cs="Arial" w:eastAsia="Arial" w:hAnsi="Arial"/>
          <w:b/>
          <w:bCs/>
          <w:color w:val="0A1628"/>
          <w:sz w:val="22"/>
          <w:szCs w:val="22"/>
        </w:rPr>
        <w:t xml:space="preserve">What is the significance of 24 new T2D cases discovered during SweetDeep?</w:t>
      </w:r>
    </w:p>
    <w:p>
      <w:pPr>
        <w:spacing w:after="60" w:before="0"/>
        <w:ind w:left="300"/>
      </w:pPr>
      <w:r>
        <w:rPr>
          <w:rFonts w:ascii="Arial" w:cs="Arial" w:eastAsia="Arial" w:hAnsi="Arial"/>
          <w:color w:val="334155"/>
          <w:sz w:val="21"/>
          <w:szCs w:val="21"/>
        </w:rPr>
        <w:t xml:space="preserve">It demonstrates real clinical utility — the study found T2D in people who didn't know they had it. These were detected via the biochemical gold standard tests (FPG/OGTT/HbA1c) used to label participants. It underscores the value of proactive screening.</w:t>
      </w:r>
    </w:p>
    <w:p>
      <w:pPr>
        <w:spacing w:after="40" w:before="140"/>
      </w:pPr>
      <w:r>
        <w:rPr>
          <w:rFonts w:ascii="Arial" w:cs="Arial" w:eastAsia="Arial" w:hAnsi="Arial"/>
          <w:b/>
          <w:bCs/>
          <w:color w:val="0D9488"/>
          <w:sz w:val="22"/>
          <w:szCs w:val="22"/>
        </w:rPr>
        <w:t xml:space="preserve">Q49. </w:t>
      </w:r>
      <w:r>
        <w:rPr>
          <w:rFonts w:ascii="Arial" w:cs="Arial" w:eastAsia="Arial" w:hAnsi="Arial"/>
          <w:b/>
          <w:bCs/>
          <w:color w:val="0A1628"/>
          <w:sz w:val="22"/>
          <w:szCs w:val="22"/>
        </w:rPr>
        <w:t xml:space="preserve">What is the key difference in how SweetDeep and Google's paper evaluate classification?</w:t>
      </w:r>
    </w:p>
    <w:p>
      <w:pPr>
        <w:spacing w:after="60" w:before="0"/>
        <w:ind w:left="300"/>
      </w:pPr>
      <w:r>
        <w:rPr>
          <w:rFonts w:ascii="Arial" w:cs="Arial" w:eastAsia="Arial" w:hAnsi="Arial"/>
          <w:color w:val="334155"/>
          <w:sz w:val="21"/>
          <w:szCs w:val="21"/>
        </w:rPr>
        <w:t xml:space="preserve">SweetDeep: accuracy, sensitivity, specificity, macro-F1, ECE. Google: AUROC, sensitivity, specificity, precision, AUPRC. SweetDeep focuses on calibration (ECE) as a core metric. Google focuses on ranking ability (AUROC) and the precision-recall trade-off. For clinical screening, both calibration and AUROC matter.</w:t>
      </w:r>
    </w:p>
    <w:p>
      <w:pPr>
        <w:spacing w:after="0" w:before="0"/>
      </w:pPr>
      <w:r>
        <w:br w:type="page"/>
      </w:r>
    </w:p>
    <w:p>
      <w:pPr>
        <w:pStyle w:val="Heading1"/>
        <w:shd w:fill="0A1628" w:val="clear"/>
        <w:spacing w:after="180" w:before="360"/>
        <w:ind w:left="200" w:right="200"/>
      </w:pPr>
      <w:r>
        <w:rPr>
          <w:rFonts w:ascii="Arial" w:cs="Arial" w:eastAsia="Arial" w:hAnsi="Arial"/>
          <w:b/>
          <w:bCs/>
          <w:color w:val="FFFFFF"/>
          <w:sz w:val="36"/>
          <w:szCs w:val="36"/>
        </w:rPr>
        <w:t xml:space="preserve">Chapter 11  ·  One-Page Cheat Sheet</w:t>
      </w:r>
    </w:p>
    <w:p>
      <w:pPr>
        <w:pStyle w:val="Heading2"/>
        <w:pBdr>
          <w:bottom w:val="single" w:color="0D9488" w:sz="6" w:space="2"/>
        </w:pBdr>
        <w:spacing w:after="100" w:before="240"/>
      </w:pPr>
      <w:r>
        <w:rPr>
          <w:rFonts w:ascii="Arial" w:cs="Arial" w:eastAsia="Arial" w:hAnsi="Arial"/>
          <w:b/>
          <w:bCs/>
          <w:color w:val="0D9488"/>
          <w:sz w:val="28"/>
          <w:szCs w:val="28"/>
        </w:rPr>
        <w:t xml:space="preserve">SweetDeep — Numbers to Memorise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Metric</w:t>
            </w:r>
          </w:p>
        </w:tc>
        <w:tc>
          <w:tcPr>
            <w:tcW w:type="dxa" w:w="46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Value</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Accuracy (patient-level)</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82.5%</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Sensitivity</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79.7%</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Specificity</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84.6%</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Macro-F1</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82.1%</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ECE</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5.5%</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Accuracy with abstention</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84.5% (coverage 90.5%)</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Parameters</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2,990</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Participants (ND+T2D)</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285 (162 ND, 123 T2D)</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Recordings per patient</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~20 (2 min × 6/day × 6 days)</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Folds</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3-fold inter-patient</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Abstention rule</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|p̂_X − 0.5| &lt; 0.08</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Features</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35 (ECG:3, PPG-BP:10, BIA:10, Age:1, Family:3, Time:8)</w:t>
            </w:r>
          </w:p>
        </w:tc>
      </w:tr>
    </w:tbl>
    <w:p>
      <w:pPr>
        <w:spacing w:after="80" w:before="80"/>
      </w:pPr>
    </w:p>
    <w:p>
      <w:pPr>
        <w:pStyle w:val="Heading2"/>
        <w:pBdr>
          <w:bottom w:val="single" w:color="0D9488" w:sz="6" w:space="2"/>
        </w:pBdr>
        <w:spacing w:after="100" w:before="240"/>
      </w:pPr>
      <w:r>
        <w:rPr>
          <w:rFonts w:ascii="Arial" w:cs="Arial" w:eastAsia="Arial" w:hAnsi="Arial"/>
          <w:b/>
          <w:bCs/>
          <w:color w:val="0D9488"/>
          <w:sz w:val="28"/>
          <w:szCs w:val="28"/>
        </w:rPr>
        <w:t xml:space="preserve">Google IR — Numbers to Memorise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Metric</w:t>
            </w:r>
          </w:p>
        </w:tc>
        <w:tc>
          <w:tcPr>
            <w:tcW w:type="dxa" w:w="46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Value</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AUROC (optimal model)</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0.80</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Sensitivity (optimal)</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76%</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Specificity (optimal)</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84%</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R² (optimal)</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0.50</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AUROC wearables only</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0.70</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Sensitivity obese+sedentary</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93%</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N (main cohort)</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1,165</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N (validation cohort)</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72</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HOMA-IR IR threshold</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&gt;2.9</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HOMA-IR IS threshold</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&lt;1.5</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CV strategy</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5-fold</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Default wearable window</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7 days</w:t>
            </w:r>
          </w:p>
        </w:tc>
      </w:tr>
    </w:tbl>
    <w:p>
      <w:pPr>
        <w:spacing w:after="80" w:before="80"/>
      </w:pPr>
    </w:p>
    <w:p>
      <w:pPr>
        <w:pStyle w:val="Heading2"/>
        <w:pBdr>
          <w:bottom w:val="single" w:color="0D9488" w:sz="6" w:space="2"/>
        </w:pBdr>
        <w:spacing w:after="100" w:before="240"/>
      </w:pPr>
      <w:r>
        <w:rPr>
          <w:rFonts w:ascii="Arial" w:cs="Arial" w:eastAsia="Arial" w:hAnsi="Arial"/>
          <w:b/>
          <w:bCs/>
          <w:color w:val="0D9488"/>
          <w:sz w:val="28"/>
          <w:szCs w:val="28"/>
        </w:rPr>
        <w:t xml:space="preserve">Diagnostic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c>
          <w:tcPr>
            <w:tcW w:type="dxa" w:w="210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Test</w:t>
            </w:r>
          </w:p>
        </w:tc>
        <w:tc>
          <w:tcPr>
            <w:tcW w:type="dxa" w:w="242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Normal</w:t>
            </w:r>
          </w:p>
        </w:tc>
        <w:tc>
          <w:tcPr>
            <w:tcW w:type="dxa" w:w="242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Pre-Diabetic</w:t>
            </w:r>
          </w:p>
        </w:tc>
        <w:tc>
          <w:tcPr>
            <w:tcW w:type="dxa" w:w="242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Diabetic</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FPG</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&lt;100 mg/dL</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100–126 mg/dL</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&gt;126 mg/dL</w:t>
            </w:r>
          </w:p>
        </w:tc>
      </w:tr>
      <w:tr>
        <w:tc>
          <w:tcPr>
            <w:tcW w:type="dxa" w:w="21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OGTT-2h</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&lt;140 mg/dL</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140–200 mg/dL</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&gt;200 mg/dL</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HbA1c</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&lt;5.7%</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5.7–6.4%</w:t>
            </w:r>
          </w:p>
        </w:tc>
        <w:tc>
          <w:tcPr>
            <w:tcW w:type="dxa" w:w="24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&gt;6.5%</w:t>
            </w:r>
          </w:p>
        </w:tc>
      </w:tr>
      <w:tr>
        <w:tc>
          <w:tcPr>
            <w:tcW w:type="dxa" w:w="21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HOMA-IR</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&lt;1.5 (IS)</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1.5–2.9 (Imp)</w:t>
            </w:r>
          </w:p>
        </w:tc>
        <w:tc>
          <w:tcPr>
            <w:tcW w:type="dxa" w:w="24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&gt;2.9 (IR)</w:t>
            </w:r>
          </w:p>
        </w:tc>
      </w:tr>
    </w:tbl>
    <w:p>
      <w:pPr>
        <w:spacing w:after="80" w:before="80"/>
      </w:pPr>
    </w:p>
    <w:p>
      <w:pPr>
        <w:pStyle w:val="Heading2"/>
        <w:pBdr>
          <w:bottom w:val="single" w:color="0D9488" w:sz="6" w:space="2"/>
        </w:pBdr>
        <w:spacing w:after="100" w:before="240"/>
      </w:pPr>
      <w:r>
        <w:rPr>
          <w:rFonts w:ascii="Arial" w:cs="Arial" w:eastAsia="Arial" w:hAnsi="Arial"/>
          <w:b/>
          <w:bCs/>
          <w:color w:val="0D9488"/>
          <w:sz w:val="28"/>
          <w:szCs w:val="28"/>
        </w:rPr>
        <w:t xml:space="preserve">Glossary of Must-Know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Term</w:t>
            </w:r>
          </w:p>
        </w:tc>
        <w:tc>
          <w:tcPr>
            <w:tcW w:type="dxa" w:w="4680"/>
            <w:tcBorders>
              <w:top w:val="single" w:color="0D9488" w:sz="6"/>
              <w:left w:val="single" w:color="0D9488" w:sz="6"/>
              <w:bottom w:val="single" w:color="0D9488" w:sz="6"/>
              <w:right w:val="single" w:color="0D9488" w:sz="6"/>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Definition</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CAN</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Cardiac Autonomic Neuropathy — nerve damage from chronic hyperglycaemia; detectable via ECG</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SMOTE</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Synthetic Minority Over-Sampling Technique — creates synthetic minority class samples</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DCT</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Decentralised Clinical Trial — data collected at home, not in a lab</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ECE</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Expected Calibration Error — measures gap between predicted probabilities and true frequencies</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SHAP</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Shapley Additive Explanations — assigns feature contribution scores to individual predictions</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MAE</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Masked Autoencoder — self-supervised representation learning by masking and reconstructing inputs</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AUROC</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Area Under Receiver Operating Characteristic curve — discriminability across all thresholds</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HOMA-IR</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(Fasting Insulin × Fasting Glucose) / 405 — proxy for insulin resistance</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QTc</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Corrected QT interval — ventricular repolarisation time, corrected for heart rate</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RMSSD</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Root Mean Square of Successive Differences — parasympathetic HRV metric</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SDNN</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Standard Deviation of NN intervals — overall HRV, captures all autonomic activity</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HRV</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Heart Rate Variability — variation in beat-to-beat timing; decreases with autonomic nerve damage</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BIA</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Bioelectrical Impedance Analysis — body composition via electrical resistance measurement</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PPG</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Photoplethysmography — optical blood volume sensing via LED and photodetector</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TPR</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Total Peripheral Resistance — resistance of all blood vessels combined</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BMR</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Basal Metabolic Rate — energy expenditure at complete rest</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IR</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Insulin Resistance — cells require more insulin than normal for glucose uptake</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XGBoost</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Extreme Gradient Boosting — ensemble of sequentially correcting decision trees</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LSTM</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Long Short-Term Memory — RNN variant that captures long-range temporal dependencies</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ReAct</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1E293B"/>
                <w:sz w:val="20"/>
                <w:szCs w:val="20"/>
              </w:rPr>
              <w:t xml:space="preserve">Reasoning + Acting — LLM agent framework alternating between reasoning and tool calls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0D948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2026-06-26T19:37:35.336Z</dcterms:created>
  <dcterms:modified xsi:type="dcterms:W3CDTF">2026-06-26T19:37:35.349Z</dcterms:modified>
</cp:coreProperties>
</file>

<file path=docProps/custom.xml><?xml version="1.0" encoding="utf-8"?>
<Properties xmlns="http://schemas.openxmlformats.org/officeDocument/2006/custom-properties" xmlns:vt="http://schemas.openxmlformats.org/officeDocument/2006/docPropsVTypes"/>
</file>