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94B8F" w14:textId="77777777" w:rsidR="00756D37" w:rsidRPr="00C40DAF" w:rsidRDefault="00000000">
      <w:pPr>
        <w:spacing w:before="1400"/>
        <w:jc w:val="center"/>
        <w:rPr>
          <w:rFonts w:ascii="Arial" w:hAnsi="Arial" w:cs="Arial"/>
          <w:sz w:val="26"/>
          <w:szCs w:val="26"/>
        </w:rPr>
      </w:pPr>
      <w:r w:rsidRPr="00C40DAF">
        <w:rPr>
          <w:rFonts w:ascii="Arial" w:hAnsi="Arial" w:cs="Arial"/>
          <w:b/>
          <w:bCs/>
          <w:color w:val="0A1F44"/>
          <w:sz w:val="26"/>
          <w:szCs w:val="26"/>
        </w:rPr>
        <w:t>KORAMA HOLDINGS</w:t>
      </w:r>
    </w:p>
    <w:p w14:paraId="3654946D" w14:textId="77777777" w:rsidR="00756D37" w:rsidRPr="00C40DAF" w:rsidRDefault="00000000">
      <w:pPr>
        <w:spacing w:after="120"/>
        <w:jc w:val="center"/>
        <w:rPr>
          <w:rFonts w:ascii="Arial" w:hAnsi="Arial" w:cs="Arial"/>
          <w:sz w:val="26"/>
          <w:szCs w:val="26"/>
        </w:rPr>
      </w:pPr>
      <w:r w:rsidRPr="00C40DAF">
        <w:rPr>
          <w:rFonts w:ascii="Arial" w:hAnsi="Arial" w:cs="Arial"/>
          <w:color w:val="B8860B"/>
          <w:sz w:val="26"/>
          <w:szCs w:val="26"/>
        </w:rPr>
        <w:t>Business Model</w:t>
      </w:r>
    </w:p>
    <w:p w14:paraId="65CEED84" w14:textId="77777777" w:rsidR="00756D37" w:rsidRPr="00C40DAF" w:rsidRDefault="00000000">
      <w:pPr>
        <w:spacing w:after="40"/>
        <w:jc w:val="center"/>
        <w:rPr>
          <w:rFonts w:ascii="Arial" w:hAnsi="Arial" w:cs="Arial"/>
          <w:sz w:val="26"/>
          <w:szCs w:val="26"/>
        </w:rPr>
      </w:pPr>
      <w:r w:rsidRPr="00C40DAF">
        <w:rPr>
          <w:rFonts w:ascii="Arial" w:hAnsi="Arial" w:cs="Arial"/>
          <w:i/>
          <w:iCs/>
          <w:color w:val="444444"/>
          <w:sz w:val="26"/>
          <w:szCs w:val="26"/>
        </w:rPr>
        <w:t>A West African Trade Corridor: Import, Local Sale, and Ghana-Origin Export</w:t>
      </w:r>
    </w:p>
    <w:p w14:paraId="4E7ACB93" w14:textId="77777777" w:rsidR="00756D37" w:rsidRPr="00C40DAF" w:rsidRDefault="00000000">
      <w:pPr>
        <w:spacing w:before="900"/>
        <w:jc w:val="center"/>
        <w:rPr>
          <w:rFonts w:ascii="Arial" w:hAnsi="Arial" w:cs="Arial"/>
          <w:sz w:val="26"/>
          <w:szCs w:val="26"/>
        </w:rPr>
      </w:pPr>
      <w:r w:rsidRPr="00C40DAF">
        <w:rPr>
          <w:rFonts w:ascii="Arial" w:hAnsi="Arial" w:cs="Arial"/>
          <w:color w:val="222222"/>
          <w:sz w:val="26"/>
          <w:szCs w:val="26"/>
        </w:rPr>
        <w:t xml:space="preserve">Prepared for the Founder, </w:t>
      </w:r>
      <w:proofErr w:type="spellStart"/>
      <w:r w:rsidRPr="00C40DAF">
        <w:rPr>
          <w:rFonts w:ascii="Arial" w:hAnsi="Arial" w:cs="Arial"/>
          <w:color w:val="222222"/>
          <w:sz w:val="26"/>
          <w:szCs w:val="26"/>
        </w:rPr>
        <w:t>Kurukan</w:t>
      </w:r>
      <w:proofErr w:type="spellEnd"/>
      <w:r w:rsidRPr="00C40DAF">
        <w:rPr>
          <w:rFonts w:ascii="Arial" w:hAnsi="Arial" w:cs="Arial"/>
          <w:color w:val="222222"/>
          <w:sz w:val="26"/>
          <w:szCs w:val="26"/>
        </w:rPr>
        <w:t xml:space="preserve"> Sasu Group</w:t>
      </w:r>
    </w:p>
    <w:p w14:paraId="57E0B273" w14:textId="77777777" w:rsidR="00756D37" w:rsidRPr="00C40DAF" w:rsidRDefault="00000000">
      <w:pPr>
        <w:jc w:val="center"/>
        <w:rPr>
          <w:rFonts w:ascii="Arial" w:hAnsi="Arial" w:cs="Arial"/>
          <w:sz w:val="26"/>
          <w:szCs w:val="26"/>
        </w:rPr>
      </w:pPr>
      <w:r w:rsidRPr="00C40DAF">
        <w:rPr>
          <w:rFonts w:ascii="Arial" w:hAnsi="Arial" w:cs="Arial"/>
          <w:b/>
          <w:bCs/>
          <w:color w:val="0A1F44"/>
          <w:sz w:val="26"/>
          <w:szCs w:val="26"/>
        </w:rPr>
        <w:t>Strictly Private and Confidential</w:t>
      </w:r>
    </w:p>
    <w:p w14:paraId="622ABCC4" w14:textId="77777777" w:rsidR="00756D37" w:rsidRPr="00C40DAF" w:rsidRDefault="00000000">
      <w:pPr>
        <w:jc w:val="center"/>
        <w:rPr>
          <w:rFonts w:ascii="Arial" w:hAnsi="Arial" w:cs="Arial"/>
          <w:sz w:val="26"/>
          <w:szCs w:val="26"/>
        </w:rPr>
      </w:pPr>
      <w:r w:rsidRPr="00C40DAF">
        <w:rPr>
          <w:rFonts w:ascii="Arial" w:hAnsi="Arial" w:cs="Arial"/>
          <w:i/>
          <w:iCs/>
          <w:color w:val="444444"/>
          <w:sz w:val="26"/>
          <w:szCs w:val="26"/>
        </w:rPr>
        <w:t>Second draft. Pre-revenue. Figures are illustrative assumptions, not projections.</w:t>
      </w:r>
    </w:p>
    <w:p w14:paraId="1C98A6FD" w14:textId="77777777" w:rsidR="00756D37" w:rsidRPr="00C40DAF" w:rsidRDefault="00756D37">
      <w:pPr>
        <w:pageBreakBefore/>
        <w:rPr>
          <w:rFonts w:ascii="Arial" w:hAnsi="Arial" w:cs="Arial"/>
          <w:sz w:val="26"/>
          <w:szCs w:val="26"/>
        </w:rPr>
      </w:pPr>
    </w:p>
    <w:p w14:paraId="274AEE16"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1. Purpose and Scope</w:t>
      </w:r>
    </w:p>
    <w:p w14:paraId="009C81FC" w14:textId="77777777" w:rsidR="00756D37" w:rsidRPr="00C40DAF" w:rsidRDefault="00756D37">
      <w:pPr>
        <w:pBdr>
          <w:bottom w:val="single" w:sz="6" w:space="0" w:color="B8860B"/>
        </w:pBdr>
        <w:spacing w:before="60" w:after="160"/>
        <w:rPr>
          <w:rFonts w:ascii="Arial" w:hAnsi="Arial" w:cs="Arial"/>
          <w:sz w:val="26"/>
          <w:szCs w:val="26"/>
        </w:rPr>
      </w:pPr>
    </w:p>
    <w:p w14:paraId="0F3358AC"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This document sets out the business model of Korama Holdings. It explains what the company is, what it owns, how it earns, and how it sits within the wider KORAMA group. It is written for the founder, for prospective investors, and for group counsel. This second draft widens the market beyond Nigeria to the wider West African market, and adds a second engine: the sourcing and export of Ghana-origin goods.</w:t>
      </w:r>
    </w:p>
    <w:p w14:paraId="3FDD73D6"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 xml:space="preserve">Korama Holdings is not a shop. It does not sell goods to the public. It is the holding, intellectual property and treasury company at the </w:t>
      </w:r>
      <w:proofErr w:type="spellStart"/>
      <w:r w:rsidRPr="00C40DAF">
        <w:rPr>
          <w:rFonts w:ascii="Arial" w:hAnsi="Arial" w:cs="Arial"/>
          <w:color w:val="222222"/>
          <w:sz w:val="26"/>
          <w:szCs w:val="26"/>
        </w:rPr>
        <w:t>centre</w:t>
      </w:r>
      <w:proofErr w:type="spellEnd"/>
      <w:r w:rsidRPr="00C40DAF">
        <w:rPr>
          <w:rFonts w:ascii="Arial" w:hAnsi="Arial" w:cs="Arial"/>
          <w:color w:val="222222"/>
          <w:sz w:val="26"/>
          <w:szCs w:val="26"/>
        </w:rPr>
        <w:t xml:space="preserve"> of the group. Its business is to own the technology, to hold and allocate capital, and to grow the value of the operating companies beneath it.</w:t>
      </w:r>
    </w:p>
    <w:p w14:paraId="2DB1A44F"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2. Group Structure and the Role of Korama Holdings</w:t>
      </w:r>
    </w:p>
    <w:p w14:paraId="12F9387A" w14:textId="77777777" w:rsidR="00756D37" w:rsidRPr="00C40DAF" w:rsidRDefault="00756D37">
      <w:pPr>
        <w:pBdr>
          <w:bottom w:val="single" w:sz="6" w:space="0" w:color="B8860B"/>
        </w:pBdr>
        <w:spacing w:before="60" w:after="160"/>
        <w:rPr>
          <w:rFonts w:ascii="Arial" w:hAnsi="Arial" w:cs="Arial"/>
          <w:sz w:val="26"/>
          <w:szCs w:val="26"/>
        </w:rPr>
      </w:pPr>
    </w:p>
    <w:p w14:paraId="7DF8689F"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The group is built in three tiers. Each tier does one job.</w:t>
      </w:r>
    </w:p>
    <w:p w14:paraId="3DD2A6D4"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 xml:space="preserve">Tier 1, </w:t>
      </w:r>
      <w:proofErr w:type="spellStart"/>
      <w:r w:rsidRPr="00C40DAF">
        <w:rPr>
          <w:rFonts w:ascii="Arial" w:hAnsi="Arial" w:cs="Arial"/>
          <w:color w:val="222222"/>
          <w:sz w:val="26"/>
          <w:szCs w:val="26"/>
        </w:rPr>
        <w:t>Kurukan</w:t>
      </w:r>
      <w:proofErr w:type="spellEnd"/>
      <w:r w:rsidRPr="00C40DAF">
        <w:rPr>
          <w:rFonts w:ascii="Arial" w:hAnsi="Arial" w:cs="Arial"/>
          <w:color w:val="222222"/>
          <w:sz w:val="26"/>
          <w:szCs w:val="26"/>
        </w:rPr>
        <w:t xml:space="preserve"> Sasu Group Ltd (Ghana). The founder's personal holding vehicle. It owns the controlling interest in Korama Holdings.</w:t>
      </w:r>
    </w:p>
    <w:p w14:paraId="5556F1A6"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Tier 2, Korama Holdings (recommended: Delaware, United States). The group parent. It owns the intellectual property, raises venture capital, and acts as group treasury.</w:t>
      </w:r>
    </w:p>
    <w:p w14:paraId="038156F5"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Tier 3, Korama operating companies (Ghana and destination markets). The operating layer. It imports, sells locally, sources and exports Ghana-origin goods, and runs fulfilment. It holds the physical assets and earns the trading revenue.</w:t>
      </w:r>
    </w:p>
    <w:p w14:paraId="13F1ACD4"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 xml:space="preserve">Venture capital enters at the Korama Holdings level, alongside </w:t>
      </w:r>
      <w:proofErr w:type="spellStart"/>
      <w:r w:rsidRPr="00C40DAF">
        <w:rPr>
          <w:rFonts w:ascii="Arial" w:hAnsi="Arial" w:cs="Arial"/>
          <w:color w:val="222222"/>
          <w:sz w:val="26"/>
          <w:szCs w:val="26"/>
        </w:rPr>
        <w:t>Kurukan</w:t>
      </w:r>
      <w:proofErr w:type="spellEnd"/>
      <w:r w:rsidRPr="00C40DAF">
        <w:rPr>
          <w:rFonts w:ascii="Arial" w:hAnsi="Arial" w:cs="Arial"/>
          <w:color w:val="222222"/>
          <w:sz w:val="26"/>
          <w:szCs w:val="26"/>
        </w:rPr>
        <w:t xml:space="preserve"> Sasu Group on the same cap table. Institutional and development capital enters at the Ghana operating layer, ring-fenced onshore. Korama Holdings captures group value through the technology and services it supplies down to the operating companies, and through the equity value of those companies as they grow.</w:t>
      </w:r>
    </w:p>
    <w:p w14:paraId="398000DB"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3. The KORAMA Value Proposition</w:t>
      </w:r>
    </w:p>
    <w:p w14:paraId="7EADA21A" w14:textId="77777777" w:rsidR="00756D37" w:rsidRPr="00C40DAF" w:rsidRDefault="00756D37">
      <w:pPr>
        <w:pBdr>
          <w:bottom w:val="single" w:sz="6" w:space="0" w:color="B8860B"/>
        </w:pBdr>
        <w:spacing w:before="60" w:after="160"/>
        <w:rPr>
          <w:rFonts w:ascii="Arial" w:hAnsi="Arial" w:cs="Arial"/>
          <w:sz w:val="26"/>
          <w:szCs w:val="26"/>
        </w:rPr>
      </w:pPr>
    </w:p>
    <w:p w14:paraId="6630C9C3"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KORAMA is a single technology platform that runs a two-way trade corridor. In one direction it moves goods from global suppliers to African buyers, quickly and affordably. In the other it sources goods produced in Ghana and moves them, duty-free where they qualify, across the wider West African market and the wider African market.</w:t>
      </w:r>
    </w:p>
    <w:p w14:paraId="78B923AA"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lastRenderedPageBreak/>
        <w:t xml:space="preserve">The platform joins a consumer and trade storefront, a warehousing and fulfilment engine, a last-mile delivery network, and an artificial intelligence layer that </w:t>
      </w:r>
      <w:proofErr w:type="spellStart"/>
      <w:r w:rsidRPr="00C40DAF">
        <w:rPr>
          <w:rFonts w:ascii="Arial" w:hAnsi="Arial" w:cs="Arial"/>
          <w:color w:val="222222"/>
          <w:sz w:val="26"/>
          <w:szCs w:val="26"/>
        </w:rPr>
        <w:t>personalises</w:t>
      </w:r>
      <w:proofErr w:type="spellEnd"/>
      <w:r w:rsidRPr="00C40DAF">
        <w:rPr>
          <w:rFonts w:ascii="Arial" w:hAnsi="Arial" w:cs="Arial"/>
          <w:color w:val="222222"/>
          <w:sz w:val="26"/>
          <w:szCs w:val="26"/>
        </w:rPr>
        <w:t xml:space="preserve"> demand and </w:t>
      </w:r>
      <w:proofErr w:type="spellStart"/>
      <w:r w:rsidRPr="00C40DAF">
        <w:rPr>
          <w:rFonts w:ascii="Arial" w:hAnsi="Arial" w:cs="Arial"/>
          <w:color w:val="222222"/>
          <w:sz w:val="26"/>
          <w:szCs w:val="26"/>
        </w:rPr>
        <w:t>optimises</w:t>
      </w:r>
      <w:proofErr w:type="spellEnd"/>
      <w:r w:rsidRPr="00C40DAF">
        <w:rPr>
          <w:rFonts w:ascii="Arial" w:hAnsi="Arial" w:cs="Arial"/>
          <w:color w:val="222222"/>
          <w:sz w:val="26"/>
          <w:szCs w:val="26"/>
        </w:rPr>
        <w:t xml:space="preserve"> fulfilment. The value Korama Holdings owns and protects is the software, the data, and the brand. The moat is not any single warehouse. It is the codebase, the demand data, the routing intelligence, and the origin and compliance engine that lets goods move lawfully across borders.</w:t>
      </w:r>
    </w:p>
    <w:p w14:paraId="719A2B30"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4. Customer Segments</w:t>
      </w:r>
    </w:p>
    <w:p w14:paraId="4277C926" w14:textId="77777777" w:rsidR="00756D37" w:rsidRPr="00C40DAF" w:rsidRDefault="00756D37">
      <w:pPr>
        <w:pBdr>
          <w:bottom w:val="single" w:sz="6" w:space="0" w:color="B8860B"/>
        </w:pBdr>
        <w:spacing w:before="60" w:after="160"/>
        <w:rPr>
          <w:rFonts w:ascii="Arial" w:hAnsi="Arial" w:cs="Arial"/>
          <w:sz w:val="26"/>
          <w:szCs w:val="26"/>
        </w:rPr>
      </w:pPr>
    </w:p>
    <w:p w14:paraId="086C8243"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The operating companies serve four segments through one application, separated by role-based access control.</w:t>
      </w:r>
    </w:p>
    <w:p w14:paraId="45CDF472"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Retail consumers. Everyday shoppers across the lifestyle verticals, buying at retail with home delivery, in each market the group enters.</w:t>
      </w:r>
    </w:p>
    <w:p w14:paraId="0927846C"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Business buyers and boutique owners. Verified resellers who unlock bulk pricing, minimum order quantities, and freight.</w:t>
      </w:r>
    </w:p>
    <w:p w14:paraId="4C0FCFE4"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Cross-border buyers across West Africa. Bulk buyers and resellers in the priority ECOWAS markets, served through decoupled, direct-import operations in each country.</w:t>
      </w:r>
    </w:p>
    <w:p w14:paraId="15A74190"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Buyers of Ghana-origin goods. Regional and continental buyers of goods produced or substantially transformed in Ghana, moving duty-free under ECOWAS and African Continental Free Trade Area origin rules.</w:t>
      </w:r>
    </w:p>
    <w:p w14:paraId="4C8ADBB9"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5. Geographic Market Model and Priority Countries</w:t>
      </w:r>
    </w:p>
    <w:p w14:paraId="061C1AB5" w14:textId="77777777" w:rsidR="00756D37" w:rsidRPr="00C40DAF" w:rsidRDefault="00756D37">
      <w:pPr>
        <w:pBdr>
          <w:bottom w:val="single" w:sz="6" w:space="0" w:color="B8860B"/>
        </w:pBdr>
        <w:spacing w:before="60" w:after="160"/>
        <w:rPr>
          <w:rFonts w:ascii="Arial" w:hAnsi="Arial" w:cs="Arial"/>
          <w:sz w:val="26"/>
          <w:szCs w:val="26"/>
        </w:rPr>
      </w:pPr>
    </w:p>
    <w:p w14:paraId="7F3944B4"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The market is the wider West African region, anchored on Ghana as home and Nigeria as the largest market, and widened to five further ECOWAS states. Two design rules govern the model.</w:t>
      </w:r>
    </w:p>
    <w:p w14:paraId="530D9B03"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Decouple the supply chains. Import each market's stock directly into that market's port and clear it under local duty. Do not use Ghana as a transshipment gateway for third-country goods.</w:t>
      </w:r>
    </w:p>
    <w:p w14:paraId="4C00920A"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Run a Ghana-origin export engine in parallel. Source and lightly transform goods in Ghana so they qualify as originating, then export them duty-free across the region and the continent.</w:t>
      </w:r>
    </w:p>
    <w:p w14:paraId="4CEF5C34"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b/>
          <w:bCs/>
          <w:color w:val="0A1F44"/>
          <w:sz w:val="26"/>
          <w:szCs w:val="26"/>
        </w:rPr>
        <w:t xml:space="preserve">Note on the region. </w:t>
      </w:r>
      <w:r w:rsidRPr="00C40DAF">
        <w:rPr>
          <w:rFonts w:ascii="Arial" w:hAnsi="Arial" w:cs="Arial"/>
          <w:color w:val="222222"/>
          <w:sz w:val="26"/>
          <w:szCs w:val="26"/>
        </w:rPr>
        <w:t>Since January 2025, ECOWAS no longer includes Mali, Burkina Faso and Niger, which withdrew to form the Alliance of Sahel States. The model is therefore built on the twelve remaining members, with francophone stability as an advantage: the UEMOA states share the CFA franc, pegged to the euro and freely convertible, which removes much of the currency friction seen in Nigeria.</w:t>
      </w:r>
    </w:p>
    <w:p w14:paraId="15B1172D" w14:textId="77777777" w:rsidR="00756D37" w:rsidRPr="00C40DAF" w:rsidRDefault="00000000">
      <w:pPr>
        <w:pStyle w:val="Heading2"/>
        <w:spacing w:before="220" w:after="100"/>
        <w:rPr>
          <w:rFonts w:ascii="Arial" w:hAnsi="Arial" w:cs="Arial"/>
        </w:rPr>
      </w:pPr>
      <w:r w:rsidRPr="00C40DAF">
        <w:rPr>
          <w:rFonts w:ascii="Arial" w:hAnsi="Arial" w:cs="Arial"/>
          <w:b/>
          <w:bCs/>
          <w:color w:val="0A1F44"/>
        </w:rPr>
        <w:lastRenderedPageBreak/>
        <w:t>5.1 Priority countries, in order</w:t>
      </w:r>
    </w:p>
    <w:tbl>
      <w:tblPr>
        <w:tblW w:w="103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400"/>
        <w:gridCol w:w="2400"/>
        <w:gridCol w:w="2400"/>
        <w:gridCol w:w="1700"/>
        <w:gridCol w:w="2400"/>
      </w:tblGrid>
      <w:tr w:rsidR="00756D37" w:rsidRPr="00C40DAF" w14:paraId="35D527CB" w14:textId="77777777">
        <w:tblPrEx>
          <w:tblCellMar>
            <w:top w:w="0" w:type="dxa"/>
            <w:bottom w:w="0" w:type="dxa"/>
          </w:tblCellMar>
        </w:tblPrEx>
        <w:trPr>
          <w:tblHeader/>
        </w:trPr>
        <w:tc>
          <w:tcPr>
            <w:tcW w:w="1400" w:type="dxa"/>
            <w:shd w:val="clear" w:color="auto" w:fill="0A1F44"/>
            <w:tcMar>
              <w:top w:w="60" w:type="dxa"/>
              <w:left w:w="110" w:type="dxa"/>
              <w:bottom w:w="60" w:type="dxa"/>
              <w:right w:w="110" w:type="dxa"/>
            </w:tcMar>
          </w:tcPr>
          <w:p w14:paraId="45D2DC7C"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Country</w:t>
            </w:r>
          </w:p>
        </w:tc>
        <w:tc>
          <w:tcPr>
            <w:tcW w:w="2400" w:type="dxa"/>
            <w:shd w:val="clear" w:color="auto" w:fill="0A1F44"/>
            <w:tcMar>
              <w:top w:w="60" w:type="dxa"/>
              <w:left w:w="110" w:type="dxa"/>
              <w:bottom w:w="60" w:type="dxa"/>
              <w:right w:w="110" w:type="dxa"/>
            </w:tcMar>
          </w:tcPr>
          <w:p w14:paraId="4561514C"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Market size</w:t>
            </w:r>
          </w:p>
        </w:tc>
        <w:tc>
          <w:tcPr>
            <w:tcW w:w="2400" w:type="dxa"/>
            <w:shd w:val="clear" w:color="auto" w:fill="0A1F44"/>
            <w:tcMar>
              <w:top w:w="60" w:type="dxa"/>
              <w:left w:w="110" w:type="dxa"/>
              <w:bottom w:w="60" w:type="dxa"/>
              <w:right w:w="110" w:type="dxa"/>
            </w:tcMar>
          </w:tcPr>
          <w:p w14:paraId="417898B1"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Port</w:t>
            </w:r>
          </w:p>
        </w:tc>
        <w:tc>
          <w:tcPr>
            <w:tcW w:w="1700" w:type="dxa"/>
            <w:shd w:val="clear" w:color="auto" w:fill="0A1F44"/>
            <w:tcMar>
              <w:top w:w="60" w:type="dxa"/>
              <w:left w:w="110" w:type="dxa"/>
              <w:bottom w:w="60" w:type="dxa"/>
              <w:right w:w="110" w:type="dxa"/>
            </w:tcMar>
          </w:tcPr>
          <w:p w14:paraId="4A868E19"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Currency</w:t>
            </w:r>
          </w:p>
        </w:tc>
        <w:tc>
          <w:tcPr>
            <w:tcW w:w="2400" w:type="dxa"/>
            <w:shd w:val="clear" w:color="auto" w:fill="0A1F44"/>
            <w:tcMar>
              <w:top w:w="60" w:type="dxa"/>
              <w:left w:w="110" w:type="dxa"/>
              <w:bottom w:w="60" w:type="dxa"/>
              <w:right w:w="110" w:type="dxa"/>
            </w:tcMar>
          </w:tcPr>
          <w:p w14:paraId="27064015"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Priority and role</w:t>
            </w:r>
          </w:p>
        </w:tc>
      </w:tr>
      <w:tr w:rsidR="00756D37" w:rsidRPr="00C40DAF" w14:paraId="5CF28A28" w14:textId="77777777">
        <w:tblPrEx>
          <w:tblCellMar>
            <w:top w:w="0" w:type="dxa"/>
            <w:bottom w:w="0" w:type="dxa"/>
          </w:tblCellMar>
        </w:tblPrEx>
        <w:tc>
          <w:tcPr>
            <w:tcW w:w="1400" w:type="dxa"/>
            <w:tcMar>
              <w:top w:w="60" w:type="dxa"/>
              <w:left w:w="110" w:type="dxa"/>
              <w:bottom w:w="60" w:type="dxa"/>
              <w:right w:w="110" w:type="dxa"/>
            </w:tcMar>
          </w:tcPr>
          <w:p w14:paraId="4D645922"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Nigeria</w:t>
            </w:r>
          </w:p>
        </w:tc>
        <w:tc>
          <w:tcPr>
            <w:tcW w:w="2400" w:type="dxa"/>
            <w:tcMar>
              <w:top w:w="60" w:type="dxa"/>
              <w:left w:w="110" w:type="dxa"/>
              <w:bottom w:w="60" w:type="dxa"/>
              <w:right w:w="110" w:type="dxa"/>
            </w:tcMar>
          </w:tcPr>
          <w:p w14:paraId="1DBC44A5"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Largest in Africa; very large consumer base</w:t>
            </w:r>
          </w:p>
        </w:tc>
        <w:tc>
          <w:tcPr>
            <w:tcW w:w="2400" w:type="dxa"/>
            <w:tcMar>
              <w:top w:w="60" w:type="dxa"/>
              <w:left w:w="110" w:type="dxa"/>
              <w:bottom w:w="60" w:type="dxa"/>
              <w:right w:w="110" w:type="dxa"/>
            </w:tcMar>
          </w:tcPr>
          <w:p w14:paraId="5AA238DE"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Lekki Deep Sea (deep, automated)</w:t>
            </w:r>
          </w:p>
        </w:tc>
        <w:tc>
          <w:tcPr>
            <w:tcW w:w="1700" w:type="dxa"/>
            <w:tcMar>
              <w:top w:w="60" w:type="dxa"/>
              <w:left w:w="110" w:type="dxa"/>
              <w:bottom w:w="60" w:type="dxa"/>
              <w:right w:w="110" w:type="dxa"/>
            </w:tcMar>
          </w:tcPr>
          <w:p w14:paraId="1C6C8F11"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Naira, volatile</w:t>
            </w:r>
          </w:p>
        </w:tc>
        <w:tc>
          <w:tcPr>
            <w:tcW w:w="2400" w:type="dxa"/>
            <w:tcMar>
              <w:top w:w="60" w:type="dxa"/>
              <w:left w:w="110" w:type="dxa"/>
              <w:bottom w:w="60" w:type="dxa"/>
              <w:right w:w="110" w:type="dxa"/>
            </w:tcMar>
          </w:tcPr>
          <w:p w14:paraId="0BB940AB"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Anchor market; highest volume, highest currency risk</w:t>
            </w:r>
          </w:p>
        </w:tc>
      </w:tr>
      <w:tr w:rsidR="00756D37" w:rsidRPr="00C40DAF" w14:paraId="5DB62EB9" w14:textId="77777777">
        <w:tblPrEx>
          <w:tblCellMar>
            <w:top w:w="0" w:type="dxa"/>
            <w:bottom w:w="0" w:type="dxa"/>
          </w:tblCellMar>
        </w:tblPrEx>
        <w:tc>
          <w:tcPr>
            <w:tcW w:w="1400" w:type="dxa"/>
            <w:shd w:val="clear" w:color="auto" w:fill="EEF1F6"/>
            <w:tcMar>
              <w:top w:w="60" w:type="dxa"/>
              <w:left w:w="110" w:type="dxa"/>
              <w:bottom w:w="60" w:type="dxa"/>
              <w:right w:w="110" w:type="dxa"/>
            </w:tcMar>
          </w:tcPr>
          <w:p w14:paraId="5FAAF68C"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Côte d'Ivoire</w:t>
            </w:r>
          </w:p>
        </w:tc>
        <w:tc>
          <w:tcPr>
            <w:tcW w:w="2400" w:type="dxa"/>
            <w:shd w:val="clear" w:color="auto" w:fill="EEF1F6"/>
            <w:tcMar>
              <w:top w:w="60" w:type="dxa"/>
              <w:left w:w="110" w:type="dxa"/>
              <w:bottom w:w="60" w:type="dxa"/>
              <w:right w:w="110" w:type="dxa"/>
            </w:tcMar>
          </w:tcPr>
          <w:p w14:paraId="3CC146C8"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Third-largest ECOWAS economy; strong growth</w:t>
            </w:r>
          </w:p>
        </w:tc>
        <w:tc>
          <w:tcPr>
            <w:tcW w:w="2400" w:type="dxa"/>
            <w:shd w:val="clear" w:color="auto" w:fill="EEF1F6"/>
            <w:tcMar>
              <w:top w:w="60" w:type="dxa"/>
              <w:left w:w="110" w:type="dxa"/>
              <w:bottom w:w="60" w:type="dxa"/>
              <w:right w:w="110" w:type="dxa"/>
            </w:tcMar>
          </w:tcPr>
          <w:p w14:paraId="5DC52C0A"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Abidjan, leading regional port</w:t>
            </w:r>
          </w:p>
        </w:tc>
        <w:tc>
          <w:tcPr>
            <w:tcW w:w="1700" w:type="dxa"/>
            <w:shd w:val="clear" w:color="auto" w:fill="EEF1F6"/>
            <w:tcMar>
              <w:top w:w="60" w:type="dxa"/>
              <w:left w:w="110" w:type="dxa"/>
              <w:bottom w:w="60" w:type="dxa"/>
              <w:right w:w="110" w:type="dxa"/>
            </w:tcMar>
          </w:tcPr>
          <w:p w14:paraId="70375D1D"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CFA franc, euro peg</w:t>
            </w:r>
          </w:p>
        </w:tc>
        <w:tc>
          <w:tcPr>
            <w:tcW w:w="2400" w:type="dxa"/>
            <w:shd w:val="clear" w:color="auto" w:fill="EEF1F6"/>
            <w:tcMar>
              <w:top w:w="60" w:type="dxa"/>
              <w:left w:w="110" w:type="dxa"/>
              <w:bottom w:w="60" w:type="dxa"/>
              <w:right w:w="110" w:type="dxa"/>
            </w:tcMar>
          </w:tcPr>
          <w:p w14:paraId="16FC0771"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First francophone entry; stable currency, deep port</w:t>
            </w:r>
          </w:p>
        </w:tc>
      </w:tr>
      <w:tr w:rsidR="00756D37" w:rsidRPr="00C40DAF" w14:paraId="440A2D0D" w14:textId="77777777">
        <w:tblPrEx>
          <w:tblCellMar>
            <w:top w:w="0" w:type="dxa"/>
            <w:bottom w:w="0" w:type="dxa"/>
          </w:tblCellMar>
        </w:tblPrEx>
        <w:tc>
          <w:tcPr>
            <w:tcW w:w="1400" w:type="dxa"/>
            <w:tcMar>
              <w:top w:w="60" w:type="dxa"/>
              <w:left w:w="110" w:type="dxa"/>
              <w:bottom w:w="60" w:type="dxa"/>
              <w:right w:w="110" w:type="dxa"/>
            </w:tcMar>
          </w:tcPr>
          <w:p w14:paraId="312B63A6"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Senegal</w:t>
            </w:r>
          </w:p>
        </w:tc>
        <w:tc>
          <w:tcPr>
            <w:tcW w:w="2400" w:type="dxa"/>
            <w:tcMar>
              <w:top w:w="60" w:type="dxa"/>
              <w:left w:w="110" w:type="dxa"/>
              <w:bottom w:w="60" w:type="dxa"/>
              <w:right w:w="110" w:type="dxa"/>
            </w:tcMar>
          </w:tcPr>
          <w:p w14:paraId="689A951E"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Fast-growing; regional services and digital hub</w:t>
            </w:r>
          </w:p>
        </w:tc>
        <w:tc>
          <w:tcPr>
            <w:tcW w:w="2400" w:type="dxa"/>
            <w:tcMar>
              <w:top w:w="60" w:type="dxa"/>
              <w:left w:w="110" w:type="dxa"/>
              <w:bottom w:w="60" w:type="dxa"/>
              <w:right w:w="110" w:type="dxa"/>
            </w:tcMar>
          </w:tcPr>
          <w:p w14:paraId="0D579A7C"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Dakar, new e-commerce fulfilment hub</w:t>
            </w:r>
          </w:p>
        </w:tc>
        <w:tc>
          <w:tcPr>
            <w:tcW w:w="1700" w:type="dxa"/>
            <w:tcMar>
              <w:top w:w="60" w:type="dxa"/>
              <w:left w:w="110" w:type="dxa"/>
              <w:bottom w:w="60" w:type="dxa"/>
              <w:right w:w="110" w:type="dxa"/>
            </w:tcMar>
          </w:tcPr>
          <w:p w14:paraId="74CE40D0"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CFA franc, euro peg</w:t>
            </w:r>
          </w:p>
        </w:tc>
        <w:tc>
          <w:tcPr>
            <w:tcW w:w="2400" w:type="dxa"/>
            <w:tcMar>
              <w:top w:w="60" w:type="dxa"/>
              <w:left w:w="110" w:type="dxa"/>
              <w:bottom w:w="60" w:type="dxa"/>
              <w:right w:w="110" w:type="dxa"/>
            </w:tcMar>
          </w:tcPr>
          <w:p w14:paraId="27996D7D"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Second francophone entry; digital-trade momentum</w:t>
            </w:r>
          </w:p>
        </w:tc>
      </w:tr>
      <w:tr w:rsidR="00756D37" w:rsidRPr="00C40DAF" w14:paraId="6C598A06" w14:textId="77777777">
        <w:tblPrEx>
          <w:tblCellMar>
            <w:top w:w="0" w:type="dxa"/>
            <w:bottom w:w="0" w:type="dxa"/>
          </w:tblCellMar>
        </w:tblPrEx>
        <w:tc>
          <w:tcPr>
            <w:tcW w:w="1400" w:type="dxa"/>
            <w:shd w:val="clear" w:color="auto" w:fill="EEF1F6"/>
            <w:tcMar>
              <w:top w:w="60" w:type="dxa"/>
              <w:left w:w="110" w:type="dxa"/>
              <w:bottom w:w="60" w:type="dxa"/>
              <w:right w:w="110" w:type="dxa"/>
            </w:tcMar>
          </w:tcPr>
          <w:p w14:paraId="556F20FD"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Togo</w:t>
            </w:r>
          </w:p>
        </w:tc>
        <w:tc>
          <w:tcPr>
            <w:tcW w:w="2400" w:type="dxa"/>
            <w:shd w:val="clear" w:color="auto" w:fill="EEF1F6"/>
            <w:tcMar>
              <w:top w:w="60" w:type="dxa"/>
              <w:left w:w="110" w:type="dxa"/>
              <w:bottom w:w="60" w:type="dxa"/>
              <w:right w:w="110" w:type="dxa"/>
            </w:tcMar>
          </w:tcPr>
          <w:p w14:paraId="23517EE0"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Small home market but the regional logistics spine</w:t>
            </w:r>
          </w:p>
        </w:tc>
        <w:tc>
          <w:tcPr>
            <w:tcW w:w="2400" w:type="dxa"/>
            <w:shd w:val="clear" w:color="auto" w:fill="EEF1F6"/>
            <w:tcMar>
              <w:top w:w="60" w:type="dxa"/>
              <w:left w:w="110" w:type="dxa"/>
              <w:bottom w:w="60" w:type="dxa"/>
              <w:right w:w="110" w:type="dxa"/>
            </w:tcMar>
          </w:tcPr>
          <w:p w14:paraId="087D1F9C"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Lome, premier deep-water transshipment hub</w:t>
            </w:r>
          </w:p>
        </w:tc>
        <w:tc>
          <w:tcPr>
            <w:tcW w:w="1700" w:type="dxa"/>
            <w:shd w:val="clear" w:color="auto" w:fill="EEF1F6"/>
            <w:tcMar>
              <w:top w:w="60" w:type="dxa"/>
              <w:left w:w="110" w:type="dxa"/>
              <w:bottom w:w="60" w:type="dxa"/>
              <w:right w:w="110" w:type="dxa"/>
            </w:tcMar>
          </w:tcPr>
          <w:p w14:paraId="43325B0B"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CFA franc, euro peg</w:t>
            </w:r>
          </w:p>
        </w:tc>
        <w:tc>
          <w:tcPr>
            <w:tcW w:w="2400" w:type="dxa"/>
            <w:shd w:val="clear" w:color="auto" w:fill="EEF1F6"/>
            <w:tcMar>
              <w:top w:w="60" w:type="dxa"/>
              <w:left w:w="110" w:type="dxa"/>
              <w:bottom w:w="60" w:type="dxa"/>
              <w:right w:w="110" w:type="dxa"/>
            </w:tcMar>
          </w:tcPr>
          <w:p w14:paraId="7DDB97C0"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Distribution and consolidation node, not an end-market</w:t>
            </w:r>
          </w:p>
        </w:tc>
      </w:tr>
      <w:tr w:rsidR="00756D37" w:rsidRPr="00C40DAF" w14:paraId="52576B16" w14:textId="77777777">
        <w:tblPrEx>
          <w:tblCellMar>
            <w:top w:w="0" w:type="dxa"/>
            <w:bottom w:w="0" w:type="dxa"/>
          </w:tblCellMar>
        </w:tblPrEx>
        <w:tc>
          <w:tcPr>
            <w:tcW w:w="1400" w:type="dxa"/>
            <w:tcMar>
              <w:top w:w="60" w:type="dxa"/>
              <w:left w:w="110" w:type="dxa"/>
              <w:bottom w:w="60" w:type="dxa"/>
              <w:right w:w="110" w:type="dxa"/>
            </w:tcMar>
          </w:tcPr>
          <w:p w14:paraId="4210E9F6"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Benin</w:t>
            </w:r>
          </w:p>
        </w:tc>
        <w:tc>
          <w:tcPr>
            <w:tcW w:w="2400" w:type="dxa"/>
            <w:tcMar>
              <w:top w:w="60" w:type="dxa"/>
              <w:left w:w="110" w:type="dxa"/>
              <w:bottom w:w="60" w:type="dxa"/>
              <w:right w:w="110" w:type="dxa"/>
            </w:tcMar>
          </w:tcPr>
          <w:p w14:paraId="1DEC5DDB"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Sizeable; Nigeria-adjacent</w:t>
            </w:r>
          </w:p>
        </w:tc>
        <w:tc>
          <w:tcPr>
            <w:tcW w:w="2400" w:type="dxa"/>
            <w:tcMar>
              <w:top w:w="60" w:type="dxa"/>
              <w:left w:w="110" w:type="dxa"/>
              <w:bottom w:w="60" w:type="dxa"/>
              <w:right w:w="110" w:type="dxa"/>
            </w:tcMar>
          </w:tcPr>
          <w:p w14:paraId="0FD96C15"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Cotonou</w:t>
            </w:r>
          </w:p>
        </w:tc>
        <w:tc>
          <w:tcPr>
            <w:tcW w:w="1700" w:type="dxa"/>
            <w:tcMar>
              <w:top w:w="60" w:type="dxa"/>
              <w:left w:w="110" w:type="dxa"/>
              <w:bottom w:w="60" w:type="dxa"/>
              <w:right w:w="110" w:type="dxa"/>
            </w:tcMar>
          </w:tcPr>
          <w:p w14:paraId="23142D15"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CFA franc, euro peg</w:t>
            </w:r>
          </w:p>
        </w:tc>
        <w:tc>
          <w:tcPr>
            <w:tcW w:w="2400" w:type="dxa"/>
            <w:tcMar>
              <w:top w:w="60" w:type="dxa"/>
              <w:left w:w="110" w:type="dxa"/>
              <w:bottom w:w="60" w:type="dxa"/>
              <w:right w:w="110" w:type="dxa"/>
            </w:tcMar>
          </w:tcPr>
          <w:p w14:paraId="58125518"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Nigeria-adjacent reach; watch border volatility</w:t>
            </w:r>
          </w:p>
        </w:tc>
      </w:tr>
      <w:tr w:rsidR="00756D37" w:rsidRPr="00C40DAF" w14:paraId="024961EB" w14:textId="77777777">
        <w:tblPrEx>
          <w:tblCellMar>
            <w:top w:w="0" w:type="dxa"/>
            <w:bottom w:w="0" w:type="dxa"/>
          </w:tblCellMar>
        </w:tblPrEx>
        <w:tc>
          <w:tcPr>
            <w:tcW w:w="1400" w:type="dxa"/>
            <w:shd w:val="clear" w:color="auto" w:fill="EEF1F6"/>
            <w:tcMar>
              <w:top w:w="60" w:type="dxa"/>
              <w:left w:w="110" w:type="dxa"/>
              <w:bottom w:w="60" w:type="dxa"/>
              <w:right w:w="110" w:type="dxa"/>
            </w:tcMar>
          </w:tcPr>
          <w:p w14:paraId="7EB3FE02"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Guinea</w:t>
            </w:r>
          </w:p>
        </w:tc>
        <w:tc>
          <w:tcPr>
            <w:tcW w:w="2400" w:type="dxa"/>
            <w:shd w:val="clear" w:color="auto" w:fill="EEF1F6"/>
            <w:tcMar>
              <w:top w:w="60" w:type="dxa"/>
              <w:left w:w="110" w:type="dxa"/>
              <w:bottom w:w="60" w:type="dxa"/>
              <w:right w:w="110" w:type="dxa"/>
            </w:tcMar>
          </w:tcPr>
          <w:p w14:paraId="5A249CD1"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Sizeable population; mining economy</w:t>
            </w:r>
          </w:p>
        </w:tc>
        <w:tc>
          <w:tcPr>
            <w:tcW w:w="2400" w:type="dxa"/>
            <w:shd w:val="clear" w:color="auto" w:fill="EEF1F6"/>
            <w:tcMar>
              <w:top w:w="60" w:type="dxa"/>
              <w:left w:w="110" w:type="dxa"/>
              <w:bottom w:w="60" w:type="dxa"/>
              <w:right w:w="110" w:type="dxa"/>
            </w:tcMar>
          </w:tcPr>
          <w:p w14:paraId="49A0F523"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Conakry</w:t>
            </w:r>
          </w:p>
        </w:tc>
        <w:tc>
          <w:tcPr>
            <w:tcW w:w="1700" w:type="dxa"/>
            <w:shd w:val="clear" w:color="auto" w:fill="EEF1F6"/>
            <w:tcMar>
              <w:top w:w="60" w:type="dxa"/>
              <w:left w:w="110" w:type="dxa"/>
              <w:bottom w:w="60" w:type="dxa"/>
              <w:right w:w="110" w:type="dxa"/>
            </w:tcMar>
          </w:tcPr>
          <w:p w14:paraId="3EE9192E"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Guinean franc, volatile</w:t>
            </w:r>
          </w:p>
        </w:tc>
        <w:tc>
          <w:tcPr>
            <w:tcW w:w="2400" w:type="dxa"/>
            <w:shd w:val="clear" w:color="auto" w:fill="EEF1F6"/>
            <w:tcMar>
              <w:top w:w="60" w:type="dxa"/>
              <w:left w:w="110" w:type="dxa"/>
              <w:bottom w:w="60" w:type="dxa"/>
              <w:right w:w="110" w:type="dxa"/>
            </w:tcMar>
          </w:tcPr>
          <w:p w14:paraId="0F77CEE8"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Later phase; higher friction, weaker e-commerce base</w:t>
            </w:r>
          </w:p>
        </w:tc>
      </w:tr>
    </w:tbl>
    <w:p w14:paraId="543E1A5C"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b/>
          <w:bCs/>
          <w:color w:val="0A1F44"/>
          <w:sz w:val="26"/>
          <w:szCs w:val="26"/>
        </w:rPr>
        <w:t xml:space="preserve">Duty </w:t>
      </w:r>
      <w:proofErr w:type="gramStart"/>
      <w:r w:rsidRPr="00C40DAF">
        <w:rPr>
          <w:rFonts w:ascii="Arial" w:hAnsi="Arial" w:cs="Arial"/>
          <w:b/>
          <w:bCs/>
          <w:color w:val="0A1F44"/>
          <w:sz w:val="26"/>
          <w:szCs w:val="26"/>
        </w:rPr>
        <w:t>note</w:t>
      </w:r>
      <w:proofErr w:type="gramEnd"/>
      <w:r w:rsidRPr="00C40DAF">
        <w:rPr>
          <w:rFonts w:ascii="Arial" w:hAnsi="Arial" w:cs="Arial"/>
          <w:b/>
          <w:bCs/>
          <w:color w:val="0A1F44"/>
          <w:sz w:val="26"/>
          <w:szCs w:val="26"/>
        </w:rPr>
        <w:t xml:space="preserve">. </w:t>
      </w:r>
      <w:r w:rsidRPr="00C40DAF">
        <w:rPr>
          <w:rFonts w:ascii="Arial" w:hAnsi="Arial" w:cs="Arial"/>
          <w:color w:val="222222"/>
          <w:sz w:val="26"/>
          <w:szCs w:val="26"/>
        </w:rPr>
        <w:t xml:space="preserve">ECOWAS operates a common external tariff, so third-country import duty is broadly the same across all these markets, in five bands from zero to thirty-five per cent. The real differentiators are value-added tax, port charges, currency and market size. The francophone UEMOA states apply a </w:t>
      </w:r>
      <w:proofErr w:type="spellStart"/>
      <w:r w:rsidRPr="00C40DAF">
        <w:rPr>
          <w:rFonts w:ascii="Arial" w:hAnsi="Arial" w:cs="Arial"/>
          <w:color w:val="222222"/>
          <w:sz w:val="26"/>
          <w:szCs w:val="26"/>
        </w:rPr>
        <w:t>harmonised</w:t>
      </w:r>
      <w:proofErr w:type="spellEnd"/>
      <w:r w:rsidRPr="00C40DAF">
        <w:rPr>
          <w:rFonts w:ascii="Arial" w:hAnsi="Arial" w:cs="Arial"/>
          <w:color w:val="222222"/>
          <w:sz w:val="26"/>
          <w:szCs w:val="26"/>
        </w:rPr>
        <w:t xml:space="preserve"> eighteen per cent VAT; Nigeria applies seven and a half per cent; Ghana about twenty per cent effective. Ghana-origin goods that meet the rules of origin move between these markets duty-free.</w:t>
      </w:r>
    </w:p>
    <w:p w14:paraId="6D8618C8" w14:textId="77777777" w:rsidR="00756D37" w:rsidRPr="00C40DAF" w:rsidRDefault="00000000">
      <w:pPr>
        <w:pStyle w:val="Heading2"/>
        <w:spacing w:before="220" w:after="100"/>
        <w:rPr>
          <w:rFonts w:ascii="Arial" w:hAnsi="Arial" w:cs="Arial"/>
        </w:rPr>
      </w:pPr>
      <w:r w:rsidRPr="00C40DAF">
        <w:rPr>
          <w:rFonts w:ascii="Arial" w:hAnsi="Arial" w:cs="Arial"/>
          <w:b/>
          <w:bCs/>
          <w:color w:val="0A1F44"/>
        </w:rPr>
        <w:t>5.2 Recommended sequence</w:t>
      </w:r>
    </w:p>
    <w:p w14:paraId="4C71ADF0"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Phase 1. Ghana as home base and Nigeria as the anchor market, each supplied by direct import.</w:t>
      </w:r>
    </w:p>
    <w:p w14:paraId="402A9EA3"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Phase 2. Cote d'Ivoire and Senegal, the two strongest francophone markets, taking advantage of the stable CFA franc and Dakar's fulfilment infrastructure.</w:t>
      </w:r>
    </w:p>
    <w:p w14:paraId="3E14B3DF"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Phase 3. Togo as the regional distribution spine through Lome, and Benin for Nigeria-adjacent reach.</w:t>
      </w:r>
    </w:p>
    <w:p w14:paraId="3B4557FD"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lastRenderedPageBreak/>
        <w:t>Phase 4. Guinea, once the platform and the compliance engine are proven.</w:t>
      </w:r>
    </w:p>
    <w:p w14:paraId="6E4D66EA"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i/>
          <w:iCs/>
          <w:color w:val="222222"/>
          <w:sz w:val="26"/>
          <w:szCs w:val="26"/>
        </w:rPr>
        <w:t>A full market-entry deep-dive per country, covering port economics, duty and tax detail, currency, and market size, should be commissioned before committing capital to each phase. The order above is the recommendation; the deep-dive confirms or adjusts it.</w:t>
      </w:r>
    </w:p>
    <w:p w14:paraId="2A720F54"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6. Revenue Streams</w:t>
      </w:r>
    </w:p>
    <w:p w14:paraId="74C2C7C7" w14:textId="77777777" w:rsidR="00756D37" w:rsidRPr="00C40DAF" w:rsidRDefault="00756D37">
      <w:pPr>
        <w:pBdr>
          <w:bottom w:val="single" w:sz="6" w:space="0" w:color="B8860B"/>
        </w:pBdr>
        <w:spacing w:before="60" w:after="160"/>
        <w:rPr>
          <w:rFonts w:ascii="Arial" w:hAnsi="Arial" w:cs="Arial"/>
          <w:sz w:val="26"/>
          <w:szCs w:val="26"/>
        </w:rPr>
      </w:pPr>
    </w:p>
    <w:p w14:paraId="6F771B52"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The group earns at the operating level, now from two directions. Korama Holdings then captures a defined share through intercompany technology and service arrangements, and through equity appreciation.</w:t>
      </w:r>
    </w:p>
    <w:p w14:paraId="476006B5" w14:textId="77777777" w:rsidR="00756D37" w:rsidRPr="00C40DAF" w:rsidRDefault="00000000">
      <w:pPr>
        <w:pStyle w:val="Heading2"/>
        <w:spacing w:before="220" w:after="100"/>
        <w:rPr>
          <w:rFonts w:ascii="Arial" w:hAnsi="Arial" w:cs="Arial"/>
        </w:rPr>
      </w:pPr>
      <w:r w:rsidRPr="00C40DAF">
        <w:rPr>
          <w:rFonts w:ascii="Arial" w:hAnsi="Arial" w:cs="Arial"/>
          <w:b/>
          <w:bCs/>
          <w:color w:val="0A1F44"/>
        </w:rPr>
        <w:t>6.1 Group operating revenue</w:t>
      </w:r>
    </w:p>
    <w:tbl>
      <w:tblPr>
        <w:tblW w:w="94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500"/>
        <w:gridCol w:w="5100"/>
        <w:gridCol w:w="1800"/>
      </w:tblGrid>
      <w:tr w:rsidR="00756D37" w:rsidRPr="00C40DAF" w14:paraId="3095F23C" w14:textId="77777777">
        <w:tblPrEx>
          <w:tblCellMar>
            <w:top w:w="0" w:type="dxa"/>
            <w:bottom w:w="0" w:type="dxa"/>
          </w:tblCellMar>
        </w:tblPrEx>
        <w:trPr>
          <w:tblHeader/>
        </w:trPr>
        <w:tc>
          <w:tcPr>
            <w:tcW w:w="2500" w:type="dxa"/>
            <w:shd w:val="clear" w:color="auto" w:fill="0A1F44"/>
            <w:tcMar>
              <w:top w:w="60" w:type="dxa"/>
              <w:left w:w="110" w:type="dxa"/>
              <w:bottom w:w="60" w:type="dxa"/>
              <w:right w:w="110" w:type="dxa"/>
            </w:tcMar>
          </w:tcPr>
          <w:p w14:paraId="49EE3993"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Stream</w:t>
            </w:r>
          </w:p>
        </w:tc>
        <w:tc>
          <w:tcPr>
            <w:tcW w:w="5100" w:type="dxa"/>
            <w:shd w:val="clear" w:color="auto" w:fill="0A1F44"/>
            <w:tcMar>
              <w:top w:w="60" w:type="dxa"/>
              <w:left w:w="110" w:type="dxa"/>
              <w:bottom w:w="60" w:type="dxa"/>
              <w:right w:w="110" w:type="dxa"/>
            </w:tcMar>
          </w:tcPr>
          <w:p w14:paraId="5323A4DA"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Description</w:t>
            </w:r>
          </w:p>
        </w:tc>
        <w:tc>
          <w:tcPr>
            <w:tcW w:w="1800" w:type="dxa"/>
            <w:shd w:val="clear" w:color="auto" w:fill="0A1F44"/>
            <w:tcMar>
              <w:top w:w="60" w:type="dxa"/>
              <w:left w:w="110" w:type="dxa"/>
              <w:bottom w:w="60" w:type="dxa"/>
              <w:right w:w="110" w:type="dxa"/>
            </w:tcMar>
          </w:tcPr>
          <w:p w14:paraId="197820FB"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Direction</w:t>
            </w:r>
          </w:p>
        </w:tc>
      </w:tr>
      <w:tr w:rsidR="00756D37" w:rsidRPr="00C40DAF" w14:paraId="6B63726B" w14:textId="77777777">
        <w:tblPrEx>
          <w:tblCellMar>
            <w:top w:w="0" w:type="dxa"/>
            <w:bottom w:w="0" w:type="dxa"/>
          </w:tblCellMar>
        </w:tblPrEx>
        <w:tc>
          <w:tcPr>
            <w:tcW w:w="2500" w:type="dxa"/>
            <w:tcMar>
              <w:top w:w="60" w:type="dxa"/>
              <w:left w:w="110" w:type="dxa"/>
              <w:bottom w:w="60" w:type="dxa"/>
              <w:right w:w="110" w:type="dxa"/>
            </w:tcMar>
          </w:tcPr>
          <w:p w14:paraId="037AB25B"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Retail margin</w:t>
            </w:r>
          </w:p>
        </w:tc>
        <w:tc>
          <w:tcPr>
            <w:tcW w:w="5100" w:type="dxa"/>
            <w:tcMar>
              <w:top w:w="60" w:type="dxa"/>
              <w:left w:w="110" w:type="dxa"/>
              <w:bottom w:w="60" w:type="dxa"/>
              <w:right w:w="110" w:type="dxa"/>
            </w:tcMar>
          </w:tcPr>
          <w:p w14:paraId="1518F646"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Mark-up on goods sold at retail across the verticals</w:t>
            </w:r>
          </w:p>
        </w:tc>
        <w:tc>
          <w:tcPr>
            <w:tcW w:w="1800" w:type="dxa"/>
            <w:tcMar>
              <w:top w:w="60" w:type="dxa"/>
              <w:left w:w="110" w:type="dxa"/>
              <w:bottom w:w="60" w:type="dxa"/>
              <w:right w:w="110" w:type="dxa"/>
            </w:tcMar>
          </w:tcPr>
          <w:p w14:paraId="79AC8B28"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Inbound</w:t>
            </w:r>
          </w:p>
        </w:tc>
      </w:tr>
      <w:tr w:rsidR="00756D37" w:rsidRPr="00C40DAF" w14:paraId="0F0BFA5C" w14:textId="77777777">
        <w:tblPrEx>
          <w:tblCellMar>
            <w:top w:w="0" w:type="dxa"/>
            <w:bottom w:w="0" w:type="dxa"/>
          </w:tblCellMar>
        </w:tblPrEx>
        <w:tc>
          <w:tcPr>
            <w:tcW w:w="2500" w:type="dxa"/>
            <w:shd w:val="clear" w:color="auto" w:fill="EEF1F6"/>
            <w:tcMar>
              <w:top w:w="60" w:type="dxa"/>
              <w:left w:w="110" w:type="dxa"/>
              <w:bottom w:w="60" w:type="dxa"/>
              <w:right w:w="110" w:type="dxa"/>
            </w:tcMar>
          </w:tcPr>
          <w:p w14:paraId="61295A7F"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Wholesale margin</w:t>
            </w:r>
          </w:p>
        </w:tc>
        <w:tc>
          <w:tcPr>
            <w:tcW w:w="5100" w:type="dxa"/>
            <w:shd w:val="clear" w:color="auto" w:fill="EEF1F6"/>
            <w:tcMar>
              <w:top w:w="60" w:type="dxa"/>
              <w:left w:w="110" w:type="dxa"/>
              <w:bottom w:w="60" w:type="dxa"/>
              <w:right w:w="110" w:type="dxa"/>
            </w:tcMar>
          </w:tcPr>
          <w:p w14:paraId="0A819C12"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Mark-up on bulk and pallet sales at tiered pricing</w:t>
            </w:r>
          </w:p>
        </w:tc>
        <w:tc>
          <w:tcPr>
            <w:tcW w:w="1800" w:type="dxa"/>
            <w:shd w:val="clear" w:color="auto" w:fill="EEF1F6"/>
            <w:tcMar>
              <w:top w:w="60" w:type="dxa"/>
              <w:left w:w="110" w:type="dxa"/>
              <w:bottom w:w="60" w:type="dxa"/>
              <w:right w:w="110" w:type="dxa"/>
            </w:tcMar>
          </w:tcPr>
          <w:p w14:paraId="294D2187"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Inbound</w:t>
            </w:r>
          </w:p>
        </w:tc>
      </w:tr>
      <w:tr w:rsidR="00756D37" w:rsidRPr="00C40DAF" w14:paraId="0058AC58" w14:textId="77777777">
        <w:tblPrEx>
          <w:tblCellMar>
            <w:top w:w="0" w:type="dxa"/>
            <w:bottom w:w="0" w:type="dxa"/>
          </w:tblCellMar>
        </w:tblPrEx>
        <w:tc>
          <w:tcPr>
            <w:tcW w:w="2500" w:type="dxa"/>
            <w:tcMar>
              <w:top w:w="60" w:type="dxa"/>
              <w:left w:w="110" w:type="dxa"/>
              <w:bottom w:w="60" w:type="dxa"/>
              <w:right w:w="110" w:type="dxa"/>
            </w:tcMar>
          </w:tcPr>
          <w:p w14:paraId="59904561"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Ghana-origin export margin</w:t>
            </w:r>
          </w:p>
        </w:tc>
        <w:tc>
          <w:tcPr>
            <w:tcW w:w="5100" w:type="dxa"/>
            <w:tcMar>
              <w:top w:w="60" w:type="dxa"/>
              <w:left w:w="110" w:type="dxa"/>
              <w:bottom w:w="60" w:type="dxa"/>
              <w:right w:w="110" w:type="dxa"/>
            </w:tcMar>
          </w:tcPr>
          <w:p w14:paraId="0EC28FA7"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Margin on Ghana-produced or transformed goods sold across the region and continent, duty-free where qualifying</w:t>
            </w:r>
          </w:p>
        </w:tc>
        <w:tc>
          <w:tcPr>
            <w:tcW w:w="1800" w:type="dxa"/>
            <w:tcMar>
              <w:top w:w="60" w:type="dxa"/>
              <w:left w:w="110" w:type="dxa"/>
              <w:bottom w:w="60" w:type="dxa"/>
              <w:right w:w="110" w:type="dxa"/>
            </w:tcMar>
          </w:tcPr>
          <w:p w14:paraId="590DC558"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Outbound</w:t>
            </w:r>
          </w:p>
        </w:tc>
      </w:tr>
      <w:tr w:rsidR="00756D37" w:rsidRPr="00C40DAF" w14:paraId="4980BE35" w14:textId="77777777">
        <w:tblPrEx>
          <w:tblCellMar>
            <w:top w:w="0" w:type="dxa"/>
            <w:bottom w:w="0" w:type="dxa"/>
          </w:tblCellMar>
        </w:tblPrEx>
        <w:tc>
          <w:tcPr>
            <w:tcW w:w="2500" w:type="dxa"/>
            <w:shd w:val="clear" w:color="auto" w:fill="EEF1F6"/>
            <w:tcMar>
              <w:top w:w="60" w:type="dxa"/>
              <w:left w:w="110" w:type="dxa"/>
              <w:bottom w:w="60" w:type="dxa"/>
              <w:right w:w="110" w:type="dxa"/>
            </w:tcMar>
          </w:tcPr>
          <w:p w14:paraId="64D86A9B"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Delivery fees</w:t>
            </w:r>
          </w:p>
        </w:tc>
        <w:tc>
          <w:tcPr>
            <w:tcW w:w="5100" w:type="dxa"/>
            <w:shd w:val="clear" w:color="auto" w:fill="EEF1F6"/>
            <w:tcMar>
              <w:top w:w="60" w:type="dxa"/>
              <w:left w:w="110" w:type="dxa"/>
              <w:bottom w:w="60" w:type="dxa"/>
              <w:right w:w="110" w:type="dxa"/>
            </w:tcMar>
          </w:tcPr>
          <w:p w14:paraId="5D7EB6D1"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Charges for bike and drone last-mile fulfilment</w:t>
            </w:r>
          </w:p>
        </w:tc>
        <w:tc>
          <w:tcPr>
            <w:tcW w:w="1800" w:type="dxa"/>
            <w:shd w:val="clear" w:color="auto" w:fill="EEF1F6"/>
            <w:tcMar>
              <w:top w:w="60" w:type="dxa"/>
              <w:left w:w="110" w:type="dxa"/>
              <w:bottom w:w="60" w:type="dxa"/>
              <w:right w:w="110" w:type="dxa"/>
            </w:tcMar>
          </w:tcPr>
          <w:p w14:paraId="6138577A"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Both</w:t>
            </w:r>
          </w:p>
        </w:tc>
      </w:tr>
      <w:tr w:rsidR="00756D37" w:rsidRPr="00C40DAF" w14:paraId="5CF8E335" w14:textId="77777777">
        <w:tblPrEx>
          <w:tblCellMar>
            <w:top w:w="0" w:type="dxa"/>
            <w:bottom w:w="0" w:type="dxa"/>
          </w:tblCellMar>
        </w:tblPrEx>
        <w:tc>
          <w:tcPr>
            <w:tcW w:w="2500" w:type="dxa"/>
            <w:tcMar>
              <w:top w:w="60" w:type="dxa"/>
              <w:left w:w="110" w:type="dxa"/>
              <w:bottom w:w="60" w:type="dxa"/>
              <w:right w:w="110" w:type="dxa"/>
            </w:tcMar>
          </w:tcPr>
          <w:p w14:paraId="6B0DDDC1"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Freight and export</w:t>
            </w:r>
          </w:p>
        </w:tc>
        <w:tc>
          <w:tcPr>
            <w:tcW w:w="5100" w:type="dxa"/>
            <w:tcMar>
              <w:top w:w="60" w:type="dxa"/>
              <w:left w:w="110" w:type="dxa"/>
              <w:bottom w:w="60" w:type="dxa"/>
              <w:right w:w="110" w:type="dxa"/>
            </w:tcMar>
          </w:tcPr>
          <w:p w14:paraId="0E01218A"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B2B freight and cross-border distribution charges</w:t>
            </w:r>
          </w:p>
        </w:tc>
        <w:tc>
          <w:tcPr>
            <w:tcW w:w="1800" w:type="dxa"/>
            <w:tcMar>
              <w:top w:w="60" w:type="dxa"/>
              <w:left w:w="110" w:type="dxa"/>
              <w:bottom w:w="60" w:type="dxa"/>
              <w:right w:w="110" w:type="dxa"/>
            </w:tcMar>
          </w:tcPr>
          <w:p w14:paraId="5C705850"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Both</w:t>
            </w:r>
          </w:p>
        </w:tc>
      </w:tr>
      <w:tr w:rsidR="00756D37" w:rsidRPr="00C40DAF" w14:paraId="1F58274A" w14:textId="77777777">
        <w:tblPrEx>
          <w:tblCellMar>
            <w:top w:w="0" w:type="dxa"/>
            <w:bottom w:w="0" w:type="dxa"/>
          </w:tblCellMar>
        </w:tblPrEx>
        <w:tc>
          <w:tcPr>
            <w:tcW w:w="2500" w:type="dxa"/>
            <w:shd w:val="clear" w:color="auto" w:fill="EEF1F6"/>
            <w:tcMar>
              <w:top w:w="60" w:type="dxa"/>
              <w:left w:w="110" w:type="dxa"/>
              <w:bottom w:w="60" w:type="dxa"/>
              <w:right w:w="110" w:type="dxa"/>
            </w:tcMar>
          </w:tcPr>
          <w:p w14:paraId="5331428B"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Marketplace fees</w:t>
            </w:r>
          </w:p>
        </w:tc>
        <w:tc>
          <w:tcPr>
            <w:tcW w:w="5100" w:type="dxa"/>
            <w:shd w:val="clear" w:color="auto" w:fill="EEF1F6"/>
            <w:tcMar>
              <w:top w:w="60" w:type="dxa"/>
              <w:left w:w="110" w:type="dxa"/>
              <w:bottom w:w="60" w:type="dxa"/>
              <w:right w:w="110" w:type="dxa"/>
            </w:tcMar>
          </w:tcPr>
          <w:p w14:paraId="23D2A39E"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Commission on third-party sellers onboarded to the platform</w:t>
            </w:r>
          </w:p>
        </w:tc>
        <w:tc>
          <w:tcPr>
            <w:tcW w:w="1800" w:type="dxa"/>
            <w:shd w:val="clear" w:color="auto" w:fill="EEF1F6"/>
            <w:tcMar>
              <w:top w:w="60" w:type="dxa"/>
              <w:left w:w="110" w:type="dxa"/>
              <w:bottom w:w="60" w:type="dxa"/>
              <w:right w:w="110" w:type="dxa"/>
            </w:tcMar>
          </w:tcPr>
          <w:p w14:paraId="62DBA50F"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Both</w:t>
            </w:r>
          </w:p>
        </w:tc>
      </w:tr>
      <w:tr w:rsidR="00756D37" w:rsidRPr="00C40DAF" w14:paraId="06BE0EEB" w14:textId="77777777">
        <w:tblPrEx>
          <w:tblCellMar>
            <w:top w:w="0" w:type="dxa"/>
            <w:bottom w:w="0" w:type="dxa"/>
          </w:tblCellMar>
        </w:tblPrEx>
        <w:tc>
          <w:tcPr>
            <w:tcW w:w="2500" w:type="dxa"/>
            <w:tcMar>
              <w:top w:w="60" w:type="dxa"/>
              <w:left w:w="110" w:type="dxa"/>
              <w:bottom w:w="60" w:type="dxa"/>
              <w:right w:w="110" w:type="dxa"/>
            </w:tcMar>
          </w:tcPr>
          <w:p w14:paraId="13E7F882"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Value-added services</w:t>
            </w:r>
          </w:p>
        </w:tc>
        <w:tc>
          <w:tcPr>
            <w:tcW w:w="5100" w:type="dxa"/>
            <w:tcMar>
              <w:top w:w="60" w:type="dxa"/>
              <w:left w:w="110" w:type="dxa"/>
              <w:bottom w:w="60" w:type="dxa"/>
              <w:right w:w="110" w:type="dxa"/>
            </w:tcMar>
          </w:tcPr>
          <w:p w14:paraId="453556A9"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AI-driven upsell, fulfilment for third parties, warehousing</w:t>
            </w:r>
          </w:p>
        </w:tc>
        <w:tc>
          <w:tcPr>
            <w:tcW w:w="1800" w:type="dxa"/>
            <w:tcMar>
              <w:top w:w="60" w:type="dxa"/>
              <w:left w:w="110" w:type="dxa"/>
              <w:bottom w:w="60" w:type="dxa"/>
              <w:right w:w="110" w:type="dxa"/>
            </w:tcMar>
          </w:tcPr>
          <w:p w14:paraId="2A4A7D85"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Both</w:t>
            </w:r>
          </w:p>
        </w:tc>
      </w:tr>
    </w:tbl>
    <w:p w14:paraId="444EF84E" w14:textId="77777777" w:rsidR="00756D37" w:rsidRPr="00C40DAF" w:rsidRDefault="00000000">
      <w:pPr>
        <w:pStyle w:val="Heading2"/>
        <w:spacing w:before="220" w:after="100"/>
        <w:rPr>
          <w:rFonts w:ascii="Arial" w:hAnsi="Arial" w:cs="Arial"/>
        </w:rPr>
      </w:pPr>
      <w:r w:rsidRPr="00C40DAF">
        <w:rPr>
          <w:rFonts w:ascii="Arial" w:hAnsi="Arial" w:cs="Arial"/>
          <w:b/>
          <w:bCs/>
          <w:color w:val="0A1F44"/>
        </w:rPr>
        <w:t>6.2 Korama Holdings value capture</w:t>
      </w:r>
    </w:p>
    <w:tbl>
      <w:tblPr>
        <w:tblW w:w="92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600"/>
        <w:gridCol w:w="4600"/>
        <w:gridCol w:w="2000"/>
      </w:tblGrid>
      <w:tr w:rsidR="00756D37" w:rsidRPr="00C40DAF" w14:paraId="1A2B66CC" w14:textId="77777777">
        <w:tblPrEx>
          <w:tblCellMar>
            <w:top w:w="0" w:type="dxa"/>
            <w:bottom w:w="0" w:type="dxa"/>
          </w:tblCellMar>
        </w:tblPrEx>
        <w:trPr>
          <w:tblHeader/>
        </w:trPr>
        <w:tc>
          <w:tcPr>
            <w:tcW w:w="2600" w:type="dxa"/>
            <w:shd w:val="clear" w:color="auto" w:fill="0A1F44"/>
            <w:tcMar>
              <w:top w:w="60" w:type="dxa"/>
              <w:left w:w="110" w:type="dxa"/>
              <w:bottom w:w="60" w:type="dxa"/>
              <w:right w:w="110" w:type="dxa"/>
            </w:tcMar>
          </w:tcPr>
          <w:p w14:paraId="2498A540"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Mechanism</w:t>
            </w:r>
          </w:p>
        </w:tc>
        <w:tc>
          <w:tcPr>
            <w:tcW w:w="4600" w:type="dxa"/>
            <w:shd w:val="clear" w:color="auto" w:fill="0A1F44"/>
            <w:tcMar>
              <w:top w:w="60" w:type="dxa"/>
              <w:left w:w="110" w:type="dxa"/>
              <w:bottom w:w="60" w:type="dxa"/>
              <w:right w:w="110" w:type="dxa"/>
            </w:tcMar>
          </w:tcPr>
          <w:p w14:paraId="0F0844B8"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What it is</w:t>
            </w:r>
          </w:p>
        </w:tc>
        <w:tc>
          <w:tcPr>
            <w:tcW w:w="2000" w:type="dxa"/>
            <w:shd w:val="clear" w:color="auto" w:fill="0A1F44"/>
            <w:tcMar>
              <w:top w:w="60" w:type="dxa"/>
              <w:left w:w="110" w:type="dxa"/>
              <w:bottom w:w="60" w:type="dxa"/>
              <w:right w:w="110" w:type="dxa"/>
            </w:tcMar>
          </w:tcPr>
          <w:p w14:paraId="4B4110B9"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Note</w:t>
            </w:r>
          </w:p>
        </w:tc>
      </w:tr>
      <w:tr w:rsidR="00756D37" w:rsidRPr="00C40DAF" w14:paraId="45840FF2" w14:textId="77777777">
        <w:tblPrEx>
          <w:tblCellMar>
            <w:top w:w="0" w:type="dxa"/>
            <w:bottom w:w="0" w:type="dxa"/>
          </w:tblCellMar>
        </w:tblPrEx>
        <w:tc>
          <w:tcPr>
            <w:tcW w:w="2600" w:type="dxa"/>
            <w:tcMar>
              <w:top w:w="60" w:type="dxa"/>
              <w:left w:w="110" w:type="dxa"/>
              <w:bottom w:w="60" w:type="dxa"/>
              <w:right w:w="110" w:type="dxa"/>
            </w:tcMar>
          </w:tcPr>
          <w:p w14:paraId="0E134E91"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Technology and services recharge</w:t>
            </w:r>
          </w:p>
        </w:tc>
        <w:tc>
          <w:tcPr>
            <w:tcW w:w="4600" w:type="dxa"/>
            <w:tcMar>
              <w:top w:w="60" w:type="dxa"/>
              <w:left w:w="110" w:type="dxa"/>
              <w:bottom w:w="60" w:type="dxa"/>
              <w:right w:w="110" w:type="dxa"/>
            </w:tcMar>
          </w:tcPr>
          <w:p w14:paraId="15B9DBD5"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A structured cost-sharing and technical service fee paid by the operating companies for platform engineering and cloud</w:t>
            </w:r>
          </w:p>
        </w:tc>
        <w:tc>
          <w:tcPr>
            <w:tcW w:w="2000" w:type="dxa"/>
            <w:tcMar>
              <w:top w:w="60" w:type="dxa"/>
              <w:left w:w="110" w:type="dxa"/>
              <w:bottom w:w="60" w:type="dxa"/>
              <w:right w:w="110" w:type="dxa"/>
            </w:tcMar>
          </w:tcPr>
          <w:p w14:paraId="163334FA"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 xml:space="preserve">Manage non-resident withholding tax; obtain a Ghana Revenue </w:t>
            </w:r>
            <w:r w:rsidRPr="00C40DAF">
              <w:rPr>
                <w:rFonts w:ascii="Arial" w:hAnsi="Arial" w:cs="Arial"/>
                <w:color w:val="222222"/>
                <w:sz w:val="26"/>
                <w:szCs w:val="26"/>
              </w:rPr>
              <w:lastRenderedPageBreak/>
              <w:t>Authority position</w:t>
            </w:r>
          </w:p>
        </w:tc>
      </w:tr>
      <w:tr w:rsidR="00756D37" w:rsidRPr="00C40DAF" w14:paraId="2439F0BC"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7664886F"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lastRenderedPageBreak/>
              <w:t>Brand and trademark</w:t>
            </w:r>
          </w:p>
        </w:tc>
        <w:tc>
          <w:tcPr>
            <w:tcW w:w="4600" w:type="dxa"/>
            <w:shd w:val="clear" w:color="auto" w:fill="EEF1F6"/>
            <w:tcMar>
              <w:top w:w="60" w:type="dxa"/>
              <w:left w:w="110" w:type="dxa"/>
              <w:bottom w:w="60" w:type="dxa"/>
              <w:right w:w="110" w:type="dxa"/>
            </w:tcMar>
          </w:tcPr>
          <w:p w14:paraId="09D2FC25"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Group trademarks licensed to operating entities</w:t>
            </w:r>
          </w:p>
        </w:tc>
        <w:tc>
          <w:tcPr>
            <w:tcW w:w="2000" w:type="dxa"/>
            <w:shd w:val="clear" w:color="auto" w:fill="EEF1F6"/>
            <w:tcMar>
              <w:top w:w="60" w:type="dxa"/>
              <w:left w:w="110" w:type="dxa"/>
              <w:bottom w:w="60" w:type="dxa"/>
              <w:right w:w="110" w:type="dxa"/>
            </w:tcMar>
          </w:tcPr>
          <w:p w14:paraId="7E1FC79E"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 xml:space="preserve">Keep </w:t>
            </w:r>
            <w:proofErr w:type="spellStart"/>
            <w:r w:rsidRPr="00C40DAF">
              <w:rPr>
                <w:rFonts w:ascii="Arial" w:hAnsi="Arial" w:cs="Arial"/>
                <w:color w:val="222222"/>
                <w:sz w:val="26"/>
                <w:szCs w:val="26"/>
              </w:rPr>
              <w:t>licence</w:t>
            </w:r>
            <w:proofErr w:type="spellEnd"/>
            <w:r w:rsidRPr="00C40DAF">
              <w:rPr>
                <w:rFonts w:ascii="Arial" w:hAnsi="Arial" w:cs="Arial"/>
                <w:color w:val="222222"/>
                <w:sz w:val="26"/>
                <w:szCs w:val="26"/>
              </w:rPr>
              <w:t xml:space="preserve"> terms at arm's length</w:t>
            </w:r>
          </w:p>
        </w:tc>
      </w:tr>
      <w:tr w:rsidR="00756D37" w:rsidRPr="00C40DAF" w14:paraId="258E8516" w14:textId="77777777">
        <w:tblPrEx>
          <w:tblCellMar>
            <w:top w:w="0" w:type="dxa"/>
            <w:bottom w:w="0" w:type="dxa"/>
          </w:tblCellMar>
        </w:tblPrEx>
        <w:tc>
          <w:tcPr>
            <w:tcW w:w="2600" w:type="dxa"/>
            <w:tcMar>
              <w:top w:w="60" w:type="dxa"/>
              <w:left w:w="110" w:type="dxa"/>
              <w:bottom w:w="60" w:type="dxa"/>
              <w:right w:w="110" w:type="dxa"/>
            </w:tcMar>
          </w:tcPr>
          <w:p w14:paraId="5DD52B58"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Treasury and foreign exchange</w:t>
            </w:r>
          </w:p>
        </w:tc>
        <w:tc>
          <w:tcPr>
            <w:tcW w:w="4600" w:type="dxa"/>
            <w:tcMar>
              <w:top w:w="60" w:type="dxa"/>
              <w:left w:w="110" w:type="dxa"/>
              <w:bottom w:w="60" w:type="dxa"/>
              <w:right w:w="110" w:type="dxa"/>
            </w:tcMar>
          </w:tcPr>
          <w:p w14:paraId="55ECC102"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Dollar-denominated group treasury; multi-currency hedging across naira, CFA franc and cedi</w:t>
            </w:r>
          </w:p>
        </w:tc>
        <w:tc>
          <w:tcPr>
            <w:tcW w:w="2000" w:type="dxa"/>
            <w:tcMar>
              <w:top w:w="60" w:type="dxa"/>
              <w:left w:w="110" w:type="dxa"/>
              <w:bottom w:w="60" w:type="dxa"/>
              <w:right w:w="110" w:type="dxa"/>
            </w:tcMar>
          </w:tcPr>
          <w:p w14:paraId="76B55519"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Earns on efficient capital and currency management</w:t>
            </w:r>
          </w:p>
        </w:tc>
      </w:tr>
      <w:tr w:rsidR="00756D37" w:rsidRPr="00C40DAF" w14:paraId="4BD1265A"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67947122"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Equity value</w:t>
            </w:r>
          </w:p>
        </w:tc>
        <w:tc>
          <w:tcPr>
            <w:tcW w:w="4600" w:type="dxa"/>
            <w:shd w:val="clear" w:color="auto" w:fill="EEF1F6"/>
            <w:tcMar>
              <w:top w:w="60" w:type="dxa"/>
              <w:left w:w="110" w:type="dxa"/>
              <w:bottom w:w="60" w:type="dxa"/>
              <w:right w:w="110" w:type="dxa"/>
            </w:tcMar>
          </w:tcPr>
          <w:p w14:paraId="44C524E1"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Appreciation in the operating companies Korama Holdings owns</w:t>
            </w:r>
          </w:p>
        </w:tc>
        <w:tc>
          <w:tcPr>
            <w:tcW w:w="2000" w:type="dxa"/>
            <w:shd w:val="clear" w:color="auto" w:fill="EEF1F6"/>
            <w:tcMar>
              <w:top w:w="60" w:type="dxa"/>
              <w:left w:w="110" w:type="dxa"/>
              <w:bottom w:w="60" w:type="dxa"/>
              <w:right w:w="110" w:type="dxa"/>
            </w:tcMar>
          </w:tcPr>
          <w:p w14:paraId="5A24AB6C"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The primary long-term return for investors</w:t>
            </w:r>
          </w:p>
        </w:tc>
      </w:tr>
    </w:tbl>
    <w:p w14:paraId="31B9158D"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7. Cost Structure</w:t>
      </w:r>
    </w:p>
    <w:p w14:paraId="247C874F" w14:textId="77777777" w:rsidR="00756D37" w:rsidRPr="00C40DAF" w:rsidRDefault="00756D37">
      <w:pPr>
        <w:pBdr>
          <w:bottom w:val="single" w:sz="6" w:space="0" w:color="B8860B"/>
        </w:pBdr>
        <w:spacing w:before="60" w:after="160"/>
        <w:rPr>
          <w:rFonts w:ascii="Arial" w:hAnsi="Arial" w:cs="Arial"/>
          <w:sz w:val="26"/>
          <w:szCs w:val="26"/>
        </w:rPr>
      </w:pPr>
    </w:p>
    <w:p w14:paraId="585FA74E"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Engineering and product. The Accra engineering team, product management and design. The largest recurring cost at this stage.</w:t>
      </w:r>
    </w:p>
    <w:p w14:paraId="68A251B8"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Cloud, mapping and third-party services.</w:t>
      </w:r>
    </w:p>
    <w:p w14:paraId="3625FFBF"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Value-addition and light manufacturing. The cost of the Ghana-origin transformation that confers originating status.</w:t>
      </w:r>
    </w:p>
    <w:p w14:paraId="6AD11E8C"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Intellectual property. Trademark registration and maintenance across markets.</w:t>
      </w:r>
    </w:p>
    <w:p w14:paraId="738DCABB"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Corporate, legal and compliance. Group audit, tax, franchise fees, transfer-pricing documentation, and certificate-of-origin administration.</w:t>
      </w:r>
    </w:p>
    <w:p w14:paraId="21A75B1A"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Treasury and financing. Multi-currency management across the region.</w:t>
      </w:r>
    </w:p>
    <w:p w14:paraId="2C5EAEF7"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8. Key Resources</w:t>
      </w:r>
    </w:p>
    <w:p w14:paraId="476B0E40" w14:textId="77777777" w:rsidR="00756D37" w:rsidRPr="00C40DAF" w:rsidRDefault="00756D37">
      <w:pPr>
        <w:pBdr>
          <w:bottom w:val="single" w:sz="6" w:space="0" w:color="B8860B"/>
        </w:pBdr>
        <w:spacing w:before="60" w:after="160"/>
        <w:rPr>
          <w:rFonts w:ascii="Arial" w:hAnsi="Arial" w:cs="Arial"/>
          <w:sz w:val="26"/>
          <w:szCs w:val="26"/>
        </w:rPr>
      </w:pPr>
    </w:p>
    <w:p w14:paraId="710E82E4"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The source code for the web store, the mobile application, the warehouse system and the drone control model.</w:t>
      </w:r>
    </w:p>
    <w:p w14:paraId="54C05645"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The proprietary artificial intelligence models and the origin-and-compliance engine.</w:t>
      </w:r>
    </w:p>
    <w:p w14:paraId="71BA6F34"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 xml:space="preserve">Group trademarks and the KORAMA brand, </w:t>
      </w:r>
      <w:proofErr w:type="spellStart"/>
      <w:r w:rsidRPr="00C40DAF">
        <w:rPr>
          <w:rFonts w:ascii="Arial" w:hAnsi="Arial" w:cs="Arial"/>
          <w:color w:val="222222"/>
          <w:sz w:val="26"/>
          <w:szCs w:val="26"/>
        </w:rPr>
        <w:t>honouring</w:t>
      </w:r>
      <w:proofErr w:type="spellEnd"/>
      <w:r w:rsidRPr="00C40DAF">
        <w:rPr>
          <w:rFonts w:ascii="Arial" w:hAnsi="Arial" w:cs="Arial"/>
          <w:color w:val="222222"/>
          <w:sz w:val="26"/>
          <w:szCs w:val="26"/>
        </w:rPr>
        <w:t xml:space="preserve"> the founder's late mother.</w:t>
      </w:r>
    </w:p>
    <w:p w14:paraId="18490B70"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 xml:space="preserve">The demand and </w:t>
      </w:r>
      <w:proofErr w:type="spellStart"/>
      <w:r w:rsidRPr="00C40DAF">
        <w:rPr>
          <w:rFonts w:ascii="Arial" w:hAnsi="Arial" w:cs="Arial"/>
          <w:color w:val="222222"/>
          <w:sz w:val="26"/>
          <w:szCs w:val="26"/>
        </w:rPr>
        <w:t>behavioural</w:t>
      </w:r>
      <w:proofErr w:type="spellEnd"/>
      <w:r w:rsidRPr="00C40DAF">
        <w:rPr>
          <w:rFonts w:ascii="Arial" w:hAnsi="Arial" w:cs="Arial"/>
          <w:color w:val="222222"/>
          <w:sz w:val="26"/>
          <w:szCs w:val="26"/>
        </w:rPr>
        <w:t xml:space="preserve"> data accumulated across the platform.</w:t>
      </w:r>
    </w:p>
    <w:p w14:paraId="454890BE"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The engineering and leadership team, and the Ghana value-addition capability.</w:t>
      </w:r>
    </w:p>
    <w:p w14:paraId="0BE5A6B0"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lastRenderedPageBreak/>
        <w:t>9. Key Activities</w:t>
      </w:r>
    </w:p>
    <w:p w14:paraId="0438635E" w14:textId="77777777" w:rsidR="00756D37" w:rsidRPr="00C40DAF" w:rsidRDefault="00756D37">
      <w:pPr>
        <w:pBdr>
          <w:bottom w:val="single" w:sz="6" w:space="0" w:color="B8860B"/>
        </w:pBdr>
        <w:spacing w:before="60" w:after="160"/>
        <w:rPr>
          <w:rFonts w:ascii="Arial" w:hAnsi="Arial" w:cs="Arial"/>
          <w:sz w:val="26"/>
          <w:szCs w:val="26"/>
        </w:rPr>
      </w:pPr>
    </w:p>
    <w:p w14:paraId="0248ADD2"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Research, development and maintenance of the platform and the artificial intelligence layer.</w:t>
      </w:r>
    </w:p>
    <w:p w14:paraId="39410C42"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Sourcing and light value-addition of Ghana-origin goods to the standard required for originating status.</w:t>
      </w:r>
    </w:p>
    <w:p w14:paraId="0F8017F3"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Protection and licensing of intellectual property to the operating companies.</w:t>
      </w:r>
    </w:p>
    <w:p w14:paraId="402372D6"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Capital allocation, group treasury and multi-currency management.</w:t>
      </w:r>
    </w:p>
    <w:p w14:paraId="2AF94001"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Governance, investor relations and reporting.</w:t>
      </w:r>
    </w:p>
    <w:p w14:paraId="37192C0C"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10. Key Partnerships</w:t>
      </w:r>
    </w:p>
    <w:p w14:paraId="5BBB9F5A" w14:textId="77777777" w:rsidR="00756D37" w:rsidRPr="00C40DAF" w:rsidRDefault="00756D37">
      <w:pPr>
        <w:pBdr>
          <w:bottom w:val="single" w:sz="6" w:space="0" w:color="B8860B"/>
        </w:pBdr>
        <w:spacing w:before="60" w:after="160"/>
        <w:rPr>
          <w:rFonts w:ascii="Arial" w:hAnsi="Arial" w:cs="Arial"/>
          <w:sz w:val="26"/>
          <w:szCs w:val="26"/>
        </w:rPr>
      </w:pPr>
    </w:p>
    <w:p w14:paraId="47DD151D"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Global suppliers across the sourcing markets, and Ghanaian producers and manufacturers for the export engine.</w:t>
      </w:r>
    </w:p>
    <w:p w14:paraId="077FD613"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Port, customs and warehousing partners in each destination market: Lekki, Abidjan, Dakar, Lome, Cotonou and Tema.</w:t>
      </w:r>
    </w:p>
    <w:p w14:paraId="4E4456E4"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Payment providers per currency zone: mobile money and cards, plus a licensed partner for each of the naira and CFA franc zones.</w:t>
      </w:r>
    </w:p>
    <w:p w14:paraId="2EC64750"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Capital partners: venture funds at the Holdings level and development finance institutions for the asset-heavy operating layer.</w:t>
      </w:r>
    </w:p>
    <w:p w14:paraId="07AAA3C7"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Cloud, mapping and technology vendors.</w:t>
      </w:r>
    </w:p>
    <w:p w14:paraId="3859C95C"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11. Channels</w:t>
      </w:r>
    </w:p>
    <w:p w14:paraId="678E8D82" w14:textId="77777777" w:rsidR="00756D37" w:rsidRPr="00C40DAF" w:rsidRDefault="00756D37">
      <w:pPr>
        <w:pBdr>
          <w:bottom w:val="single" w:sz="6" w:space="0" w:color="B8860B"/>
        </w:pBdr>
        <w:spacing w:before="60" w:after="160"/>
        <w:rPr>
          <w:rFonts w:ascii="Arial" w:hAnsi="Arial" w:cs="Arial"/>
          <w:sz w:val="26"/>
          <w:szCs w:val="26"/>
        </w:rPr>
      </w:pPr>
    </w:p>
    <w:p w14:paraId="62D7B22E"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The group reaches buyers through the KORAMA mobile application and web store, the business buyer portal, and partner and reseller networks in each market. Korama Holdings itself has one channel that matters: the capital markets and the strategic investors who fund and eventually exit the group.</w:t>
      </w:r>
    </w:p>
    <w:p w14:paraId="07DB7584"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12. Intercompany Value Capture and Treasury</w:t>
      </w:r>
    </w:p>
    <w:p w14:paraId="09380486" w14:textId="77777777" w:rsidR="00756D37" w:rsidRPr="00C40DAF" w:rsidRDefault="00756D37">
      <w:pPr>
        <w:pBdr>
          <w:bottom w:val="single" w:sz="6" w:space="0" w:color="B8860B"/>
        </w:pBdr>
        <w:spacing w:before="60" w:after="160"/>
        <w:rPr>
          <w:rFonts w:ascii="Arial" w:hAnsi="Arial" w:cs="Arial"/>
          <w:sz w:val="26"/>
          <w:szCs w:val="26"/>
        </w:rPr>
      </w:pPr>
    </w:p>
    <w:p w14:paraId="45124BAA"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Korama Holdings supplies the platform to the operating companies and charges for it. It holds group cash in dollars and manages the currency risk of buying in dollars and selling in cedis, naira and CFA francs. The francophone CFA franc, pegged to the euro, is materially easier to manage than the naira, which shapes the phasing above.</w:t>
      </w:r>
    </w:p>
    <w:p w14:paraId="69EDA16E"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lastRenderedPageBreak/>
        <w:t>Two disciplines make this hold. First, arm's-length pricing and proper transfer-pricing documentation for every intercompany charge. Second, a clean separation between the parent's technology role and the operating companies' trading role.</w:t>
      </w:r>
    </w:p>
    <w:p w14:paraId="5C56EFA5"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 xml:space="preserve">13. </w:t>
      </w:r>
      <w:proofErr w:type="spellStart"/>
      <w:r w:rsidRPr="00C40DAF">
        <w:rPr>
          <w:rFonts w:ascii="Arial" w:hAnsi="Arial" w:cs="Arial"/>
          <w:b/>
          <w:bCs/>
          <w:color w:val="0A1F44"/>
          <w:sz w:val="26"/>
          <w:szCs w:val="26"/>
        </w:rPr>
        <w:t>Capitalisation</w:t>
      </w:r>
      <w:proofErr w:type="spellEnd"/>
      <w:r w:rsidRPr="00C40DAF">
        <w:rPr>
          <w:rFonts w:ascii="Arial" w:hAnsi="Arial" w:cs="Arial"/>
          <w:b/>
          <w:bCs/>
          <w:color w:val="0A1F44"/>
          <w:sz w:val="26"/>
          <w:szCs w:val="26"/>
        </w:rPr>
        <w:t xml:space="preserve"> and Use of Funds</w:t>
      </w:r>
    </w:p>
    <w:p w14:paraId="0E34825B" w14:textId="77777777" w:rsidR="00756D37" w:rsidRPr="00C40DAF" w:rsidRDefault="00756D37">
      <w:pPr>
        <w:pBdr>
          <w:bottom w:val="single" w:sz="6" w:space="0" w:color="B8860B"/>
        </w:pBdr>
        <w:spacing w:before="60" w:after="160"/>
        <w:rPr>
          <w:rFonts w:ascii="Arial" w:hAnsi="Arial" w:cs="Arial"/>
          <w:sz w:val="26"/>
          <w:szCs w:val="26"/>
        </w:rPr>
      </w:pPr>
    </w:p>
    <w:tbl>
      <w:tblPr>
        <w:tblW w:w="92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800"/>
        <w:gridCol w:w="2600"/>
        <w:gridCol w:w="3800"/>
      </w:tblGrid>
      <w:tr w:rsidR="00756D37" w:rsidRPr="00C40DAF" w14:paraId="52AC47C5" w14:textId="77777777">
        <w:tblPrEx>
          <w:tblCellMar>
            <w:top w:w="0" w:type="dxa"/>
            <w:bottom w:w="0" w:type="dxa"/>
          </w:tblCellMar>
        </w:tblPrEx>
        <w:trPr>
          <w:tblHeader/>
        </w:trPr>
        <w:tc>
          <w:tcPr>
            <w:tcW w:w="2800" w:type="dxa"/>
            <w:shd w:val="clear" w:color="auto" w:fill="0A1F44"/>
            <w:tcMar>
              <w:top w:w="60" w:type="dxa"/>
              <w:left w:w="110" w:type="dxa"/>
              <w:bottom w:w="60" w:type="dxa"/>
              <w:right w:w="110" w:type="dxa"/>
            </w:tcMar>
          </w:tcPr>
          <w:p w14:paraId="0F79A8BD"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Source</w:t>
            </w:r>
          </w:p>
        </w:tc>
        <w:tc>
          <w:tcPr>
            <w:tcW w:w="2600" w:type="dxa"/>
            <w:shd w:val="clear" w:color="auto" w:fill="0A1F44"/>
            <w:tcMar>
              <w:top w:w="60" w:type="dxa"/>
              <w:left w:w="110" w:type="dxa"/>
              <w:bottom w:w="60" w:type="dxa"/>
              <w:right w:w="110" w:type="dxa"/>
            </w:tcMar>
          </w:tcPr>
          <w:p w14:paraId="494B1FAB"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Enters at</w:t>
            </w:r>
          </w:p>
        </w:tc>
        <w:tc>
          <w:tcPr>
            <w:tcW w:w="3800" w:type="dxa"/>
            <w:shd w:val="clear" w:color="auto" w:fill="0A1F44"/>
            <w:tcMar>
              <w:top w:w="60" w:type="dxa"/>
              <w:left w:w="110" w:type="dxa"/>
              <w:bottom w:w="60" w:type="dxa"/>
              <w:right w:w="110" w:type="dxa"/>
            </w:tcMar>
          </w:tcPr>
          <w:p w14:paraId="620AC81F"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Purpose</w:t>
            </w:r>
          </w:p>
        </w:tc>
      </w:tr>
      <w:tr w:rsidR="00756D37" w:rsidRPr="00C40DAF" w14:paraId="0CCA7DCF" w14:textId="77777777">
        <w:tblPrEx>
          <w:tblCellMar>
            <w:top w:w="0" w:type="dxa"/>
            <w:bottom w:w="0" w:type="dxa"/>
          </w:tblCellMar>
        </w:tblPrEx>
        <w:tc>
          <w:tcPr>
            <w:tcW w:w="2800" w:type="dxa"/>
            <w:tcMar>
              <w:top w:w="60" w:type="dxa"/>
              <w:left w:w="110" w:type="dxa"/>
              <w:bottom w:w="60" w:type="dxa"/>
              <w:right w:w="110" w:type="dxa"/>
            </w:tcMar>
          </w:tcPr>
          <w:p w14:paraId="364A29BB"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Venture capital round</w:t>
            </w:r>
          </w:p>
        </w:tc>
        <w:tc>
          <w:tcPr>
            <w:tcW w:w="2600" w:type="dxa"/>
            <w:tcMar>
              <w:top w:w="60" w:type="dxa"/>
              <w:left w:w="110" w:type="dxa"/>
              <w:bottom w:w="60" w:type="dxa"/>
              <w:right w:w="110" w:type="dxa"/>
            </w:tcMar>
          </w:tcPr>
          <w:p w14:paraId="562FCA9E"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Korama Holdings</w:t>
            </w:r>
          </w:p>
        </w:tc>
        <w:tc>
          <w:tcPr>
            <w:tcW w:w="3800" w:type="dxa"/>
            <w:tcMar>
              <w:top w:w="60" w:type="dxa"/>
              <w:left w:w="110" w:type="dxa"/>
              <w:bottom w:w="60" w:type="dxa"/>
              <w:right w:w="110" w:type="dxa"/>
            </w:tcMar>
          </w:tcPr>
          <w:p w14:paraId="027CE785"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Procurement, engineering, market entry and customer acquisition</w:t>
            </w:r>
          </w:p>
        </w:tc>
      </w:tr>
      <w:tr w:rsidR="00756D37" w:rsidRPr="00C40DAF" w14:paraId="1A35C6E1" w14:textId="77777777">
        <w:tblPrEx>
          <w:tblCellMar>
            <w:top w:w="0" w:type="dxa"/>
            <w:bottom w:w="0" w:type="dxa"/>
          </w:tblCellMar>
        </w:tblPrEx>
        <w:tc>
          <w:tcPr>
            <w:tcW w:w="2800" w:type="dxa"/>
            <w:shd w:val="clear" w:color="auto" w:fill="EEF1F6"/>
            <w:tcMar>
              <w:top w:w="60" w:type="dxa"/>
              <w:left w:w="110" w:type="dxa"/>
              <w:bottom w:w="60" w:type="dxa"/>
              <w:right w:w="110" w:type="dxa"/>
            </w:tcMar>
          </w:tcPr>
          <w:p w14:paraId="4F493349"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Institutional or DFI capital</w:t>
            </w:r>
          </w:p>
        </w:tc>
        <w:tc>
          <w:tcPr>
            <w:tcW w:w="2600" w:type="dxa"/>
            <w:shd w:val="clear" w:color="auto" w:fill="EEF1F6"/>
            <w:tcMar>
              <w:top w:w="60" w:type="dxa"/>
              <w:left w:w="110" w:type="dxa"/>
              <w:bottom w:w="60" w:type="dxa"/>
              <w:right w:w="110" w:type="dxa"/>
            </w:tcMar>
          </w:tcPr>
          <w:p w14:paraId="4641541F"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Ghana operating layer</w:t>
            </w:r>
          </w:p>
        </w:tc>
        <w:tc>
          <w:tcPr>
            <w:tcW w:w="3800" w:type="dxa"/>
            <w:shd w:val="clear" w:color="auto" w:fill="EEF1F6"/>
            <w:tcMar>
              <w:top w:w="60" w:type="dxa"/>
              <w:left w:w="110" w:type="dxa"/>
              <w:bottom w:w="60" w:type="dxa"/>
              <w:right w:w="110" w:type="dxa"/>
            </w:tcMar>
          </w:tcPr>
          <w:p w14:paraId="5345074C"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Warehousing, the Ghana-origin value-addition base, fleet and hubs</w:t>
            </w:r>
          </w:p>
        </w:tc>
      </w:tr>
      <w:tr w:rsidR="00756D37" w:rsidRPr="00C40DAF" w14:paraId="2E918ED6" w14:textId="77777777">
        <w:tblPrEx>
          <w:tblCellMar>
            <w:top w:w="0" w:type="dxa"/>
            <w:bottom w:w="0" w:type="dxa"/>
          </w:tblCellMar>
        </w:tblPrEx>
        <w:tc>
          <w:tcPr>
            <w:tcW w:w="2800" w:type="dxa"/>
            <w:tcMar>
              <w:top w:w="60" w:type="dxa"/>
              <w:left w:w="110" w:type="dxa"/>
              <w:bottom w:w="60" w:type="dxa"/>
              <w:right w:w="110" w:type="dxa"/>
            </w:tcMar>
          </w:tcPr>
          <w:p w14:paraId="1C1B582B"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Group treasury</w:t>
            </w:r>
          </w:p>
        </w:tc>
        <w:tc>
          <w:tcPr>
            <w:tcW w:w="2600" w:type="dxa"/>
            <w:tcMar>
              <w:top w:w="60" w:type="dxa"/>
              <w:left w:w="110" w:type="dxa"/>
              <w:bottom w:w="60" w:type="dxa"/>
              <w:right w:w="110" w:type="dxa"/>
            </w:tcMar>
          </w:tcPr>
          <w:p w14:paraId="60122676"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Korama Holdings</w:t>
            </w:r>
          </w:p>
        </w:tc>
        <w:tc>
          <w:tcPr>
            <w:tcW w:w="3800" w:type="dxa"/>
            <w:tcMar>
              <w:top w:w="60" w:type="dxa"/>
              <w:left w:w="110" w:type="dxa"/>
              <w:bottom w:w="60" w:type="dxa"/>
              <w:right w:w="110" w:type="dxa"/>
            </w:tcMar>
          </w:tcPr>
          <w:p w14:paraId="335A6997"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Working capital and multi-currency management</w:t>
            </w:r>
          </w:p>
        </w:tc>
      </w:tr>
    </w:tbl>
    <w:p w14:paraId="21217E70"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b/>
          <w:bCs/>
          <w:color w:val="0A1F44"/>
          <w:sz w:val="26"/>
          <w:szCs w:val="26"/>
        </w:rPr>
        <w:t xml:space="preserve">Note on valuation. </w:t>
      </w:r>
      <w:r w:rsidRPr="00C40DAF">
        <w:rPr>
          <w:rFonts w:ascii="Arial" w:hAnsi="Arial" w:cs="Arial"/>
          <w:color w:val="222222"/>
          <w:sz w:val="26"/>
          <w:szCs w:val="26"/>
        </w:rPr>
        <w:t>A pre-revenue prototype cannot credibly carry the headline valuation implied by earlier drafts. Expect investors to reprice the round and to size a first cheque accordingly. Build the model on unit economics provable in a pilot.</w:t>
      </w:r>
    </w:p>
    <w:p w14:paraId="1CFC483C"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14. Illustrative Unit Economics</w:t>
      </w:r>
    </w:p>
    <w:p w14:paraId="156BEC75" w14:textId="77777777" w:rsidR="00756D37" w:rsidRPr="00C40DAF" w:rsidRDefault="00756D37">
      <w:pPr>
        <w:pBdr>
          <w:bottom w:val="single" w:sz="6" w:space="0" w:color="B8860B"/>
        </w:pBdr>
        <w:spacing w:before="60" w:after="160"/>
        <w:rPr>
          <w:rFonts w:ascii="Arial" w:hAnsi="Arial" w:cs="Arial"/>
          <w:sz w:val="26"/>
          <w:szCs w:val="26"/>
        </w:rPr>
      </w:pPr>
    </w:p>
    <w:p w14:paraId="685B02FE" w14:textId="77777777" w:rsidR="00756D37" w:rsidRPr="00C40DAF" w:rsidRDefault="00000000">
      <w:pPr>
        <w:spacing w:after="120" w:line="276" w:lineRule="auto"/>
        <w:jc w:val="both"/>
        <w:rPr>
          <w:rFonts w:ascii="Arial" w:hAnsi="Arial" w:cs="Arial"/>
          <w:sz w:val="26"/>
          <w:szCs w:val="26"/>
        </w:rPr>
      </w:pPr>
      <w:r w:rsidRPr="00C40DAF">
        <w:rPr>
          <w:rFonts w:ascii="Arial" w:hAnsi="Arial" w:cs="Arial"/>
          <w:color w:val="222222"/>
          <w:sz w:val="26"/>
          <w:szCs w:val="26"/>
        </w:rPr>
        <w:t>The figures below are placeholders to show the shape of the model. They are not projections. Replace each with pilot data before any investor use.</w:t>
      </w:r>
    </w:p>
    <w:tbl>
      <w:tblPr>
        <w:tblW w:w="92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400"/>
        <w:gridCol w:w="2900"/>
        <w:gridCol w:w="2900"/>
      </w:tblGrid>
      <w:tr w:rsidR="00756D37" w:rsidRPr="00C40DAF" w14:paraId="3F9A6ADC" w14:textId="77777777">
        <w:tblPrEx>
          <w:tblCellMar>
            <w:top w:w="0" w:type="dxa"/>
            <w:bottom w:w="0" w:type="dxa"/>
          </w:tblCellMar>
        </w:tblPrEx>
        <w:trPr>
          <w:tblHeader/>
        </w:trPr>
        <w:tc>
          <w:tcPr>
            <w:tcW w:w="3400" w:type="dxa"/>
            <w:shd w:val="clear" w:color="auto" w:fill="0A1F44"/>
            <w:tcMar>
              <w:top w:w="60" w:type="dxa"/>
              <w:left w:w="110" w:type="dxa"/>
              <w:bottom w:w="60" w:type="dxa"/>
              <w:right w:w="110" w:type="dxa"/>
            </w:tcMar>
          </w:tcPr>
          <w:p w14:paraId="068EB6D9"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Metric</w:t>
            </w:r>
          </w:p>
        </w:tc>
        <w:tc>
          <w:tcPr>
            <w:tcW w:w="2900" w:type="dxa"/>
            <w:shd w:val="clear" w:color="auto" w:fill="0A1F44"/>
            <w:tcMar>
              <w:top w:w="60" w:type="dxa"/>
              <w:left w:w="110" w:type="dxa"/>
              <w:bottom w:w="60" w:type="dxa"/>
              <w:right w:w="110" w:type="dxa"/>
            </w:tcMar>
          </w:tcPr>
          <w:p w14:paraId="2C095DE1"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Illustrative placeholder</w:t>
            </w:r>
          </w:p>
        </w:tc>
        <w:tc>
          <w:tcPr>
            <w:tcW w:w="2900" w:type="dxa"/>
            <w:shd w:val="clear" w:color="auto" w:fill="0A1F44"/>
            <w:tcMar>
              <w:top w:w="60" w:type="dxa"/>
              <w:left w:w="110" w:type="dxa"/>
              <w:bottom w:w="60" w:type="dxa"/>
              <w:right w:w="110" w:type="dxa"/>
            </w:tcMar>
          </w:tcPr>
          <w:p w14:paraId="7E63394E" w14:textId="77777777" w:rsidR="00756D37" w:rsidRPr="00C40DAF" w:rsidRDefault="00000000">
            <w:pPr>
              <w:spacing w:line="258" w:lineRule="auto"/>
              <w:rPr>
                <w:rFonts w:ascii="Arial" w:hAnsi="Arial" w:cs="Arial"/>
                <w:sz w:val="26"/>
                <w:szCs w:val="26"/>
              </w:rPr>
            </w:pPr>
            <w:r w:rsidRPr="00C40DAF">
              <w:rPr>
                <w:rFonts w:ascii="Arial" w:hAnsi="Arial" w:cs="Arial"/>
                <w:b/>
                <w:bCs/>
                <w:color w:val="FFFFFF"/>
                <w:sz w:val="26"/>
                <w:szCs w:val="26"/>
              </w:rPr>
              <w:t>To be proven by</w:t>
            </w:r>
          </w:p>
        </w:tc>
      </w:tr>
      <w:tr w:rsidR="00756D37" w:rsidRPr="00C40DAF" w14:paraId="6FB015F7" w14:textId="77777777">
        <w:tblPrEx>
          <w:tblCellMar>
            <w:top w:w="0" w:type="dxa"/>
            <w:bottom w:w="0" w:type="dxa"/>
          </w:tblCellMar>
        </w:tblPrEx>
        <w:tc>
          <w:tcPr>
            <w:tcW w:w="3400" w:type="dxa"/>
            <w:tcMar>
              <w:top w:w="60" w:type="dxa"/>
              <w:left w:w="110" w:type="dxa"/>
              <w:bottom w:w="60" w:type="dxa"/>
              <w:right w:w="110" w:type="dxa"/>
            </w:tcMar>
          </w:tcPr>
          <w:p w14:paraId="220247C6"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Average order value</w:t>
            </w:r>
          </w:p>
        </w:tc>
        <w:tc>
          <w:tcPr>
            <w:tcW w:w="2900" w:type="dxa"/>
            <w:tcMar>
              <w:top w:w="60" w:type="dxa"/>
              <w:left w:w="110" w:type="dxa"/>
              <w:bottom w:w="60" w:type="dxa"/>
              <w:right w:w="110" w:type="dxa"/>
            </w:tcMar>
          </w:tcPr>
          <w:p w14:paraId="4C884634"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To be set from pilot</w:t>
            </w:r>
          </w:p>
        </w:tc>
        <w:tc>
          <w:tcPr>
            <w:tcW w:w="2900" w:type="dxa"/>
            <w:tcMar>
              <w:top w:w="60" w:type="dxa"/>
              <w:left w:w="110" w:type="dxa"/>
              <w:bottom w:w="60" w:type="dxa"/>
              <w:right w:w="110" w:type="dxa"/>
            </w:tcMar>
          </w:tcPr>
          <w:p w14:paraId="22FA197A"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First 90 days of live orders</w:t>
            </w:r>
          </w:p>
        </w:tc>
      </w:tr>
      <w:tr w:rsidR="00756D37" w:rsidRPr="00C40DAF" w14:paraId="7CF48F98" w14:textId="77777777">
        <w:tblPrEx>
          <w:tblCellMar>
            <w:top w:w="0" w:type="dxa"/>
            <w:bottom w:w="0" w:type="dxa"/>
          </w:tblCellMar>
        </w:tblPrEx>
        <w:tc>
          <w:tcPr>
            <w:tcW w:w="3400" w:type="dxa"/>
            <w:shd w:val="clear" w:color="auto" w:fill="EEF1F6"/>
            <w:tcMar>
              <w:top w:w="60" w:type="dxa"/>
              <w:left w:w="110" w:type="dxa"/>
              <w:bottom w:w="60" w:type="dxa"/>
              <w:right w:w="110" w:type="dxa"/>
            </w:tcMar>
          </w:tcPr>
          <w:p w14:paraId="51478ADB"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Gross margin per order (import)</w:t>
            </w:r>
          </w:p>
        </w:tc>
        <w:tc>
          <w:tcPr>
            <w:tcW w:w="2900" w:type="dxa"/>
            <w:shd w:val="clear" w:color="auto" w:fill="EEF1F6"/>
            <w:tcMar>
              <w:top w:w="60" w:type="dxa"/>
              <w:left w:w="110" w:type="dxa"/>
              <w:bottom w:w="60" w:type="dxa"/>
              <w:right w:w="110" w:type="dxa"/>
            </w:tcMar>
          </w:tcPr>
          <w:p w14:paraId="40A6E394"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To be set from pilot</w:t>
            </w:r>
          </w:p>
        </w:tc>
        <w:tc>
          <w:tcPr>
            <w:tcW w:w="2900" w:type="dxa"/>
            <w:shd w:val="clear" w:color="auto" w:fill="EEF1F6"/>
            <w:tcMar>
              <w:top w:w="60" w:type="dxa"/>
              <w:left w:w="110" w:type="dxa"/>
              <w:bottom w:w="60" w:type="dxa"/>
              <w:right w:w="110" w:type="dxa"/>
            </w:tcMar>
          </w:tcPr>
          <w:p w14:paraId="5D756D72"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Supplier and pricing data</w:t>
            </w:r>
          </w:p>
        </w:tc>
      </w:tr>
      <w:tr w:rsidR="00756D37" w:rsidRPr="00C40DAF" w14:paraId="50FC24ED" w14:textId="77777777">
        <w:tblPrEx>
          <w:tblCellMar>
            <w:top w:w="0" w:type="dxa"/>
            <w:bottom w:w="0" w:type="dxa"/>
          </w:tblCellMar>
        </w:tblPrEx>
        <w:tc>
          <w:tcPr>
            <w:tcW w:w="3400" w:type="dxa"/>
            <w:tcMar>
              <w:top w:w="60" w:type="dxa"/>
              <w:left w:w="110" w:type="dxa"/>
              <w:bottom w:w="60" w:type="dxa"/>
              <w:right w:w="110" w:type="dxa"/>
            </w:tcMar>
          </w:tcPr>
          <w:p w14:paraId="4D35AA9C"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Gross margin per order (Ghana-origin export)</w:t>
            </w:r>
          </w:p>
        </w:tc>
        <w:tc>
          <w:tcPr>
            <w:tcW w:w="2900" w:type="dxa"/>
            <w:tcMar>
              <w:top w:w="60" w:type="dxa"/>
              <w:left w:w="110" w:type="dxa"/>
              <w:bottom w:w="60" w:type="dxa"/>
              <w:right w:w="110" w:type="dxa"/>
            </w:tcMar>
          </w:tcPr>
          <w:p w14:paraId="1EDF0E32"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To be set from pilot</w:t>
            </w:r>
          </w:p>
        </w:tc>
        <w:tc>
          <w:tcPr>
            <w:tcW w:w="2900" w:type="dxa"/>
            <w:tcMar>
              <w:top w:w="60" w:type="dxa"/>
              <w:left w:w="110" w:type="dxa"/>
              <w:bottom w:w="60" w:type="dxa"/>
              <w:right w:w="110" w:type="dxa"/>
            </w:tcMar>
          </w:tcPr>
          <w:p w14:paraId="6E3060BD"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Value-addition and duty-free pricing</w:t>
            </w:r>
          </w:p>
        </w:tc>
      </w:tr>
      <w:tr w:rsidR="00756D37" w:rsidRPr="00C40DAF" w14:paraId="6B4095B1" w14:textId="77777777">
        <w:tblPrEx>
          <w:tblCellMar>
            <w:top w:w="0" w:type="dxa"/>
            <w:bottom w:w="0" w:type="dxa"/>
          </w:tblCellMar>
        </w:tblPrEx>
        <w:tc>
          <w:tcPr>
            <w:tcW w:w="3400" w:type="dxa"/>
            <w:shd w:val="clear" w:color="auto" w:fill="EEF1F6"/>
            <w:tcMar>
              <w:top w:w="60" w:type="dxa"/>
              <w:left w:w="110" w:type="dxa"/>
              <w:bottom w:w="60" w:type="dxa"/>
              <w:right w:w="110" w:type="dxa"/>
            </w:tcMar>
          </w:tcPr>
          <w:p w14:paraId="74217215"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Delivery cost per order</w:t>
            </w:r>
          </w:p>
        </w:tc>
        <w:tc>
          <w:tcPr>
            <w:tcW w:w="2900" w:type="dxa"/>
            <w:shd w:val="clear" w:color="auto" w:fill="EEF1F6"/>
            <w:tcMar>
              <w:top w:w="60" w:type="dxa"/>
              <w:left w:w="110" w:type="dxa"/>
              <w:bottom w:w="60" w:type="dxa"/>
              <w:right w:w="110" w:type="dxa"/>
            </w:tcMar>
          </w:tcPr>
          <w:p w14:paraId="4222959A"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To be set from pilot</w:t>
            </w:r>
          </w:p>
        </w:tc>
        <w:tc>
          <w:tcPr>
            <w:tcW w:w="2900" w:type="dxa"/>
            <w:shd w:val="clear" w:color="auto" w:fill="EEF1F6"/>
            <w:tcMar>
              <w:top w:w="60" w:type="dxa"/>
              <w:left w:w="110" w:type="dxa"/>
              <w:bottom w:w="60" w:type="dxa"/>
              <w:right w:w="110" w:type="dxa"/>
            </w:tcMar>
          </w:tcPr>
          <w:p w14:paraId="43D20618"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Last-mile pilot</w:t>
            </w:r>
          </w:p>
        </w:tc>
      </w:tr>
      <w:tr w:rsidR="00756D37" w:rsidRPr="00C40DAF" w14:paraId="1F3D59D5" w14:textId="77777777">
        <w:tblPrEx>
          <w:tblCellMar>
            <w:top w:w="0" w:type="dxa"/>
            <w:bottom w:w="0" w:type="dxa"/>
          </w:tblCellMar>
        </w:tblPrEx>
        <w:tc>
          <w:tcPr>
            <w:tcW w:w="3400" w:type="dxa"/>
            <w:tcMar>
              <w:top w:w="60" w:type="dxa"/>
              <w:left w:w="110" w:type="dxa"/>
              <w:bottom w:w="60" w:type="dxa"/>
              <w:right w:w="110" w:type="dxa"/>
            </w:tcMar>
          </w:tcPr>
          <w:p w14:paraId="27BB9260"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Customer acquisition cost</w:t>
            </w:r>
          </w:p>
        </w:tc>
        <w:tc>
          <w:tcPr>
            <w:tcW w:w="2900" w:type="dxa"/>
            <w:tcMar>
              <w:top w:w="60" w:type="dxa"/>
              <w:left w:w="110" w:type="dxa"/>
              <w:bottom w:w="60" w:type="dxa"/>
              <w:right w:w="110" w:type="dxa"/>
            </w:tcMar>
          </w:tcPr>
          <w:p w14:paraId="61EB3614"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To be set from pilot</w:t>
            </w:r>
          </w:p>
        </w:tc>
        <w:tc>
          <w:tcPr>
            <w:tcW w:w="2900" w:type="dxa"/>
            <w:tcMar>
              <w:top w:w="60" w:type="dxa"/>
              <w:left w:w="110" w:type="dxa"/>
              <w:bottom w:w="60" w:type="dxa"/>
              <w:right w:w="110" w:type="dxa"/>
            </w:tcMar>
          </w:tcPr>
          <w:p w14:paraId="178688DE"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Marketing pilot</w:t>
            </w:r>
          </w:p>
        </w:tc>
      </w:tr>
      <w:tr w:rsidR="00756D37" w:rsidRPr="00C40DAF" w14:paraId="3A55FDD4" w14:textId="77777777">
        <w:tblPrEx>
          <w:tblCellMar>
            <w:top w:w="0" w:type="dxa"/>
            <w:bottom w:w="0" w:type="dxa"/>
          </w:tblCellMar>
        </w:tblPrEx>
        <w:tc>
          <w:tcPr>
            <w:tcW w:w="3400" w:type="dxa"/>
            <w:shd w:val="clear" w:color="auto" w:fill="EEF1F6"/>
            <w:tcMar>
              <w:top w:w="60" w:type="dxa"/>
              <w:left w:w="110" w:type="dxa"/>
              <w:bottom w:w="60" w:type="dxa"/>
              <w:right w:w="110" w:type="dxa"/>
            </w:tcMar>
          </w:tcPr>
          <w:p w14:paraId="0FAC082A" w14:textId="77777777" w:rsidR="00756D37" w:rsidRPr="00C40DAF" w:rsidRDefault="00000000">
            <w:pPr>
              <w:spacing w:line="258" w:lineRule="auto"/>
              <w:rPr>
                <w:rFonts w:ascii="Arial" w:hAnsi="Arial" w:cs="Arial"/>
                <w:sz w:val="26"/>
                <w:szCs w:val="26"/>
              </w:rPr>
            </w:pPr>
            <w:r w:rsidRPr="00C40DAF">
              <w:rPr>
                <w:rFonts w:ascii="Arial" w:hAnsi="Arial" w:cs="Arial"/>
                <w:b/>
                <w:bCs/>
                <w:color w:val="222222"/>
                <w:sz w:val="26"/>
                <w:szCs w:val="26"/>
              </w:rPr>
              <w:t>Return rate (clothing)</w:t>
            </w:r>
          </w:p>
        </w:tc>
        <w:tc>
          <w:tcPr>
            <w:tcW w:w="2900" w:type="dxa"/>
            <w:shd w:val="clear" w:color="auto" w:fill="EEF1F6"/>
            <w:tcMar>
              <w:top w:w="60" w:type="dxa"/>
              <w:left w:w="110" w:type="dxa"/>
              <w:bottom w:w="60" w:type="dxa"/>
              <w:right w:w="110" w:type="dxa"/>
            </w:tcMar>
          </w:tcPr>
          <w:p w14:paraId="55C1E72F"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Target under 5 per cent</w:t>
            </w:r>
          </w:p>
        </w:tc>
        <w:tc>
          <w:tcPr>
            <w:tcW w:w="2900" w:type="dxa"/>
            <w:shd w:val="clear" w:color="auto" w:fill="EEF1F6"/>
            <w:tcMar>
              <w:top w:w="60" w:type="dxa"/>
              <w:left w:w="110" w:type="dxa"/>
              <w:bottom w:w="60" w:type="dxa"/>
              <w:right w:w="110" w:type="dxa"/>
            </w:tcMar>
          </w:tcPr>
          <w:p w14:paraId="0ACECB32" w14:textId="77777777" w:rsidR="00756D37" w:rsidRPr="00C40DAF" w:rsidRDefault="00000000">
            <w:pPr>
              <w:spacing w:line="258" w:lineRule="auto"/>
              <w:rPr>
                <w:rFonts w:ascii="Arial" w:hAnsi="Arial" w:cs="Arial"/>
                <w:sz w:val="26"/>
                <w:szCs w:val="26"/>
              </w:rPr>
            </w:pPr>
            <w:r w:rsidRPr="00C40DAF">
              <w:rPr>
                <w:rFonts w:ascii="Arial" w:hAnsi="Arial" w:cs="Arial"/>
                <w:color w:val="222222"/>
                <w:sz w:val="26"/>
                <w:szCs w:val="26"/>
              </w:rPr>
              <w:t>Find My Size performance</w:t>
            </w:r>
          </w:p>
        </w:tc>
      </w:tr>
    </w:tbl>
    <w:p w14:paraId="0FF77E7E"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15. Key Risks</w:t>
      </w:r>
    </w:p>
    <w:p w14:paraId="24BC5E66" w14:textId="77777777" w:rsidR="00756D37" w:rsidRPr="00C40DAF" w:rsidRDefault="00756D37">
      <w:pPr>
        <w:pBdr>
          <w:bottom w:val="single" w:sz="6" w:space="0" w:color="B8860B"/>
        </w:pBdr>
        <w:spacing w:before="60" w:after="160"/>
        <w:rPr>
          <w:rFonts w:ascii="Arial" w:hAnsi="Arial" w:cs="Arial"/>
          <w:sz w:val="26"/>
          <w:szCs w:val="26"/>
        </w:rPr>
      </w:pPr>
    </w:p>
    <w:p w14:paraId="697E327D"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Execution risk. The platform is a prototype. Delivery against milestones is unproven.</w:t>
      </w:r>
    </w:p>
    <w:p w14:paraId="2963D189"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Regulatory risk. Rules of origin, per-market customs, aviation rules for drones, and payments rules each constrain the model.</w:t>
      </w:r>
    </w:p>
    <w:p w14:paraId="756A2C5D"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Origin risk. The Ghana-origin export engine depends on genuine transformation. Simple labelling does not confer origin and must never be relied upon.</w:t>
      </w:r>
    </w:p>
    <w:p w14:paraId="0534E373"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 xml:space="preserve">Tax risk. The intercompany recharge may attract withholding tax if </w:t>
      </w:r>
      <w:proofErr w:type="spellStart"/>
      <w:r w:rsidRPr="00C40DAF">
        <w:rPr>
          <w:rFonts w:ascii="Arial" w:hAnsi="Arial" w:cs="Arial"/>
          <w:color w:val="222222"/>
          <w:sz w:val="26"/>
          <w:szCs w:val="26"/>
        </w:rPr>
        <w:t>recharacterised</w:t>
      </w:r>
      <w:proofErr w:type="spellEnd"/>
      <w:r w:rsidRPr="00C40DAF">
        <w:rPr>
          <w:rFonts w:ascii="Arial" w:hAnsi="Arial" w:cs="Arial"/>
          <w:color w:val="222222"/>
          <w:sz w:val="26"/>
          <w:szCs w:val="26"/>
        </w:rPr>
        <w:t>. Confirm with the revenue authority.</w:t>
      </w:r>
    </w:p>
    <w:p w14:paraId="59066966"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Currency risk. The naira is volatile; the CFA franc is pegged and easier. Managed by treasury and by phasing, but not removed.</w:t>
      </w:r>
    </w:p>
    <w:p w14:paraId="660657DA"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Regional risk. The ECOWAS fracture and border volatility, especially around Benin and Nigeria, must be watched.</w:t>
      </w:r>
    </w:p>
    <w:p w14:paraId="1C653252" w14:textId="77777777" w:rsidR="00756D37" w:rsidRPr="00C40DAF" w:rsidRDefault="00000000">
      <w:pPr>
        <w:pStyle w:val="Heading1"/>
        <w:spacing w:before="320" w:after="140"/>
        <w:rPr>
          <w:rFonts w:ascii="Arial" w:hAnsi="Arial" w:cs="Arial"/>
          <w:sz w:val="26"/>
          <w:szCs w:val="26"/>
        </w:rPr>
      </w:pPr>
      <w:r w:rsidRPr="00C40DAF">
        <w:rPr>
          <w:rFonts w:ascii="Arial" w:hAnsi="Arial" w:cs="Arial"/>
          <w:b/>
          <w:bCs/>
          <w:color w:val="0A1F44"/>
          <w:sz w:val="26"/>
          <w:szCs w:val="26"/>
        </w:rPr>
        <w:t>16. Milestones</w:t>
      </w:r>
    </w:p>
    <w:p w14:paraId="71482B62" w14:textId="77777777" w:rsidR="00756D37" w:rsidRPr="00C40DAF" w:rsidRDefault="00756D37">
      <w:pPr>
        <w:pBdr>
          <w:bottom w:val="single" w:sz="6" w:space="0" w:color="B8860B"/>
        </w:pBdr>
        <w:spacing w:before="60" w:after="160"/>
        <w:rPr>
          <w:rFonts w:ascii="Arial" w:hAnsi="Arial" w:cs="Arial"/>
          <w:sz w:val="26"/>
          <w:szCs w:val="26"/>
        </w:rPr>
      </w:pPr>
    </w:p>
    <w:p w14:paraId="78B54642"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Incorporate the group and lock the intellectual property inside Korama Holdings.</w:t>
      </w:r>
    </w:p>
    <w:p w14:paraId="5D555553"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Complete the venture round at the Holdings level.</w:t>
      </w:r>
    </w:p>
    <w:p w14:paraId="2DB73B07"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Launch the Phase 1 pilot in Ghana and Nigeria and prove the unit economics.</w:t>
      </w:r>
    </w:p>
    <w:p w14:paraId="69604844"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Stand up the Ghana-origin value-addition base and make the first duty-free regional export.</w:t>
      </w:r>
    </w:p>
    <w:p w14:paraId="2DC158E8"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Enter Cote d'Ivoire and Senegal, then Togo and Benin.</w:t>
      </w:r>
    </w:p>
    <w:p w14:paraId="6D7C8DF3"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Secure ring-fenced infrastructure capital for the Ghana operating layer.</w:t>
      </w:r>
    </w:p>
    <w:p w14:paraId="5E5EA307" w14:textId="77777777" w:rsidR="00756D37" w:rsidRPr="00C40DAF" w:rsidRDefault="00000000">
      <w:pPr>
        <w:pStyle w:val="ListParagraph"/>
        <w:numPr>
          <w:ilvl w:val="0"/>
          <w:numId w:val="2"/>
        </w:numPr>
        <w:spacing w:after="70" w:line="270" w:lineRule="auto"/>
        <w:rPr>
          <w:rFonts w:ascii="Arial" w:hAnsi="Arial" w:cs="Arial"/>
          <w:sz w:val="26"/>
          <w:szCs w:val="26"/>
        </w:rPr>
      </w:pPr>
      <w:r w:rsidRPr="00C40DAF">
        <w:rPr>
          <w:rFonts w:ascii="Arial" w:hAnsi="Arial" w:cs="Arial"/>
          <w:color w:val="222222"/>
          <w:sz w:val="26"/>
          <w:szCs w:val="26"/>
        </w:rPr>
        <w:t>Scale, and prepare the group for a later growth round or exit.</w:t>
      </w:r>
    </w:p>
    <w:p w14:paraId="6FA13834" w14:textId="77777777" w:rsidR="00756D37" w:rsidRPr="00C40DAF" w:rsidRDefault="00000000">
      <w:pPr>
        <w:spacing w:before="260"/>
        <w:rPr>
          <w:rFonts w:ascii="Arial" w:hAnsi="Arial" w:cs="Arial"/>
          <w:sz w:val="26"/>
          <w:szCs w:val="26"/>
        </w:rPr>
      </w:pPr>
      <w:r w:rsidRPr="00C40DAF">
        <w:rPr>
          <w:rFonts w:ascii="Arial" w:hAnsi="Arial" w:cs="Arial"/>
          <w:i/>
          <w:iCs/>
          <w:color w:val="444444"/>
          <w:sz w:val="26"/>
          <w:szCs w:val="26"/>
        </w:rPr>
        <w:t>End of document.</w:t>
      </w:r>
    </w:p>
    <w:sectPr w:rsidR="00756D37" w:rsidRPr="00C40DAF">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5812D" w14:textId="77777777" w:rsidR="008B07CF" w:rsidRDefault="008B07CF">
      <w:r>
        <w:separator/>
      </w:r>
    </w:p>
  </w:endnote>
  <w:endnote w:type="continuationSeparator" w:id="0">
    <w:p w14:paraId="5183B598" w14:textId="77777777" w:rsidR="008B07CF" w:rsidRDefault="008B0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568A" w14:textId="77777777" w:rsidR="00756D37" w:rsidRDefault="00000000">
    <w:pPr>
      <w:pBdr>
        <w:top w:val="single" w:sz="4" w:space="0" w:color="B8860B"/>
      </w:pBdr>
      <w:spacing w:before="100"/>
      <w:jc w:val="center"/>
    </w:pPr>
    <w:r>
      <w:rPr>
        <w:color w:val="444444"/>
        <w:sz w:val="15"/>
        <w:szCs w:val="15"/>
      </w:rPr>
      <w:t xml:space="preserve">KORAMA </w:t>
    </w:r>
    <w:proofErr w:type="gramStart"/>
    <w:r>
      <w:rPr>
        <w:color w:val="444444"/>
        <w:sz w:val="15"/>
        <w:szCs w:val="15"/>
      </w:rPr>
      <w:t>HOLDINGS  |</w:t>
    </w:r>
    <w:proofErr w:type="gramEnd"/>
    <w:r>
      <w:rPr>
        <w:color w:val="444444"/>
        <w:sz w:val="15"/>
        <w:szCs w:val="15"/>
      </w:rPr>
      <w:t xml:space="preserve">  Business </w:t>
    </w:r>
    <w:proofErr w:type="gramStart"/>
    <w:r>
      <w:rPr>
        <w:color w:val="444444"/>
        <w:sz w:val="15"/>
        <w:szCs w:val="15"/>
      </w:rPr>
      <w:t>Model  |</w:t>
    </w:r>
    <w:proofErr w:type="gramEnd"/>
    <w:r>
      <w:rPr>
        <w:color w:val="444444"/>
        <w:sz w:val="15"/>
        <w:szCs w:val="15"/>
      </w:rPr>
      <w:t xml:space="preserve">  Private and </w:t>
    </w:r>
    <w:proofErr w:type="gramStart"/>
    <w:r>
      <w:rPr>
        <w:color w:val="444444"/>
        <w:sz w:val="15"/>
        <w:szCs w:val="15"/>
      </w:rPr>
      <w:t>Confidential  |</w:t>
    </w:r>
    <w:proofErr w:type="gramEnd"/>
    <w:r>
      <w:rPr>
        <w:color w:val="444444"/>
        <w:sz w:val="15"/>
        <w:szCs w:val="15"/>
      </w:rPr>
      <w:t xml:space="preserve">  Page </w:t>
    </w:r>
    <w:r>
      <w:rPr>
        <w:color w:val="444444"/>
        <w:sz w:val="15"/>
        <w:szCs w:val="15"/>
      </w:rPr>
      <w:fldChar w:fldCharType="begin"/>
    </w:r>
    <w:r>
      <w:rPr>
        <w:color w:val="444444"/>
        <w:sz w:val="15"/>
        <w:szCs w:val="15"/>
      </w:rPr>
      <w:instrText>PAGE</w:instrText>
    </w:r>
    <w:r>
      <w:rPr>
        <w:color w:val="444444"/>
        <w:sz w:val="15"/>
        <w:szCs w:val="15"/>
      </w:rPr>
      <w:fldChar w:fldCharType="separate"/>
    </w:r>
    <w:r w:rsidR="00C40DAF">
      <w:rPr>
        <w:noProof/>
        <w:color w:val="444444"/>
        <w:sz w:val="15"/>
        <w:szCs w:val="15"/>
      </w:rPr>
      <w:t>1</w:t>
    </w:r>
    <w:r>
      <w:rPr>
        <w:color w:val="444444"/>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751E9" w14:textId="77777777" w:rsidR="008B07CF" w:rsidRDefault="008B07CF">
      <w:r>
        <w:separator/>
      </w:r>
    </w:p>
  </w:footnote>
  <w:footnote w:type="continuationSeparator" w:id="0">
    <w:p w14:paraId="00103F1B" w14:textId="77777777" w:rsidR="008B07CF" w:rsidRDefault="008B07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95966"/>
    <w:multiLevelType w:val="hybridMultilevel"/>
    <w:tmpl w:val="13EE0AA6"/>
    <w:lvl w:ilvl="0" w:tplc="CF28C5EE">
      <w:start w:val="1"/>
      <w:numFmt w:val="bullet"/>
      <w:lvlText w:val="●"/>
      <w:lvlJc w:val="left"/>
      <w:pPr>
        <w:ind w:left="720" w:hanging="360"/>
      </w:pPr>
    </w:lvl>
    <w:lvl w:ilvl="1" w:tplc="D2D85DFC">
      <w:start w:val="1"/>
      <w:numFmt w:val="bullet"/>
      <w:lvlText w:val="○"/>
      <w:lvlJc w:val="left"/>
      <w:pPr>
        <w:ind w:left="1440" w:hanging="360"/>
      </w:pPr>
    </w:lvl>
    <w:lvl w:ilvl="2" w:tplc="24AEA25A">
      <w:start w:val="1"/>
      <w:numFmt w:val="bullet"/>
      <w:lvlText w:val="■"/>
      <w:lvlJc w:val="left"/>
      <w:pPr>
        <w:ind w:left="2160" w:hanging="360"/>
      </w:pPr>
    </w:lvl>
    <w:lvl w:ilvl="3" w:tplc="BE50A2E6">
      <w:start w:val="1"/>
      <w:numFmt w:val="bullet"/>
      <w:lvlText w:val="●"/>
      <w:lvlJc w:val="left"/>
      <w:pPr>
        <w:ind w:left="2880" w:hanging="360"/>
      </w:pPr>
    </w:lvl>
    <w:lvl w:ilvl="4" w:tplc="D4707702">
      <w:start w:val="1"/>
      <w:numFmt w:val="bullet"/>
      <w:lvlText w:val="○"/>
      <w:lvlJc w:val="left"/>
      <w:pPr>
        <w:ind w:left="3600" w:hanging="360"/>
      </w:pPr>
    </w:lvl>
    <w:lvl w:ilvl="5" w:tplc="FA8A1D18">
      <w:start w:val="1"/>
      <w:numFmt w:val="bullet"/>
      <w:lvlText w:val="■"/>
      <w:lvlJc w:val="left"/>
      <w:pPr>
        <w:ind w:left="4320" w:hanging="360"/>
      </w:pPr>
    </w:lvl>
    <w:lvl w:ilvl="6" w:tplc="68445824">
      <w:start w:val="1"/>
      <w:numFmt w:val="bullet"/>
      <w:lvlText w:val="●"/>
      <w:lvlJc w:val="left"/>
      <w:pPr>
        <w:ind w:left="5040" w:hanging="360"/>
      </w:pPr>
    </w:lvl>
    <w:lvl w:ilvl="7" w:tplc="C9DC8102">
      <w:start w:val="1"/>
      <w:numFmt w:val="bullet"/>
      <w:lvlText w:val="●"/>
      <w:lvlJc w:val="left"/>
      <w:pPr>
        <w:ind w:left="5760" w:hanging="360"/>
      </w:pPr>
    </w:lvl>
    <w:lvl w:ilvl="8" w:tplc="8F2E7092">
      <w:start w:val="1"/>
      <w:numFmt w:val="bullet"/>
      <w:lvlText w:val="●"/>
      <w:lvlJc w:val="left"/>
      <w:pPr>
        <w:ind w:left="6480" w:hanging="360"/>
      </w:pPr>
    </w:lvl>
  </w:abstractNum>
  <w:abstractNum w:abstractNumId="1" w15:restartNumberingAfterBreak="0">
    <w:nsid w:val="4BC50AE0"/>
    <w:multiLevelType w:val="hybridMultilevel"/>
    <w:tmpl w:val="D32CEF58"/>
    <w:lvl w:ilvl="0" w:tplc="871843D6">
      <w:start w:val="1"/>
      <w:numFmt w:val="bullet"/>
      <w:lvlText w:val="•"/>
      <w:lvlJc w:val="left"/>
      <w:pPr>
        <w:ind w:left="360" w:hanging="220"/>
      </w:pPr>
      <w:rPr>
        <w:color w:val="B8860B"/>
      </w:rPr>
    </w:lvl>
    <w:lvl w:ilvl="1" w:tplc="C25CDDD0">
      <w:numFmt w:val="decimal"/>
      <w:lvlText w:val=""/>
      <w:lvlJc w:val="left"/>
    </w:lvl>
    <w:lvl w:ilvl="2" w:tplc="3920F492">
      <w:numFmt w:val="decimal"/>
      <w:lvlText w:val=""/>
      <w:lvlJc w:val="left"/>
    </w:lvl>
    <w:lvl w:ilvl="3" w:tplc="209A2B5E">
      <w:numFmt w:val="decimal"/>
      <w:lvlText w:val=""/>
      <w:lvlJc w:val="left"/>
    </w:lvl>
    <w:lvl w:ilvl="4" w:tplc="2628151C">
      <w:numFmt w:val="decimal"/>
      <w:lvlText w:val=""/>
      <w:lvlJc w:val="left"/>
    </w:lvl>
    <w:lvl w:ilvl="5" w:tplc="47FC0F4E">
      <w:numFmt w:val="decimal"/>
      <w:lvlText w:val=""/>
      <w:lvlJc w:val="left"/>
    </w:lvl>
    <w:lvl w:ilvl="6" w:tplc="928218C0">
      <w:numFmt w:val="decimal"/>
      <w:lvlText w:val=""/>
      <w:lvlJc w:val="left"/>
    </w:lvl>
    <w:lvl w:ilvl="7" w:tplc="C64CD41A">
      <w:numFmt w:val="decimal"/>
      <w:lvlText w:val=""/>
      <w:lvlJc w:val="left"/>
    </w:lvl>
    <w:lvl w:ilvl="8" w:tplc="A1885A0E">
      <w:numFmt w:val="decimal"/>
      <w:lvlText w:val=""/>
      <w:lvlJc w:val="left"/>
    </w:lvl>
  </w:abstractNum>
  <w:num w:numId="1" w16cid:durableId="871190285">
    <w:abstractNumId w:val="0"/>
    <w:lvlOverride w:ilvl="0">
      <w:startOverride w:val="1"/>
    </w:lvlOverride>
  </w:num>
  <w:num w:numId="2" w16cid:durableId="1575310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D37"/>
    <w:rsid w:val="00756D37"/>
    <w:rsid w:val="008B07CF"/>
    <w:rsid w:val="00C40DAF"/>
    <w:rsid w:val="00E9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42D9"/>
  <w15:docId w15:val="{EC91E35D-83F5-4BCE-98BD-B2C12BBE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2067</Words>
  <Characters>11782</Characters>
  <Application>Microsoft Office Word</Application>
  <DocSecurity>0</DocSecurity>
  <Lines>98</Lines>
  <Paragraphs>27</Paragraphs>
  <ScaleCrop>false</ScaleCrop>
  <Company/>
  <LinksUpToDate>false</LinksUpToDate>
  <CharactersWithSpaces>13822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Korama Holdings Business Model</dc:title>
  <dc:creator>Kurukan Sasu Group</dc:creator>
  <cp:lastModifiedBy>HP</cp:lastModifiedBy>
  <cp:revision>2</cp:revision>
  <dcterms:created xsi:type="dcterms:W3CDTF">2026-08-27T23:41:00Z</dcterms:created>
  <dcterms:modified xsi:type="dcterms:W3CDTF">2026-08-27T23:41:00Z</dcterms:modified>
</cp:coreProperties>
</file>