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5C"/>
          <w:sz w:val="48"/>
        </w:rPr>
        <w:t>PERSON 1 — WORK ALLOCATION</w:t>
      </w:r>
    </w:p>
    <w:p>
      <w:pPr>
        <w:jc w:val="center"/>
      </w:pPr>
      <w:r>
        <w:rPr>
          <w:i/>
          <w:sz w:val="28"/>
        </w:rPr>
        <w:t>Decision-Stable Causal Attribution</w:t>
      </w:r>
    </w:p>
    <w:p>
      <w:pPr>
        <w:jc w:val="center"/>
      </w:pPr>
      <w:r>
        <w:rPr>
          <w:sz w:val="20"/>
        </w:rPr>
        <w:t>Role: Research, Statistical Modelling &amp; Python Backend</w:t>
      </w:r>
    </w:p>
    <w:p>
      <w:r>
        <w:t>Purpose: This document defines Person 1’s responsibilities for building the statistical and computational core of Decision-Stable Causal Attribution. Person 1 owns the Python pipeline, mathematical outputs, evaluation, and the data contract consumed by Person 2’s frontend.</w:t>
      </w:r>
    </w:p>
    <w:p>
      <w:pPr>
        <w:pStyle w:val="Heading1"/>
      </w:pPr>
      <w:r>
        <w:t>1. Scope and Ownership</w:t>
      </w:r>
    </w:p>
    <w:p>
      <w:r>
        <w:t>Person 1 is responsible for generating trustworthy, reproducible results. The frontend will visualize these results; it must not invent or independently recalculate the statistical claims.</w:t>
      </w:r>
    </w:p>
    <w:p>
      <w:pPr>
        <w:pStyle w:val="ListBullet"/>
      </w:pPr>
      <w:r>
        <w:t>Build and validate the synthetic customer-journey simulator.</w:t>
      </w:r>
    </w:p>
    <w:p>
      <w:pPr>
        <w:pStyle w:val="ListBullet"/>
      </w:pPr>
      <w:r>
        <w:t>Implement attribution baselines and a causal-effect estimator.</w:t>
      </w:r>
    </w:p>
    <w:p>
      <w:pPr>
        <w:pStyle w:val="ListBullet"/>
      </w:pPr>
      <w:r>
        <w:t>Measure overlap and identifiability limitations.</w:t>
      </w:r>
    </w:p>
    <w:p>
      <w:pPr>
        <w:pStyle w:val="ListBullet"/>
      </w:pPr>
      <w:r>
        <w:t>Compute sensitivity intervals under hidden-confounding assumptions.</w:t>
      </w:r>
    </w:p>
    <w:p>
      <w:pPr>
        <w:pStyle w:val="ListBullet"/>
      </w:pPr>
      <w:r>
        <w:t>Optimize budget allocation and calculate decision stability/breakdown points.</w:t>
      </w:r>
    </w:p>
    <w:p>
      <w:pPr>
        <w:pStyle w:val="ListBullet"/>
      </w:pPr>
      <w:r>
        <w:t>Implement experiment selection where feasible.</w:t>
      </w:r>
    </w:p>
    <w:p>
      <w:pPr>
        <w:pStyle w:val="ListBullet"/>
      </w:pPr>
      <w:r>
        <w:t>Run reproducible evaluations and export versioned JSON for the frontend.</w:t>
      </w:r>
    </w:p>
    <w:p>
      <w:pPr>
        <w:pStyle w:val="Heading1"/>
      </w:pPr>
      <w:r>
        <w:t>2. Detailed Task Breakdown</w:t>
      </w:r>
    </w:p>
    <w:p>
      <w:pPr>
        <w:pStyle w:val="Heading2"/>
      </w:pPr>
      <w:r>
        <w:t>Task 1 — Simulator (C1)</w:t>
      </w:r>
    </w:p>
    <w:p>
      <w:pPr>
        <w:pStyle w:val="ListBullet"/>
      </w:pPr>
      <w:r>
        <w:t>Generate customer journeys with observed covariates, channel exposures, conversion outcomes, and latent purchase intent U (kept internal to the simulator).</w:t>
      </w:r>
    </w:p>
    <w:p>
      <w:pPr>
        <w:pStyle w:val="ListBullet"/>
      </w:pPr>
      <w:r>
        <w:t>Support tunable hidden-confounding strength, proxy quality, positivity/overlap, effect heterogeneity, channel costs, and conversion saturation.</w:t>
      </w:r>
    </w:p>
    <w:p>
      <w:pPr>
        <w:pStyle w:val="ListBullet"/>
      </w:pPr>
      <w:r>
        <w:t>Create named scenarios such as Mild Confounding, Retargeting Trap, Poor Overlap, Hidden-Intent Heavy, Null Channel, and Heterogeneous Effects.</w:t>
      </w:r>
    </w:p>
    <w:p>
      <w:pPr>
        <w:pStyle w:val="ListBullet"/>
      </w:pPr>
      <w:r>
        <w:t>Compute ground truth using interventions with controlled random seeds, so true effects and optimal allocations are known in simulation.</w:t>
      </w:r>
    </w:p>
    <w:p>
      <w:pPr>
        <w:pStyle w:val="ListBullet"/>
      </w:pPr>
      <w:r>
        <w:t>Write acceptance tests: randomized exposure recovers known effects; confounding creates expected bias; base rates behave as configured.</w:t>
      </w:r>
    </w:p>
    <w:p>
      <w:r>
        <w:rPr>
          <w:b/>
          <w:color w:val="245D42"/>
        </w:rPr>
        <w:t>Deliverables: simulator module, scenario configs, reproducible seeds, acceptance tests.</w:t>
      </w:r>
    </w:p>
    <w:p>
      <w:pPr>
        <w:pStyle w:val="Heading2"/>
      </w:pPr>
      <w:r>
        <w:t>Task 2 — Data Layer and Schemas (C2)</w:t>
      </w:r>
    </w:p>
    <w:p>
      <w:pPr>
        <w:pStyle w:val="ListBullet"/>
      </w:pPr>
      <w:r>
        <w:t>Define consistent structures for journeys, exposures, covariates, simulator-only truth, and evaluation outputs.</w:t>
      </w:r>
    </w:p>
    <w:p>
      <w:pPr>
        <w:pStyle w:val="ListBullet"/>
      </w:pPr>
      <w:r>
        <w:t>Use Parquet where appropriate and validate configuration/output structures.</w:t>
      </w:r>
    </w:p>
    <w:p>
      <w:pPr>
        <w:pStyle w:val="ListBullet"/>
      </w:pPr>
      <w:r>
        <w:t>Agree with Person 2 on a versioned JSON schema before major implementation begins.</w:t>
      </w:r>
    </w:p>
    <w:p>
      <w:r>
        <w:rPr>
          <w:b/>
          <w:color w:val="245D42"/>
        </w:rPr>
        <w:t>Deliverables: data schemas, sample fixture, JSON contract and validation.</w:t>
      </w:r>
    </w:p>
    <w:p>
      <w:pPr>
        <w:pStyle w:val="Heading2"/>
      </w:pPr>
      <w:r>
        <w:t>Task 3 — Attribution Baselines (C3)</w:t>
      </w:r>
    </w:p>
    <w:p>
      <w:pPr>
        <w:pStyle w:val="ListBullet"/>
      </w:pPr>
      <w:r>
        <w:t>Implement last-click, first-click, linear attribution, Markov removal effect, sampled Shapley, and a simple logistic baseline.</w:t>
      </w:r>
    </w:p>
    <w:p>
      <w:pPr>
        <w:pStyle w:val="ListBullet"/>
      </w:pPr>
      <w:r>
        <w:t>Include a propensity-adjusted baseline if feasible.</w:t>
      </w:r>
    </w:p>
    <w:p>
      <w:pPr>
        <w:pStyle w:val="ListBullet"/>
      </w:pPr>
      <w:r>
        <w:t>Document that these are comparison methods, not the project's novel contribution.</w:t>
      </w:r>
    </w:p>
    <w:p>
      <w:r>
        <w:rPr>
          <w:b/>
          <w:color w:val="245D42"/>
        </w:rPr>
        <w:t>Deliverables: baseline module and reproducible baseline outputs.</w:t>
      </w:r>
    </w:p>
    <w:p>
      <w:pPr>
        <w:pStyle w:val="Heading2"/>
      </w:pPr>
      <w:r>
        <w:t>Task 4 — Causal Estimator (C4)</w:t>
      </w:r>
    </w:p>
    <w:p>
      <w:pPr>
        <w:pStyle w:val="ListBullet"/>
      </w:pPr>
      <w:r>
        <w:t>For the MVP, define a point-exposure treatment per channel over a lookback window, using only pre-exposure confounders.</w:t>
      </w:r>
    </w:p>
    <w:p>
      <w:pPr>
        <w:pStyle w:val="ListBullet"/>
      </w:pPr>
      <w:r>
        <w:t>Estimate propensity and outcome models, then implement cross-fitted augmented inverse-propensity weighting (AIPW).</w:t>
      </w:r>
    </w:p>
    <w:p>
      <w:pPr>
        <w:pStyle w:val="ListBullet"/>
      </w:pPr>
      <w:r>
        <w:t>Record effect estimates, uncertainty estimates, propensity scores, and weights.</w:t>
      </w:r>
    </w:p>
    <w:p>
      <w:pPr>
        <w:pStyle w:val="ListBullet"/>
      </w:pPr>
      <w:r>
        <w:t>Keep the time-varying marginal structural model and optional GRU as stretch goals.</w:t>
      </w:r>
    </w:p>
    <w:p>
      <w:r>
        <w:rPr>
          <w:b/>
          <w:color w:val="245D42"/>
        </w:rPr>
        <w:t>Deliverables: tested estimator module and channel-level effect estimates.</w:t>
      </w:r>
    </w:p>
    <w:p>
      <w:pPr>
        <w:pStyle w:val="Heading2"/>
      </w:pPr>
      <w:r>
        <w:t>Task 5 — Overlap and Identifiability Diagnostics (C5)</w:t>
      </w:r>
    </w:p>
    <w:p>
      <w:pPr>
        <w:pStyle w:val="ListBullet"/>
      </w:pPr>
      <w:r>
        <w:t>Compute propensity distributions, extreme propensity shares, effective sample size, weight concentration, and covariate balance.</w:t>
      </w:r>
    </w:p>
    <w:p>
      <w:pPr>
        <w:pStyle w:val="ListBullet"/>
      </w:pPr>
      <w:r>
        <w:t>Apply thresholds selected using separate simulator seeds, then freeze them before final evaluation.</w:t>
      </w:r>
    </w:p>
    <w:p>
      <w:pPr>
        <w:pStyle w:val="ListBullet"/>
      </w:pPr>
      <w:r>
        <w:t>Flag channels with poor overlap as observationally unidentifiable under the chosen diagnostic rule; document that this is a diagnostic decision, not proof of absolute non-identifiability.</w:t>
      </w:r>
    </w:p>
    <w:p>
      <w:r>
        <w:rPr>
          <w:b/>
          <w:color w:val="245D42"/>
        </w:rPr>
        <w:t>Deliverables: diagnostics module and channel-level diagnostic flags.</w:t>
      </w:r>
    </w:p>
    <w:p>
      <w:pPr>
        <w:pStyle w:val="Heading2"/>
      </w:pPr>
      <w:r>
        <w:t>Task 6 — Sensitivity Engine (C6)</w:t>
      </w:r>
    </w:p>
    <w:p>
      <w:pPr>
        <w:pStyle w:val="ListBullet"/>
      </w:pPr>
      <w:r>
        <w:t>Select and implement a published marginal sensitivity-model bound formulation after reviewing the relevant literature.</w:t>
      </w:r>
    </w:p>
    <w:p>
      <w:pPr>
        <w:pStyle w:val="ListBullet"/>
      </w:pPr>
      <w:r>
        <w:t>Calculate channel-effect intervals across a Gamma grid (for example, 1.0–3.0 in 0.1 increments).</w:t>
      </w:r>
    </w:p>
    <w:p>
      <w:pPr>
        <w:pStyle w:val="ListBullet"/>
      </w:pPr>
      <w:r>
        <w:t>Benchmark Gamma against observed covariates by measuring how estimates change when important covariates are omitted.</w:t>
      </w:r>
    </w:p>
    <w:p>
      <w:pPr>
        <w:pStyle w:val="ListBullet"/>
      </w:pPr>
      <w:r>
        <w:t>Test interval coverage in simulation when the assumed Gamma covers the true confounding strength.</w:t>
      </w:r>
    </w:p>
    <w:p>
      <w:r>
        <w:rPr>
          <w:b/>
          <w:color w:val="245D42"/>
        </w:rPr>
        <w:t>Deliverables: sensitivity intervals, Gamma calibration outputs, coverage tests.</w:t>
      </w:r>
    </w:p>
    <w:p>
      <w:pPr>
        <w:pStyle w:val="Heading2"/>
      </w:pPr>
      <w:r>
        <w:t>Task 7 — Decision Engine (C7)</w:t>
      </w:r>
    </w:p>
    <w:p>
      <w:pPr>
        <w:pStyle w:val="ListBullet"/>
      </w:pPr>
      <w:r>
        <w:t>Implement the budget objective using channel effects, costs, saturation, and allocation constraints.</w:t>
      </w:r>
    </w:p>
    <w:p>
      <w:pPr>
        <w:pStyle w:val="ListBullet"/>
      </w:pPr>
      <w:r>
        <w:t>Compute the point-estimate allocation and a robust/minimax-regret allocation.</w:t>
      </w:r>
    </w:p>
    <w:p>
      <w:pPr>
        <w:pStyle w:val="ListBullet"/>
      </w:pPr>
      <w:r>
        <w:t>Calculate worst-case regret across the sensitivity uncertainty set.</w:t>
      </w:r>
    </w:p>
    <w:p>
      <w:pPr>
        <w:pStyle w:val="ListBullet"/>
      </w:pPr>
      <w:r>
        <w:t>Define the decision breakdown point Gamma* as the smallest Gamma where the chosen allocation ceases to be optimal or exceeds the pre-agreed regret tolerance.</w:t>
      </w:r>
    </w:p>
    <w:p>
      <w:pPr>
        <w:pStyle w:val="ListBullet"/>
      </w:pPr>
      <w:r>
        <w:t>Produce stable, fragile, or unidentifiable labels using agreed rules.</w:t>
      </w:r>
    </w:p>
    <w:p>
      <w:r>
        <w:rPr>
          <w:b/>
          <w:color w:val="245D42"/>
        </w:rPr>
        <w:t>Deliverables: allocation optimizer, regret curve, breakdown point, stability labels.</w:t>
      </w:r>
    </w:p>
    <w:p>
      <w:pPr>
        <w:pStyle w:val="Heading2"/>
      </w:pPr>
      <w:r>
        <w:t>Task 8 — Experiment Selector (C8)</w:t>
      </w:r>
    </w:p>
    <w:p>
      <w:pPr>
        <w:pStyle w:val="ListBullet"/>
      </w:pPr>
      <w:r>
        <w:t>Define candidate experiments by channel, customer segment, holdout fraction, sample size, and cost.</w:t>
      </w:r>
    </w:p>
    <w:p>
      <w:pPr>
        <w:pStyle w:val="ListBullet"/>
      </w:pPr>
      <w:r>
        <w:t>Estimate expected reduction in decision regret minus experiment cost (value of information).</w:t>
      </w:r>
    </w:p>
    <w:p>
      <w:pPr>
        <w:pStyle w:val="ListBullet"/>
      </w:pPr>
      <w:r>
        <w:t>Compare the selection policy with random, widest-interval, largest-spend, and ranking-uncertainty baselines.</w:t>
      </w:r>
    </w:p>
    <w:p>
      <w:pPr>
        <w:pStyle w:val="ListBullet"/>
      </w:pPr>
      <w:r>
        <w:t>Check sensitivity to at least two working distributions for experiment outcomes.</w:t>
      </w:r>
    </w:p>
    <w:p>
      <w:pPr>
        <w:pStyle w:val="ListBullet"/>
      </w:pPr>
      <w:r>
        <w:t>Treat full sequential selection as an extension if the core pipeline is not yet validated.</w:t>
      </w:r>
    </w:p>
    <w:p>
      <w:r>
        <w:rPr>
          <w:b/>
          <w:color w:val="245D42"/>
        </w:rPr>
        <w:t>Deliverables: experiment rankings and comparison metrics; optional sequential updates.</w:t>
      </w:r>
    </w:p>
    <w:p>
      <w:pPr>
        <w:pStyle w:val="Heading2"/>
      </w:pPr>
      <w:r>
        <w:t>Task 9 — Evaluation Harness (C9)</w:t>
      </w:r>
    </w:p>
    <w:p>
      <w:pPr>
        <w:pStyle w:val="ListBullet"/>
      </w:pPr>
      <w:r>
        <w:t>Run methods over multiple scenarios and repeated seeds, preferably with parallel execution.</w:t>
      </w:r>
    </w:p>
    <w:p>
      <w:pPr>
        <w:pStyle w:val="ListBullet"/>
      </w:pPr>
      <w:r>
        <w:t>Measure effect bias/RMSE, sensitivity interval coverage, ROI ranking agreement, budget allocation regret, stability-label validity, overlap detection precision/recall, and regret after experiments.</w:t>
      </w:r>
    </w:p>
    <w:p>
      <w:pPr>
        <w:pStyle w:val="ListBullet"/>
      </w:pPr>
      <w:r>
        <w:t>Use paired comparisons on shared seeds, report uncertainty intervals, and report negative results as well as positive ones.</w:t>
      </w:r>
    </w:p>
    <w:p>
      <w:pPr>
        <w:pStyle w:val="ListBullet"/>
      </w:pPr>
      <w:r>
        <w:t>Ensure every reported number can be regenerated by a single command.</w:t>
      </w:r>
    </w:p>
    <w:p>
      <w:r>
        <w:rPr>
          <w:b/>
          <w:color w:val="245D42"/>
        </w:rPr>
        <w:t>Deliverables: evaluation scripts, CSV/JSON summaries, plots and reproducibility command.</w:t>
      </w:r>
    </w:p>
    <w:p>
      <w:pPr>
        <w:pStyle w:val="Heading2"/>
      </w:pPr>
      <w:r>
        <w:t>Task 10 — Real-Data Bridge (C11, optional after MVP)</w:t>
      </w:r>
    </w:p>
    <w:p>
      <w:pPr>
        <w:pStyle w:val="ListBullet"/>
      </w:pPr>
      <w:r>
        <w:t>Assess whether a suitable randomized advertising dataset is available, licensed, and compatible with the estimand.</w:t>
      </w:r>
    </w:p>
    <w:p>
      <w:pPr>
        <w:pStyle w:val="ListBullet"/>
      </w:pPr>
      <w:r>
        <w:t>Where appropriate, create a deliberately confounded observational subsample and compare estimates against the randomized benchmark.</w:t>
      </w:r>
    </w:p>
    <w:p>
      <w:pPr>
        <w:pStyle w:val="ListBullet"/>
      </w:pPr>
      <w:r>
        <w:t>For purely observational data, report diagnostics and descriptive stability only; do not claim the true causal effect is known.</w:t>
      </w:r>
    </w:p>
    <w:p>
      <w:r>
        <w:rPr>
          <w:b/>
          <w:color w:val="245D42"/>
        </w:rPr>
        <w:t>Deliverables: data preparation and validation report, if feasible.</w:t>
      </w:r>
    </w:p>
    <w:p>
      <w:pPr>
        <w:pStyle w:val="Heading1"/>
      </w:pPr>
      <w:r>
        <w:t>3. Recommended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3.11 or 3.12</w:t>
            </w:r>
          </w:p>
        </w:tc>
        <w:tc>
          <w:tcPr>
            <w:tcW w:type="dxa" w:w="3312"/>
          </w:tcPr>
          <w:p>
            <w:r>
              <w:t>Backend implementation</w:t>
            </w:r>
          </w:p>
        </w:tc>
      </w:tr>
      <w:tr>
        <w:tc>
          <w:tcPr>
            <w:tcW w:type="dxa" w:w="3312"/>
          </w:tcPr>
          <w:p>
            <w:r>
              <w:t>Numerical/data</w:t>
            </w:r>
          </w:p>
        </w:tc>
        <w:tc>
          <w:tcPr>
            <w:tcW w:type="dxa" w:w="3312"/>
          </w:tcPr>
          <w:p>
            <w:r>
              <w:t>NumPy, pandas, SciPy</w:t>
            </w:r>
          </w:p>
        </w:tc>
        <w:tc>
          <w:tcPr>
            <w:tcW w:type="dxa" w:w="3312"/>
          </w:tcPr>
          <w:p>
            <w:r>
              <w:t>Simulation, data processing, bounds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PyArrow/Parquet; DuckDB if useful</w:t>
            </w:r>
          </w:p>
        </w:tc>
        <w:tc>
          <w:tcPr>
            <w:tcW w:type="dxa" w:w="3312"/>
          </w:tcPr>
          <w:p>
            <w:r>
              <w:t>Journey data and queries</w:t>
            </w:r>
          </w:p>
        </w:tc>
      </w:tr>
      <w:tr>
        <w:tc>
          <w:tcPr>
            <w:tcW w:type="dxa" w:w="3312"/>
          </w:tcPr>
          <w:p>
            <w:r>
              <w:t>ML</w:t>
            </w:r>
          </w:p>
        </w:tc>
        <w:tc>
          <w:tcPr>
            <w:tcW w:type="dxa" w:w="3312"/>
          </w:tcPr>
          <w:p>
            <w:r>
              <w:t>scikit-learn; LightGBM optional</w:t>
            </w:r>
          </w:p>
        </w:tc>
        <w:tc>
          <w:tcPr>
            <w:tcW w:type="dxa" w:w="3312"/>
          </w:tcPr>
          <w:p>
            <w:r>
              <w:t>Propensity and outcome models</w:t>
            </w:r>
          </w:p>
        </w:tc>
      </w:tr>
      <w:tr>
        <w:tc>
          <w:tcPr>
            <w:tcW w:type="dxa" w:w="3312"/>
          </w:tcPr>
          <w:p>
            <w:r>
              <w:t>Statistics</w:t>
            </w:r>
          </w:p>
        </w:tc>
        <w:tc>
          <w:tcPr>
            <w:tcW w:type="dxa" w:w="3312"/>
          </w:tcPr>
          <w:p>
            <w:r>
              <w:t>statsmodels</w:t>
            </w:r>
          </w:p>
        </w:tc>
        <w:tc>
          <w:tcPr>
            <w:tcW w:type="dxa" w:w="3312"/>
          </w:tcPr>
          <w:p>
            <w:r>
              <w:t>Baselines and diagnostics</w:t>
            </w:r>
          </w:p>
        </w:tc>
      </w:tr>
      <w:tr>
        <w:tc>
          <w:tcPr>
            <w:tcW w:type="dxa" w:w="3312"/>
          </w:tcPr>
          <w:p>
            <w:r>
              <w:t>Optimization</w:t>
            </w:r>
          </w:p>
        </w:tc>
        <w:tc>
          <w:tcPr>
            <w:tcW w:type="dxa" w:w="3312"/>
          </w:tcPr>
          <w:p>
            <w:r>
              <w:t>CVXPY</w:t>
            </w:r>
          </w:p>
        </w:tc>
        <w:tc>
          <w:tcPr>
            <w:tcW w:type="dxa" w:w="3312"/>
          </w:tcPr>
          <w:p>
            <w:r>
              <w:t>Budget allocation and minimax regret</w:t>
            </w:r>
          </w:p>
        </w:tc>
      </w:tr>
      <w:tr>
        <w:tc>
          <w:tcPr>
            <w:tcW w:type="dxa" w:w="3312"/>
          </w:tcPr>
          <w:p>
            <w:r>
              <w:t>Parallelism</w:t>
            </w:r>
          </w:p>
        </w:tc>
        <w:tc>
          <w:tcPr>
            <w:tcW w:type="dxa" w:w="3312"/>
          </w:tcPr>
          <w:p>
            <w:r>
              <w:t>joblib</w:t>
            </w:r>
          </w:p>
        </w:tc>
        <w:tc>
          <w:tcPr>
            <w:tcW w:type="dxa" w:w="3312"/>
          </w:tcPr>
          <w:p>
            <w:r>
              <w:t>Repeated simulation runs</w:t>
            </w:r>
          </w:p>
        </w:tc>
      </w:tr>
      <w:tr>
        <w:tc>
          <w:tcPr>
            <w:tcW w:type="dxa" w:w="3312"/>
          </w:tcPr>
          <w:p>
            <w:r>
              <w:t>Schema/config</w:t>
            </w:r>
          </w:p>
        </w:tc>
        <w:tc>
          <w:tcPr>
            <w:tcW w:type="dxa" w:w="3312"/>
          </w:tcPr>
          <w:p>
            <w:r>
              <w:t>Pydantic and YAML</w:t>
            </w:r>
          </w:p>
        </w:tc>
        <w:tc>
          <w:tcPr>
            <w:tcW w:type="dxa" w:w="3312"/>
          </w:tcPr>
          <w:p>
            <w:r>
              <w:t>Validated configs and JSON output</w:t>
            </w:r>
          </w:p>
        </w:tc>
      </w:tr>
      <w:tr>
        <w:tc>
          <w:tcPr>
            <w:tcW w:type="dxa" w:w="3312"/>
          </w:tcPr>
          <w:p>
            <w:r>
              <w:t>Testing/quality</w:t>
            </w:r>
          </w:p>
        </w:tc>
        <w:tc>
          <w:tcPr>
            <w:tcW w:type="dxa" w:w="3312"/>
          </w:tcPr>
          <w:p>
            <w:r>
              <w:t>pytest and ruff</w:t>
            </w:r>
          </w:p>
        </w:tc>
        <w:tc>
          <w:tcPr>
            <w:tcW w:type="dxa" w:w="3312"/>
          </w:tcPr>
          <w:p>
            <w:r>
              <w:t>Acceptance tests, unit tests, linting</w:t>
            </w:r>
          </w:p>
        </w:tc>
      </w:tr>
      <w:tr>
        <w:tc>
          <w:tcPr>
            <w:tcW w:type="dxa" w:w="3312"/>
          </w:tcPr>
          <w:p>
            <w:r>
              <w:t>Plots</w:t>
            </w:r>
          </w:p>
        </w:tc>
        <w:tc>
          <w:tcPr>
            <w:tcW w:type="dxa" w:w="3312"/>
          </w:tcPr>
          <w:p>
            <w:r>
              <w:t>Matplotlib</w:t>
            </w:r>
          </w:p>
        </w:tc>
        <w:tc>
          <w:tcPr>
            <w:tcW w:type="dxa" w:w="3312"/>
          </w:tcPr>
          <w:p>
            <w:r>
              <w:t>Report figures and debugging</w:t>
            </w:r>
          </w:p>
        </w:tc>
      </w:tr>
    </w:tbl>
    <w:p>
      <w:pPr>
        <w:pStyle w:val="Heading1"/>
      </w:pPr>
      <w:r>
        <w:t>4. Shared Integration Contract with Person 2</w:t>
      </w:r>
    </w:p>
    <w:p>
      <w:r>
        <w:t>Person 2 builds the D3.js interface separately against mock JSON. Person 1 must provide stable, documented output fields and a sample fixture early. Both people must agree on field names, units, scenario identifiers, and definitions before the interface is wired to real outputs.</w:t>
      </w:r>
    </w:p>
    <w:p>
      <w:pPr>
        <w:pStyle w:val="ListBullet"/>
      </w:pPr>
      <w:r>
        <w:t>Include schema_version and scenario identifiers.</w:t>
      </w:r>
    </w:p>
    <w:p>
      <w:pPr>
        <w:pStyle w:val="ListBullet"/>
      </w:pPr>
      <w:r>
        <w:t>For each channel, expose its ID/name, costs, causal estimate, ROI (with defined units), stability label, breakdown Gamma, and sensitivity intervals by Gamma.</w:t>
      </w:r>
    </w:p>
    <w:p>
      <w:pPr>
        <w:pStyle w:val="ListBullet"/>
      </w:pPr>
      <w:r>
        <w:t>Expose recommended and robust allocations, with clear budget units.</w:t>
      </w:r>
    </w:p>
    <w:p>
      <w:pPr>
        <w:pStyle w:val="ListBullet"/>
      </w:pPr>
      <w:r>
        <w:t>Expose overlap/identifiability diagnostics and experiment rankings.</w:t>
      </w:r>
    </w:p>
    <w:p>
      <w:pPr>
        <w:pStyle w:val="ListBullet"/>
      </w:pPr>
      <w:r>
        <w:t>Expose evaluation summaries separately from simulator-only ground truth.</w:t>
      </w:r>
    </w:p>
    <w:p>
      <w:pPr>
        <w:pStyle w:val="ListBullet"/>
      </w:pPr>
      <w:r>
        <w:t>Use null or an explicit unavailable status where a value cannot be estimated; do not silently substitute zero.</w:t>
      </w:r>
    </w:p>
    <w:p>
      <w:pPr>
        <w:pStyle w:val="ListBullet"/>
      </w:pPr>
      <w:r>
        <w:t>Validate every exported JSON file before it is consumed by the frontend.</w:t>
      </w:r>
    </w:p>
    <w:p>
      <w:pPr>
        <w:pStyle w:val="Heading1"/>
      </w:pPr>
      <w:r>
        <w:t>5. Suggested Repository Ownership</w:t>
      </w:r>
    </w:p>
    <w:p>
      <w:pPr/>
      <w:r>
        <w:rPr>
          <w:rFonts w:ascii="Consolas" w:hAnsi="Consolas"/>
          <w:sz w:val="18"/>
        </w:rPr>
        <w:t>project/</w:t>
        <w:br/>
        <w:t xml:space="preserve">  configs/       # scenarios and method settings</w:t>
        <w:br/>
        <w:t xml:space="preserve">  sim/           # Person 1: simulator and interventions</w:t>
        <w:br/>
        <w:t xml:space="preserve">  data/          # Person 1: schemas and data utilities</w:t>
        <w:br/>
        <w:t xml:space="preserve">  methods/       # Person 1: baselines, estimator, diagnostics, sensitivity</w:t>
        <w:br/>
        <w:t xml:space="preserve">  decision/      # Person 1: optimizer, regret, breakdown point</w:t>
        <w:br/>
        <w:t xml:space="preserve">  experiments/   # Person 1: candidate experiments and VOI</w:t>
        <w:br/>
        <w:t xml:space="preserve">  eval/          # Person 1: metrics and evaluation harness</w:t>
        <w:br/>
        <w:t xml:space="preserve">  schemas/       # Shared: versioned JSON schema and fixture</w:t>
        <w:br/>
        <w:t xml:space="preserve">  results/       # Generated outputs (avoid committing large raw data)</w:t>
        <w:br/>
        <w:t xml:space="preserve">  viz/           # Person 2: Vite + D3.js frontend</w:t>
        <w:br/>
        <w:t xml:space="preserve">  tests/         # Tests for backend and integration</w:t>
        <w:br/>
        <w:t xml:space="preserve">  report/        # Shared report and figures</w:t>
        <w:br/>
        <w:t xml:space="preserve">  Makefile       # Reproducible commands</w:t>
      </w:r>
    </w:p>
    <w:p>
      <w:pPr>
        <w:pStyle w:val="Heading1"/>
      </w:pPr>
      <w:r>
        <w:t>6. Suggested 10-Day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Timeline</w:t>
            </w:r>
          </w:p>
        </w:tc>
        <w:tc>
          <w:tcPr>
            <w:tcW w:type="dxa" w:w="3312"/>
          </w:tcPr>
          <w:p>
            <w:r>
              <w:t>Person 1</w:t>
            </w:r>
          </w:p>
        </w:tc>
        <w:tc>
          <w:tcPr>
            <w:tcW w:type="dxa" w:w="3312"/>
          </w:tcPr>
          <w:p>
            <w:r>
              <w:t>Person 2</w:t>
            </w:r>
          </w:p>
        </w:tc>
      </w:tr>
      <w:tr>
        <w:tc>
          <w:tcPr>
            <w:tcW w:type="dxa" w:w="3312"/>
          </w:tcPr>
          <w:p>
            <w:r>
              <w:t>Days 1–2</w:t>
            </w:r>
          </w:p>
        </w:tc>
        <w:tc>
          <w:tcPr>
            <w:tcW w:type="dxa" w:w="3312"/>
          </w:tcPr>
          <w:p>
            <w:r>
              <w:t>Simulator, acceptance tests, schemas, baselines</w:t>
            </w:r>
          </w:p>
        </w:tc>
        <w:tc>
          <w:tcPr>
            <w:tcW w:type="dxa" w:w="3312"/>
          </w:tcPr>
          <w:p>
            <w:r>
              <w:t>App shell, design, mock JSON and visual scaffold</w:t>
            </w:r>
          </w:p>
        </w:tc>
      </w:tr>
      <w:tr>
        <w:tc>
          <w:tcPr>
            <w:tcW w:type="dxa" w:w="3312"/>
          </w:tcPr>
          <w:p>
            <w:r>
              <w:t>Days 3–4</w:t>
            </w:r>
          </w:p>
        </w:tc>
        <w:tc>
          <w:tcPr>
            <w:tcW w:type="dxa" w:w="3312"/>
          </w:tcPr>
          <w:p>
            <w:r>
              <w:t>AIPW estimator and overlap diagnostics</w:t>
            </w:r>
          </w:p>
        </w:tc>
        <w:tc>
          <w:tcPr>
            <w:tcW w:type="dxa" w:w="3312"/>
          </w:tcPr>
          <w:p>
            <w:r>
              <w:t>Constellation and stability map</w:t>
            </w:r>
          </w:p>
        </w:tc>
      </w:tr>
      <w:tr>
        <w:tc>
          <w:tcPr>
            <w:tcW w:type="dxa" w:w="3312"/>
          </w:tcPr>
          <w:p>
            <w:r>
              <w:t>Days 5–6</w:t>
            </w:r>
          </w:p>
        </w:tc>
        <w:tc>
          <w:tcPr>
            <w:tcW w:type="dxa" w:w="3312"/>
          </w:tcPr>
          <w:p>
            <w:r>
              <w:t>Sensitivity intervals, optimizer and breakdown point</w:t>
            </w:r>
          </w:p>
        </w:tc>
        <w:tc>
          <w:tcPr>
            <w:tcW w:type="dxa" w:w="3312"/>
          </w:tcPr>
          <w:p>
            <w:r>
              <w:t>Allocation, comparison and overlap views</w:t>
            </w:r>
          </w:p>
        </w:tc>
      </w:tr>
      <w:tr>
        <w:tc>
          <w:tcPr>
            <w:tcW w:type="dxa" w:w="3312"/>
          </w:tcPr>
          <w:p>
            <w:r>
              <w:t>Days 7–8</w:t>
            </w:r>
          </w:p>
        </w:tc>
        <w:tc>
          <w:tcPr>
            <w:tcW w:type="dxa" w:w="3312"/>
          </w:tcPr>
          <w:p>
            <w:r>
              <w:t>Experiment selector and core evaluation</w:t>
            </w:r>
          </w:p>
        </w:tc>
        <w:tc>
          <w:tcPr>
            <w:tcW w:type="dxa" w:w="3312"/>
          </w:tcPr>
          <w:p>
            <w:r>
              <w:t>Experiment and benchmark views; integrate actual JSON</w:t>
            </w:r>
          </w:p>
        </w:tc>
      </w:tr>
      <w:tr>
        <w:tc>
          <w:tcPr>
            <w:tcW w:type="dxa" w:w="3312"/>
          </w:tcPr>
          <w:p>
            <w:r>
              <w:t>Days 9–10</w:t>
            </w:r>
          </w:p>
        </w:tc>
        <w:tc>
          <w:tcPr>
            <w:tcW w:type="dxa" w:w="3312"/>
          </w:tcPr>
          <w:p>
            <w:r>
              <w:t>Validate results, run scenarios, fix statistical issues</w:t>
            </w:r>
          </w:p>
        </w:tc>
        <w:tc>
          <w:tcPr>
            <w:tcW w:type="dxa" w:w="3312"/>
          </w:tcPr>
          <w:p>
            <w:r>
              <w:t>Interaction tests, responsive polish, deployment and demo</w:t>
            </w:r>
          </w:p>
        </w:tc>
      </w:tr>
    </w:tbl>
    <w:p>
      <w:r>
        <w:t>This is an aggressive core-project schedule, not a promise that all components will be research-validated in ten days. Prioritize the simulator, estimator, sensitivity/decision layer, core visualization, and evaluation. The time-varying estimator, GRU, live API, and real-data bridge can be deferred.</w:t>
      </w:r>
    </w:p>
    <w:p>
      <w:pPr>
        <w:pStyle w:val="Heading1"/>
      </w:pPr>
      <w:r>
        <w:t>7. Definition of Done for Person 1</w:t>
      </w:r>
    </w:p>
    <w:p>
      <w:pPr>
        <w:pStyle w:val="ListBullet"/>
      </w:pPr>
      <w:r>
        <w:t>Simulator acceptance tests pass and random seeds reproduce results.</w:t>
      </w:r>
    </w:p>
    <w:p>
      <w:pPr>
        <w:pStyle w:val="ListBullet"/>
      </w:pPr>
      <w:r>
        <w:t>Baseline and causal estimates run end-to-end on documented scenarios.</w:t>
      </w:r>
    </w:p>
    <w:p>
      <w:pPr>
        <w:pStyle w:val="ListBullet"/>
      </w:pPr>
      <w:r>
        <w:t>Sensitivity intervals and their assumptions are documented and tested.</w:t>
      </w:r>
    </w:p>
    <w:p>
      <w:pPr>
        <w:pStyle w:val="ListBullet"/>
      </w:pPr>
      <w:r>
        <w:t>Budget allocation, regret, breakdown point, and stability labels are generated consistently.</w:t>
      </w:r>
    </w:p>
    <w:p>
      <w:pPr>
        <w:pStyle w:val="ListBullet"/>
      </w:pPr>
      <w:r>
        <w:t>Evaluation reports metrics for the main research questions, including uninformative or negative outcomes.</w:t>
      </w:r>
    </w:p>
    <w:p>
      <w:pPr>
        <w:pStyle w:val="ListBullet"/>
      </w:pPr>
      <w:r>
        <w:t>JSON output validates against the shared schema and drives the frontend without hardcoded statistical values.</w:t>
      </w:r>
    </w:p>
    <w:p>
      <w:pPr>
        <w:pStyle w:val="ListBullet"/>
      </w:pPr>
      <w:r>
        <w:t>A single documented command regenerates the main results.</w:t>
      </w:r>
    </w:p>
    <w:p>
      <w:pPr>
        <w:pStyle w:val="Heading1"/>
      </w:pPr>
      <w:r>
        <w:t>8. Important Research Guardrails</w:t>
      </w:r>
    </w:p>
    <w:p>
      <w:pPr>
        <w:pStyle w:val="ListBullet"/>
      </w:pPr>
      <w:r>
        <w:t>Do not claim the method is novel until the literature review verifies the gap.</w:t>
      </w:r>
    </w:p>
    <w:p>
      <w:pPr>
        <w:pStyle w:val="ListBullet"/>
      </w:pPr>
      <w:r>
        <w:t>Do not claim true causal effects from observational data without defensible identification assumptions.</w:t>
      </w:r>
    </w:p>
    <w:p>
      <w:pPr>
        <w:pStyle w:val="ListBullet"/>
      </w:pPr>
      <w:r>
        <w:t>The sensitivity parameter Gamma is an assumption and requires calibration/robustness analysis.</w:t>
      </w:r>
    </w:p>
    <w:p>
      <w:pPr>
        <w:pStyle w:val="ListBullet"/>
      </w:pPr>
      <w:r>
        <w:t>Report how often stability labels are informative; a method that labels everything uncertain is not useful.</w:t>
      </w:r>
    </w:p>
    <w:p>
      <w:pPr>
        <w:pStyle w:val="ListBullet"/>
      </w:pPr>
      <w:r>
        <w:t>The experiment selector should be described as outperforming named alternatives only if the evaluation supports that claim.</w:t>
      </w:r>
    </w:p>
    <w:p>
      <w:pPr>
        <w:pStyle w:val="ListBullet"/>
      </w:pPr>
      <w:r>
        <w:t>Statistical validation is more important than visual polish.</w:t>
      </w:r>
    </w:p>
    <w:p/>
    <w:p>
      <w:pPr>
        <w:jc w:val="center"/>
      </w:pPr>
      <w:r>
        <w:rPr>
          <w:b/>
          <w:color w:val="18365C"/>
        </w:rPr>
        <w:t>Person 1 owns the correctness and reproducibility of the results; Person 2 owns their interactive presentation.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6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6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6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