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Aptos Display" w:hAnsi="Aptos Display"/>
          <w:b/>
          <w:color w:val="1F4E79"/>
          <w:sz w:val="50"/>
        </w:rPr>
        <w:t>THREE-DATASET INTEGRATION APPROACH</w:t>
      </w:r>
    </w:p>
    <w:p>
      <w:pPr>
        <w:jc w:val="center"/>
      </w:pPr>
      <w:r>
        <w:rPr>
          <w:i/>
          <w:sz w:val="30"/>
        </w:rPr>
        <w:t>Decision-Stable Causal Attribution Under Hidden Confounding</w:t>
      </w:r>
    </w:p>
    <w:p>
      <w:pPr>
        <w:spacing w:before="360"/>
        <w:jc w:val="center"/>
      </w:pPr>
      <w:r>
        <w:rPr>
          <w:sz w:val="20"/>
        </w:rPr>
        <w:t>Technical design note | Version 1.0 | 18 October 2026</w:t>
      </w:r>
    </w:p>
    <w:tbl>
      <w:tblPr>
        <w:tblW w:type="auto" w:w="0"/>
        <w:jc w:val="center"/>
        <w:tblLook w:firstColumn="1" w:firstRow="1" w:lastColumn="0" w:lastRow="0" w:noHBand="0" w:noVBand="1" w:val="04A0"/>
      </w:tblPr>
      <w:tblGrid>
        <w:gridCol w:w="9936"/>
      </w:tblGrid>
      <w:tr>
        <w:tc>
          <w:tcPr>
            <w:tcW w:type="dxa" w:w="9936"/>
            <w:shd w:fill="EAF2F8"/>
          </w:tcPr>
          <w:p>
            <w:pPr>
              <w:spacing w:after="60"/>
            </w:pPr>
            <w:r/>
            <w:r>
              <w:rPr>
                <w:b/>
                <w:sz w:val="22"/>
              </w:rPr>
              <w:t>Scope decision</w:t>
            </w:r>
          </w:p>
          <w:p>
            <w:pPr>
              <w:spacing w:after="100"/>
            </w:pPr>
            <w:r>
              <w:t>The synthetic simulator remains a required core component of the original project. Criteo and Google Analytics 4 (GA4) are additional dataset adapters for complementary validation and real-data analysis; neither dataset replaces the simulator or changes the research question.</w:t>
            </w:r>
          </w:p>
        </w:tc>
      </w:tr>
    </w:tbl>
    <w:p>
      <w:r>
        <w:br w:type="page"/>
      </w:r>
    </w:p>
    <w:p>
      <w:pPr>
        <w:pStyle w:val="Heading1"/>
      </w:pPr>
      <w:r>
        <w:t>1. Executive summary</w:t>
      </w:r>
    </w:p>
    <w:p>
      <w:r>
        <w:t>The project uses three sources because no single dataset supports every claim the research needs to evaluate. The simulator provides controlled hidden confounding and intervention-based ground truth. Criteo provides a large randomized uplift benchmark for treatment-effect checks. The GA4 public ecommerce export provides observational visitor and acquisition data for testing data ingestion, diagnostics, and qualified real-data analyses.</w:t>
      </w:r>
    </w:p>
    <w:p>
      <w:r>
        <w:t>All three sources enter a shared analysis pipeline through separate adapters and a common versioned schema. Their evidence must remain distinct: simulator truth, randomized benchmark evidence, and observational findings are not interchangeable.</w:t>
      </w:r>
    </w:p>
    <w:p>
      <w:pPr>
        <w:pStyle w:val="Heading1"/>
      </w:pPr>
      <w:r>
        <w:t>2. Why three sources are needed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spacing w:after="20"/>
            </w:pPr>
            <w:r/>
            <w:r>
              <w:rPr>
                <w:b/>
                <w:sz w:val="18"/>
              </w:rPr>
              <w:t>Source</w:t>
            </w:r>
          </w:p>
        </w:tc>
        <w:tc>
          <w:tcPr>
            <w:tcW w:type="dxa" w:w="2484"/>
            <w:vAlign w:val="center"/>
            <w:shd w:fill="D9EAF7"/>
          </w:tcPr>
          <w:p>
            <w:pPr>
              <w:spacing w:after="20"/>
            </w:pPr>
            <w:r/>
            <w:r>
              <w:rPr>
                <w:b/>
                <w:sz w:val="18"/>
              </w:rPr>
              <w:t>Primary role</w:t>
            </w:r>
          </w:p>
        </w:tc>
        <w:tc>
          <w:tcPr>
            <w:tcW w:type="dxa" w:w="2484"/>
            <w:vAlign w:val="center"/>
            <w:shd w:fill="D9EAF7"/>
          </w:tcPr>
          <w:p>
            <w:pPr>
              <w:spacing w:after="20"/>
            </w:pPr>
            <w:r/>
            <w:r>
              <w:rPr>
                <w:b/>
                <w:sz w:val="18"/>
              </w:rPr>
              <w:t>What it supports</w:t>
            </w:r>
          </w:p>
        </w:tc>
        <w:tc>
          <w:tcPr>
            <w:tcW w:type="dxa" w:w="2484"/>
            <w:vAlign w:val="center"/>
            <w:shd w:fill="D9EAF7"/>
          </w:tcPr>
          <w:p>
            <w:pPr>
              <w:spacing w:after="20"/>
            </w:pPr>
            <w:r/>
            <w:r>
              <w:rPr>
                <w:b/>
                <w:sz w:val="18"/>
              </w:rPr>
              <w:t>What it cannot establish alone</w:t>
            </w:r>
          </w:p>
        </w:tc>
      </w:tr>
      <w:tr>
        <w:tc>
          <w:tcPr>
            <w:tcW w:type="dxa" w:w="2484"/>
            <w:vAlign w:val="center"/>
          </w:tcPr>
          <w:p>
            <w:pPr>
              <w:spacing w:after="20"/>
            </w:pPr>
            <w:r/>
            <w:r>
              <w:rPr>
                <w:b w:val="0"/>
                <w:sz w:val="18"/>
              </w:rPr>
              <w:t>Synthetic simulator</w:t>
            </w:r>
          </w:p>
        </w:tc>
        <w:tc>
          <w:tcPr>
            <w:tcW w:type="dxa" w:w="2484"/>
            <w:vAlign w:val="center"/>
          </w:tcPr>
          <w:p>
            <w:pPr>
              <w:spacing w:after="20"/>
            </w:pPr>
            <w:r/>
            <w:r>
              <w:rPr>
                <w:b w:val="0"/>
                <w:sz w:val="18"/>
              </w:rPr>
              <w:t>Controlled research environment</w:t>
            </w:r>
          </w:p>
        </w:tc>
        <w:tc>
          <w:tcPr>
            <w:tcW w:type="dxa" w:w="2484"/>
            <w:vAlign w:val="center"/>
          </w:tcPr>
          <w:p>
            <w:pPr>
              <w:spacing w:after="20"/>
            </w:pPr>
            <w:r/>
            <w:r>
              <w:rPr>
                <w:b w:val="0"/>
                <w:sz w:val="18"/>
              </w:rPr>
              <w:t>Known intervention effects; hidden-confounding scenarios; overlap failures; heterogeneity; full metric validation.</w:t>
            </w:r>
          </w:p>
        </w:tc>
        <w:tc>
          <w:tcPr>
            <w:tcW w:type="dxa" w:w="2484"/>
            <w:vAlign w:val="center"/>
          </w:tcPr>
          <w:p>
            <w:pPr>
              <w:spacing w:after="20"/>
            </w:pPr>
            <w:r/>
            <w:r>
              <w:rPr>
                <w:b w:val="0"/>
                <w:sz w:val="18"/>
              </w:rPr>
              <w:t>Real-world external validity by itself.</w:t>
            </w:r>
          </w:p>
        </w:tc>
      </w:tr>
      <w:tr>
        <w:tc>
          <w:tcPr>
            <w:tcW w:type="dxa" w:w="2484"/>
            <w:vAlign w:val="center"/>
          </w:tcPr>
          <w:p>
            <w:pPr>
              <w:spacing w:after="20"/>
            </w:pPr>
            <w:r/>
            <w:r>
              <w:rPr>
                <w:b w:val="0"/>
                <w:sz w:val="18"/>
              </w:rPr>
              <w:t>Criteo Uplift</w:t>
            </w:r>
          </w:p>
        </w:tc>
        <w:tc>
          <w:tcPr>
            <w:tcW w:type="dxa" w:w="2484"/>
            <w:vAlign w:val="center"/>
          </w:tcPr>
          <w:p>
            <w:pPr>
              <w:spacing w:after="20"/>
            </w:pPr>
            <w:r/>
            <w:r>
              <w:rPr>
                <w:b w:val="0"/>
                <w:sz w:val="18"/>
              </w:rPr>
              <w:t>Randomized benchmark</w:t>
            </w:r>
          </w:p>
        </w:tc>
        <w:tc>
          <w:tcPr>
            <w:tcW w:type="dxa" w:w="2484"/>
            <w:vAlign w:val="center"/>
          </w:tcPr>
          <w:p>
            <w:pPr>
              <w:spacing w:after="20"/>
            </w:pPr>
            <w:r/>
            <w:r>
              <w:rPr>
                <w:b w:val="0"/>
                <w:sz w:val="18"/>
              </w:rPr>
              <w:t>Checks against randomized treatment assignment and uplift outcomes; estimator and benchmark comparisons.</w:t>
            </w:r>
          </w:p>
        </w:tc>
        <w:tc>
          <w:tcPr>
            <w:tcW w:type="dxa" w:w="2484"/>
            <w:vAlign w:val="center"/>
          </w:tcPr>
          <w:p>
            <w:pPr>
              <w:spacing w:after="20"/>
            </w:pPr>
            <w:r/>
            <w:r>
              <w:rPr>
                <w:b w:val="0"/>
                <w:sz w:val="18"/>
              </w:rPr>
              <w:t>Multichannel journey attribution or a complete marketing-budget environment.</w:t>
            </w:r>
          </w:p>
        </w:tc>
      </w:tr>
      <w:tr>
        <w:tc>
          <w:tcPr>
            <w:tcW w:type="dxa" w:w="2484"/>
            <w:vAlign w:val="center"/>
          </w:tcPr>
          <w:p>
            <w:pPr>
              <w:spacing w:after="20"/>
            </w:pPr>
            <w:r/>
            <w:r>
              <w:rPr>
                <w:b w:val="0"/>
                <w:sz w:val="18"/>
              </w:rPr>
              <w:t>GA4 public sample</w:t>
            </w:r>
          </w:p>
        </w:tc>
        <w:tc>
          <w:tcPr>
            <w:tcW w:type="dxa" w:w="2484"/>
            <w:vAlign w:val="center"/>
          </w:tcPr>
          <w:p>
            <w:pPr>
              <w:spacing w:after="20"/>
            </w:pPr>
            <w:r/>
            <w:r>
              <w:rPr>
                <w:b w:val="0"/>
                <w:sz w:val="18"/>
              </w:rPr>
              <w:t>Observational real-data adapter</w:t>
            </w:r>
          </w:p>
        </w:tc>
        <w:tc>
          <w:tcPr>
            <w:tcW w:type="dxa" w:w="2484"/>
            <w:vAlign w:val="center"/>
          </w:tcPr>
          <w:p>
            <w:pPr>
              <w:spacing w:after="20"/>
            </w:pPr>
            <w:r/>
            <w:r>
              <w:rPr>
                <w:b w:val="0"/>
                <w:sz w:val="18"/>
              </w:rPr>
              <w:t>Real event-schema ingestion; cohort construction; descriptive channel analysis; overlap and sensitivity diagnostics.</w:t>
            </w:r>
          </w:p>
        </w:tc>
        <w:tc>
          <w:tcPr>
            <w:tcW w:type="dxa" w:w="2484"/>
            <w:vAlign w:val="center"/>
          </w:tcPr>
          <w:p>
            <w:pPr>
              <w:spacing w:after="20"/>
            </w:pPr>
            <w:r/>
            <w:r>
              <w:rPr>
                <w:b w:val="0"/>
                <w:sz w:val="18"/>
              </w:rPr>
              <w:t>Ground-truth causal effects, causal coverage, or causal regret from observational data alone.</w:t>
            </w:r>
          </w:p>
        </w:tc>
      </w:tr>
    </w:tbl>
    <w:p>
      <w:pPr>
        <w:pStyle w:val="Heading1"/>
      </w:pPr>
      <w:r>
        <w:t>3. Dataset A — Synthetic customer-journey simulator</w:t>
      </w:r>
    </w:p>
    <w:p>
      <w:pPr>
        <w:pStyle w:val="Heading2"/>
      </w:pPr>
      <w:r>
        <w:t>3.1 Purpose</w:t>
      </w:r>
    </w:p>
    <w:p>
      <w:r>
        <w:t>The simulator is the primary environment for testing the research claims because its data-generating process is under project control. It must remain in the project even after real datasets are integrated.</w:t>
      </w:r>
    </w:p>
    <w:p>
      <w:pPr>
        <w:pStyle w:val="Heading2"/>
      </w:pPr>
      <w:r>
        <w:t>3.2 Required capabilities</w:t>
      </w:r>
    </w:p>
    <w:p>
      <w:pPr>
        <w:pStyle w:val="ListBullet"/>
        <w:spacing w:after="40"/>
      </w:pPr>
      <w:r>
        <w:t>Generate customer-level journeys with observed covariates, per-channel exposures, conversion outcomes, channel costs, and tunable hidden purchase intent.</w:t>
      </w:r>
    </w:p>
    <w:p>
      <w:pPr>
        <w:pStyle w:val="ListBullet"/>
        <w:spacing w:after="40"/>
      </w:pPr>
      <w:r>
        <w:t>Keep hidden intent internal to the generator; expose only observed covariates and any explicitly configured proxy.</w:t>
      </w:r>
    </w:p>
    <w:p>
      <w:pPr>
        <w:pStyle w:val="ListBullet"/>
        <w:spacing w:after="40"/>
      </w:pPr>
      <w:r>
        <w:t>Control confounding strength, proxy quality, overlap/positivity, heterogeneous effects, and conversion saturation.</w:t>
      </w:r>
    </w:p>
    <w:p>
      <w:pPr>
        <w:pStyle w:val="ListBullet"/>
        <w:spacing w:after="40"/>
      </w:pPr>
      <w:r>
        <w:t>Generate intervention-based ground truth from the same structural outcome model used to generate observed outcomes.</w:t>
      </w:r>
    </w:p>
    <w:p>
      <w:pPr>
        <w:pStyle w:val="ListBullet"/>
        <w:spacing w:after="40"/>
      </w:pPr>
      <w:r>
        <w:t>Support Mild Confounding, Retargeting Trap, Poor Overlap, Hidden-Intent Heavy, Null Channel, and Heterogeneous Effects scenarios.</w:t>
      </w:r>
    </w:p>
    <w:p>
      <w:pPr>
        <w:pStyle w:val="ListBullet"/>
        <w:spacing w:after="40"/>
      </w:pPr>
      <w:r>
        <w:t>Be reproducible by random seed and include tests for randomized assignment, confounding bias, null effects, base-rate behavior, and overlap diagnostics.</w:t>
      </w:r>
    </w:p>
    <w:p>
      <w:pPr>
        <w:pStyle w:val="Heading2"/>
      </w:pPr>
      <w:r>
        <w:t>3.3 Ground-truth rule</w:t>
      </w:r>
    </w:p>
    <w:p>
      <w:r>
        <w:t>Ground truth must be computed from expected potential-outcome probabilities under explicitly defined interventions—not by subtracting independently sampled binary outcomes. For a channel j, state whether the estimand is an isolated effect or a marginal effect averaged over a specified distribution of other-channel exposures. The simulator's truth definition and the estimator's target must match.</w:t>
      </w:r>
    </w:p>
    <w:p>
      <w:r>
        <w:t>The simulator is the main source for effect bias/RMSE, sensitivity-interval coverage, allocation regret, stability-label validity, overlap-detection precision/recall, and regret reduction after experiments.</w:t>
      </w:r>
    </w:p>
    <w:p>
      <w:pPr>
        <w:pStyle w:val="Heading1"/>
      </w:pPr>
      <w:r>
        <w:t>4. Dataset B — Criteo Uplift</w:t>
      </w:r>
    </w:p>
    <w:p>
      <w:pPr>
        <w:pStyle w:val="Heading2"/>
      </w:pPr>
      <w:r>
        <w:t>4.1 Intended role</w:t>
      </w:r>
    </w:p>
    <w:p>
      <w:r>
        <w:t>Use Criteo as a randomized treatment-effect benchmark, not as a replacement for the multichannel simulator. The profiled file was the Criteo Uplift v2.1 CSV.GZ dataset.</w:t>
      </w:r>
    </w:p>
    <w:p>
      <w:pPr>
        <w:pStyle w:val="Heading2"/>
      </w:pPr>
      <w:r>
        <w:t>4.2 Observed data profile</w:t>
      </w:r>
    </w:p>
    <w:p>
      <w:pPr>
        <w:pStyle w:val="ListBullet"/>
        <w:spacing w:after="40"/>
      </w:pPr>
      <w:r>
        <w:t>Rows: 13,979,592; columns: 16; no missing values were observed in the initial profile.</w:t>
      </w:r>
    </w:p>
    <w:p>
      <w:pPr>
        <w:pStyle w:val="ListBullet"/>
        <w:spacing w:after="40"/>
      </w:pPr>
      <w:r>
        <w:t>Fields include f0–f11, treatment, conversion, visit, and exposure.</w:t>
      </w:r>
    </w:p>
    <w:p>
      <w:pPr>
        <w:pStyle w:val="ListBullet"/>
        <w:spacing w:after="40"/>
      </w:pPr>
      <w:r>
        <w:t>Treatment assignment was imbalanced: approximately 15% control and 85% treated.</w:t>
      </w:r>
    </w:p>
    <w:p>
      <w:pPr>
        <w:pStyle w:val="ListBullet"/>
        <w:spacing w:after="40"/>
      </w:pPr>
      <w:r>
        <w:t>Conversion was rare (about 0.292%); visit was more frequent (about 4.70%).</w:t>
      </w:r>
    </w:p>
    <w:p>
      <w:pPr>
        <w:pStyle w:val="ListBullet"/>
        <w:spacing w:after="40"/>
      </w:pPr>
      <w:r>
        <w:t>The dataset does not provide channel IDs or complete multichannel customer journeys.</w:t>
      </w:r>
    </w:p>
    <w:p>
      <w:pPr>
        <w:pStyle w:val="Heading2"/>
      </w:pPr>
      <w:r>
        <w:t>4.3 Analysis plan</w:t>
      </w:r>
    </w:p>
    <w:p>
      <w:pPr>
        <w:pStyle w:val="ListBullet"/>
        <w:spacing w:after="40"/>
      </w:pPr>
      <w:r>
        <w:t>Use the documented randomized treatment indicator as treatment; do not substitute the separate exposure field without a supported definition.</w:t>
      </w:r>
    </w:p>
    <w:p>
      <w:pPr>
        <w:pStyle w:val="ListBullet"/>
        <w:spacing w:after="40"/>
      </w:pPr>
      <w:r>
        <w:t>Use visit as a primary outcome candidate because conversion is extremely sparse; retain conversion as a secondary outcome if justified.</w:t>
      </w:r>
    </w:p>
    <w:p>
      <w:pPr>
        <w:pStyle w:val="ListBullet"/>
        <w:spacing w:after="40"/>
      </w:pPr>
      <w:r>
        <w:t>Record dataset version, source URL, download date, column mapping, outcome definition, and filtering in metadata.</w:t>
      </w:r>
    </w:p>
    <w:p>
      <w:pPr>
        <w:pStyle w:val="ListBullet"/>
        <w:spacing w:after="40"/>
      </w:pPr>
      <w:r>
        <w:t>Compare eligible treatment-effect estimators and uncertainty estimates against what the randomized design supports.</w:t>
      </w:r>
    </w:p>
    <w:p>
      <w:pPr>
        <w:pStyle w:val="ListBullet"/>
        <w:spacing w:after="40"/>
      </w:pPr>
      <w:r>
        <w:t>Do not claim this validates hidden-confounding sensitivity bounds unless assumptions and estimands are justified.</w:t>
      </w:r>
    </w:p>
    <w:p>
      <w:pPr>
        <w:pStyle w:val="Heading2"/>
      </w:pPr>
      <w:r>
        <w:t>4.4 Limitations</w:t>
      </w:r>
    </w:p>
    <w:p>
      <w:r>
        <w:t>Criteo is not a full multichannel journey dataset. Its randomized treatment contrast does not automatically provide ground truth for every project estimand, channel, or budget decision. Any constructed confounding mechanism applied to this dataset is a simulation layered on real covariates—not evidence that it reproduces actual ad targeting.</w:t>
      </w:r>
    </w:p>
    <w:p>
      <w:pPr>
        <w:pStyle w:val="Heading1"/>
      </w:pPr>
      <w:r>
        <w:t>5. Dataset C — Google Analytics 4 (GA4) public sample ecommerce data</w:t>
      </w:r>
    </w:p>
    <w:p>
      <w:pPr>
        <w:pStyle w:val="Heading2"/>
      </w:pPr>
      <w:r>
        <w:t>5.1 Source and intended role</w:t>
      </w:r>
    </w:p>
    <w:p>
      <w:r>
        <w:t>Use the public BigQuery dataset `bigquery-public-data.ga4_obfuscated_sample_ecommerce.events_*`, covering 1 November 2020 through 31 January 2021 in the examined export. GA4 contributes real event records for an observational analysis path. It is not a randomized experiment.</w:t>
      </w:r>
    </w:p>
    <w:p>
      <w:pPr>
        <w:pStyle w:val="Heading2"/>
      </w:pPr>
      <w:r>
        <w:t>5.2 Initial profile observed</w:t>
      </w:r>
    </w:p>
    <w:p>
      <w:pPr>
        <w:pStyle w:val="ListBullet"/>
        <w:spacing w:after="40"/>
      </w:pPr>
      <w:r>
        <w:t>Approximately 4.30 million events and 270,154 distinct user_pseudo_id values across 92 days.</w:t>
      </w:r>
    </w:p>
    <w:p>
      <w:pPr>
        <w:pStyle w:val="ListBullet"/>
        <w:spacing w:after="40"/>
      </w:pPr>
      <w:r>
        <w:t>The profile contained 5,692 purchase events, 354,970 session_start events, and 257,462 first_visit events.</w:t>
      </w:r>
    </w:p>
    <w:p>
      <w:pPr>
        <w:pStyle w:val="ListBullet"/>
        <w:spacing w:after="40"/>
      </w:pPr>
      <w:r>
        <w:t>Fields include event_name, event_date, event_timestamp, user_first_touch_timestamp, device, geo, ecommerce, event_params, and traffic_source.</w:t>
      </w:r>
    </w:p>
    <w:p>
      <w:pPr>
        <w:pStyle w:val="ListBullet"/>
        <w:spacing w:after="40"/>
      </w:pPr>
      <w:r>
        <w:t>traffic_source contains medium, name, and source; in this export it represents first-user acquisition, not necessarily per-session attribution.</w:t>
      </w:r>
    </w:p>
    <w:p>
      <w:pPr>
        <w:pStyle w:val="ListBullet"/>
        <w:spacing w:after="40"/>
      </w:pPr>
      <w:r>
        <w:t>A preliminary first-visit cohort used first visits from 1 November through 31 December 2020 for complete 30-day follow-up. It included 168,498 visitors and 2,622 visitors with a purchase in the window (about 1.56%).</w:t>
      </w:r>
    </w:p>
    <w:p>
      <w:pPr>
        <w:pStyle w:val="Heading2"/>
      </w:pPr>
      <w:r>
        <w:t>5.3 Proposed cohort and variables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20"/>
            </w:pPr>
            <w:r/>
            <w:r>
              <w:rPr>
                <w:b/>
                <w:sz w:val="18"/>
              </w:rPr>
              <w:t>Concept</w:t>
            </w:r>
          </w:p>
        </w:tc>
        <w:tc>
          <w:tcPr>
            <w:tcW w:type="dxa" w:w="3312"/>
            <w:vAlign w:val="center"/>
            <w:shd w:fill="D9EAF7"/>
          </w:tcPr>
          <w:p>
            <w:pPr>
              <w:spacing w:after="20"/>
            </w:pPr>
            <w:r/>
            <w:r>
              <w:rPr>
                <w:b/>
                <w:sz w:val="18"/>
              </w:rPr>
              <w:t>Proposed definition</w:t>
            </w:r>
          </w:p>
        </w:tc>
        <w:tc>
          <w:tcPr>
            <w:tcW w:type="dxa" w:w="3312"/>
            <w:vAlign w:val="center"/>
            <w:shd w:fill="D9EAF7"/>
          </w:tcPr>
          <w:p>
            <w:pPr>
              <w:spacing w:after="20"/>
            </w:pPr>
            <w:r/>
            <w:r>
              <w:rPr>
                <w:b/>
                <w:sz w:val="18"/>
              </w:rPr>
              <w:t>Important restriction</w:t>
            </w:r>
          </w:p>
        </w:tc>
      </w:tr>
      <w:tr>
        <w:tc>
          <w:tcPr>
            <w:tcW w:type="dxa" w:w="3312"/>
            <w:vAlign w:val="center"/>
          </w:tcPr>
          <w:p>
            <w:pPr>
              <w:spacing w:after="20"/>
            </w:pPr>
            <w:r/>
            <w:r>
              <w:rPr>
                <w:b w:val="0"/>
                <w:sz w:val="18"/>
              </w:rPr>
              <w:t>Unit of analysis</w:t>
            </w:r>
          </w:p>
        </w:tc>
        <w:tc>
          <w:tcPr>
            <w:tcW w:type="dxa" w:w="3312"/>
            <w:vAlign w:val="center"/>
          </w:tcPr>
          <w:p>
            <w:pPr>
              <w:spacing w:after="20"/>
            </w:pPr>
            <w:r/>
            <w:r>
              <w:rPr>
                <w:b w:val="0"/>
                <w:sz w:val="18"/>
              </w:rPr>
              <w:t>One eligible first-time visitor (user_pseudo_id).</w:t>
            </w:r>
          </w:p>
        </w:tc>
        <w:tc>
          <w:tcPr>
            <w:tcW w:type="dxa" w:w="3312"/>
            <w:vAlign w:val="center"/>
          </w:tcPr>
          <w:p>
            <w:pPr>
              <w:spacing w:after="20"/>
            </w:pPr>
            <w:r/>
            <w:r>
              <w:rPr>
                <w:b w:val="0"/>
                <w:sz w:val="18"/>
              </w:rPr>
              <w:t>Document deduplication and identity limitations.</w:t>
            </w:r>
          </w:p>
        </w:tc>
      </w:tr>
      <w:tr>
        <w:tc>
          <w:tcPr>
            <w:tcW w:type="dxa" w:w="3312"/>
            <w:vAlign w:val="center"/>
          </w:tcPr>
          <w:p>
            <w:pPr>
              <w:spacing w:after="20"/>
            </w:pPr>
            <w:r/>
            <w:r>
              <w:rPr>
                <w:b w:val="0"/>
                <w:sz w:val="18"/>
              </w:rPr>
              <w:t>Index time</w:t>
            </w:r>
          </w:p>
        </w:tc>
        <w:tc>
          <w:tcPr>
            <w:tcW w:type="dxa" w:w="3312"/>
            <w:vAlign w:val="center"/>
          </w:tcPr>
          <w:p>
            <w:pPr>
              <w:spacing w:after="20"/>
            </w:pPr>
            <w:r/>
            <w:r>
              <w:rPr>
                <w:b w:val="0"/>
                <w:sz w:val="18"/>
              </w:rPr>
              <w:t>First observed first_visit in the selected cohort window.</w:t>
            </w:r>
          </w:p>
        </w:tc>
        <w:tc>
          <w:tcPr>
            <w:tcW w:type="dxa" w:w="3312"/>
            <w:vAlign w:val="center"/>
          </w:tcPr>
          <w:p>
            <w:pPr>
              <w:spacing w:after="20"/>
            </w:pPr>
            <w:r/>
            <w:r>
              <w:rPr>
                <w:b w:val="0"/>
                <w:sz w:val="18"/>
              </w:rPr>
              <w:t>Do not use future events to define pre-index covariates.</w:t>
            </w:r>
          </w:p>
        </w:tc>
      </w:tr>
      <w:tr>
        <w:tc>
          <w:tcPr>
            <w:tcW w:type="dxa" w:w="3312"/>
            <w:vAlign w:val="center"/>
          </w:tcPr>
          <w:p>
            <w:pPr>
              <w:spacing w:after="20"/>
            </w:pPr>
            <w:r/>
            <w:r>
              <w:rPr>
                <w:b w:val="0"/>
                <w:sz w:val="18"/>
              </w:rPr>
              <w:t>Outcome</w:t>
            </w:r>
          </w:p>
        </w:tc>
        <w:tc>
          <w:tcPr>
            <w:tcW w:type="dxa" w:w="3312"/>
            <w:vAlign w:val="center"/>
          </w:tcPr>
          <w:p>
            <w:pPr>
              <w:spacing w:after="20"/>
            </w:pPr>
            <w:r/>
            <w:r>
              <w:rPr>
                <w:b w:val="0"/>
                <w:sz w:val="18"/>
              </w:rPr>
              <w:t>Any purchase event within 30 days after index time.</w:t>
            </w:r>
          </w:p>
        </w:tc>
        <w:tc>
          <w:tcPr>
            <w:tcW w:type="dxa" w:w="3312"/>
            <w:vAlign w:val="center"/>
          </w:tcPr>
          <w:p>
            <w:pPr>
              <w:spacing w:after="20"/>
            </w:pPr>
            <w:r/>
            <w:r>
              <w:rPr>
                <w:b w:val="0"/>
                <w:sz w:val="18"/>
              </w:rPr>
              <w:t>Require complete follow-up; distinguish no purchase from missing/incomplete follow-up.</w:t>
            </w:r>
          </w:p>
        </w:tc>
      </w:tr>
      <w:tr>
        <w:tc>
          <w:tcPr>
            <w:tcW w:type="dxa" w:w="3312"/>
            <w:vAlign w:val="center"/>
          </w:tcPr>
          <w:p>
            <w:pPr>
              <w:spacing w:after="20"/>
            </w:pPr>
            <w:r/>
            <w:r>
              <w:rPr>
                <w:b w:val="0"/>
                <w:sz w:val="18"/>
              </w:rPr>
              <w:t>Acquisition group</w:t>
            </w:r>
          </w:p>
        </w:tc>
        <w:tc>
          <w:tcPr>
            <w:tcW w:type="dxa" w:w="3312"/>
            <w:vAlign w:val="center"/>
          </w:tcPr>
          <w:p>
            <w:pPr>
              <w:spacing w:after="20"/>
            </w:pPr>
            <w:r/>
            <w:r>
              <w:rPr>
                <w:b w:val="0"/>
                <w:sz w:val="18"/>
              </w:rPr>
              <w:t>First-user source/medium derived from traffic_source.</w:t>
            </w:r>
          </w:p>
        </w:tc>
        <w:tc>
          <w:tcPr>
            <w:tcW w:type="dxa" w:w="3312"/>
            <w:vAlign w:val="center"/>
          </w:tcPr>
          <w:p>
            <w:pPr>
              <w:spacing w:after="20"/>
            </w:pPr>
            <w:r/>
            <w:r>
              <w:rPr>
                <w:b w:val="0"/>
                <w:sz w:val="18"/>
              </w:rPr>
              <w:t>Do not describe it as session-level or last-click attribution.</w:t>
            </w:r>
          </w:p>
        </w:tc>
      </w:tr>
      <w:tr>
        <w:tc>
          <w:tcPr>
            <w:tcW w:type="dxa" w:w="3312"/>
            <w:vAlign w:val="center"/>
          </w:tcPr>
          <w:p>
            <w:pPr>
              <w:spacing w:after="20"/>
            </w:pPr>
            <w:r/>
            <w:r>
              <w:rPr>
                <w:b w:val="0"/>
                <w:sz w:val="18"/>
              </w:rPr>
              <w:t>Pre-exposure covariates</w:t>
            </w:r>
          </w:p>
        </w:tc>
        <w:tc>
          <w:tcPr>
            <w:tcW w:type="dxa" w:w="3312"/>
            <w:vAlign w:val="center"/>
          </w:tcPr>
          <w:p>
            <w:pPr>
              <w:spacing w:after="20"/>
            </w:pPr>
            <w:r/>
            <w:r>
              <w:rPr>
                <w:b w:val="0"/>
                <w:sz w:val="18"/>
              </w:rPr>
              <w:t>Potentially device, browser/OS, geography, and time variables available before index exposure.</w:t>
            </w:r>
          </w:p>
        </w:tc>
        <w:tc>
          <w:tcPr>
            <w:tcW w:type="dxa" w:w="3312"/>
            <w:vAlign w:val="center"/>
          </w:tcPr>
          <w:p>
            <w:pPr>
              <w:spacing w:after="20"/>
            </w:pPr>
            <w:r/>
            <w:r>
              <w:rPr>
                <w:b w:val="0"/>
                <w:sz w:val="18"/>
              </w:rPr>
              <w:t>Verify availability and timing field by field; avoid leakage.</w:t>
            </w:r>
          </w:p>
        </w:tc>
      </w:tr>
      <w:tr>
        <w:tc>
          <w:tcPr>
            <w:tcW w:type="dxa" w:w="3312"/>
            <w:vAlign w:val="center"/>
          </w:tcPr>
          <w:p>
            <w:pPr>
              <w:spacing w:after="20"/>
            </w:pPr>
            <w:r/>
            <w:r>
              <w:rPr>
                <w:b w:val="0"/>
                <w:sz w:val="18"/>
              </w:rPr>
              <w:t>Decision channels</w:t>
            </w:r>
          </w:p>
        </w:tc>
        <w:tc>
          <w:tcPr>
            <w:tcW w:type="dxa" w:w="3312"/>
            <w:vAlign w:val="center"/>
          </w:tcPr>
          <w:p>
            <w:pPr>
              <w:spacing w:after="20"/>
            </w:pPr>
            <w:r/>
            <w:r>
              <w:rPr>
                <w:b w:val="0"/>
                <w:sz w:val="18"/>
              </w:rPr>
              <w:t>Only acquisition groups plausibly corresponding to controllable interventions.</w:t>
            </w:r>
          </w:p>
        </w:tc>
        <w:tc>
          <w:tcPr>
            <w:tcW w:type="dxa" w:w="3312"/>
            <w:vAlign w:val="center"/>
          </w:tcPr>
          <w:p>
            <w:pPr>
              <w:spacing w:after="20"/>
            </w:pPr>
            <w:r/>
            <w:r>
              <w:rPr>
                <w:b w:val="0"/>
                <w:sz w:val="18"/>
              </w:rPr>
              <w:t>Organic/direct may be comparison categories, not directly budget-allocatable channels.</w:t>
            </w:r>
          </w:p>
        </w:tc>
      </w:tr>
    </w:tbl>
    <w:p>
      <w:pPr>
        <w:pStyle w:val="Heading2"/>
      </w:pPr>
      <w:r>
        <w:t>5.4 Permitted conclusions</w:t>
      </w:r>
    </w:p>
    <w:p>
      <w:pPr>
        <w:pStyle w:val="ListBullet"/>
        <w:spacing w:after="40"/>
      </w:pPr>
      <w:r>
        <w:t>Validate the GA4 adapter, event-to-visitor aggregation, cohort windows, data-quality checks, and shared schema.</w:t>
      </w:r>
    </w:p>
    <w:p>
      <w:pPr>
        <w:pStyle w:val="ListBullet"/>
        <w:spacing w:after="40"/>
      </w:pPr>
      <w:r>
        <w:t>Describe purchase rates by acquisition group and report sample sizes and uncertainty.</w:t>
      </w:r>
    </w:p>
    <w:p>
      <w:pPr>
        <w:pStyle w:val="ListBullet"/>
        <w:spacing w:after="40"/>
      </w:pPr>
      <w:r>
        <w:t>Run propensity, overlap, effective-sample-size, balance, and sensitivity diagnostics where variable definitions support them.</w:t>
      </w:r>
    </w:p>
    <w:p>
      <w:pPr>
        <w:pStyle w:val="ListBullet"/>
        <w:spacing w:after="40"/>
      </w:pPr>
      <w:r>
        <w:t>Report observational effect estimates only as assumption-dependent estimates, with sensitivity analysis and explicit caveats.</w:t>
      </w:r>
    </w:p>
    <w:p>
      <w:pPr>
        <w:pStyle w:val="ListBullet"/>
        <w:spacing w:after="40"/>
      </w:pPr>
      <w:r>
        <w:t>Examine whether rankings or recommendations remain stable across reasonable analysis choices; label results observational.</w:t>
      </w:r>
    </w:p>
    <w:p>
      <w:pPr>
        <w:pStyle w:val="Heading2"/>
      </w:pPr>
      <w:r>
        <w:t>5.5 Unsupported claims</w:t>
      </w:r>
    </w:p>
    <w:p>
      <w:pPr>
        <w:pStyle w:val="ListBullet"/>
        <w:spacing w:after="40"/>
      </w:pPr>
      <w:r>
        <w:t>Do not call GA4 observational estimates ground truth.</w:t>
      </w:r>
    </w:p>
    <w:p>
      <w:pPr>
        <w:pStyle w:val="ListBullet"/>
        <w:spacing w:after="40"/>
      </w:pPr>
      <w:r>
        <w:t>Do not report true causal coverage, causal RMSE, or true allocation regret on GA4 without a valid external truth source or experiment.</w:t>
      </w:r>
    </w:p>
    <w:p>
      <w:pPr>
        <w:pStyle w:val="ListBullet"/>
        <w:spacing w:after="40"/>
      </w:pPr>
      <w:r>
        <w:t>Do not infer that a source/medium caused conversion merely because its observed conversion rate is higher.</w:t>
      </w:r>
    </w:p>
    <w:p>
      <w:pPr>
        <w:pStyle w:val="ListBullet"/>
        <w:spacing w:after="40"/>
      </w:pPr>
      <w:r>
        <w:t>Do not turn missing covariates, ambiguous source values, or post-index activity into zero-valued pre-treatment features.</w:t>
      </w:r>
    </w:p>
    <w:p>
      <w:pPr>
        <w:pStyle w:val="Heading1"/>
      </w:pPr>
      <w:r>
        <w:t>6. Shared architecture: adapters, not three separate projects</w:t>
      </w:r>
    </w:p>
    <w:p>
      <w:pPr>
        <w:pStyle w:val="ListNumber"/>
        <w:spacing w:after="60"/>
      </w:pPr>
      <w:r>
        <w:t>Simulator adapter: emits observations plus simulator-only ground-truth records.</w:t>
      </w:r>
    </w:p>
    <w:p>
      <w:pPr>
        <w:pStyle w:val="ListNumber"/>
        <w:spacing w:after="60"/>
      </w:pPr>
      <w:r>
        <w:t>Criteo adapter: maps randomized treatment, selected outcome, and f0–f11 covariates. Mark truth available only when the specific benchmark estimand is genuinely known.</w:t>
      </w:r>
    </w:p>
    <w:p>
      <w:pPr>
        <w:pStyle w:val="ListNumber"/>
        <w:spacing w:after="60"/>
      </w:pPr>
      <w:r>
        <w:t>GA4 adapter: converts event-level records into visitor-level cohort observations; ground_truth_status must be unavailable.</w:t>
      </w:r>
    </w:p>
    <w:p>
      <w:pPr>
        <w:pStyle w:val="ListNumber"/>
        <w:spacing w:after="60"/>
      </w:pPr>
      <w:r>
        <w:t>Common pipeline: validation → descriptive checks → baseline attribution/estimators → overlap diagnostics → sensitivity analysis → decision analysis where applicable → experiment selection where applicable → evaluation/reporting.</w:t>
      </w:r>
    </w:p>
    <w:p>
      <w:pPr>
        <w:pStyle w:val="ListNumber"/>
        <w:spacing w:after="60"/>
      </w:pPr>
      <w:r>
        <w:t>Use explicit statuses such as available, unavailable, and not_applicable. Never replace an unavailable metric with zero.</w:t>
      </w:r>
    </w:p>
    <w:p>
      <w:pPr>
        <w:pStyle w:val="ListNumber"/>
        <w:spacing w:after="60"/>
      </w:pPr>
      <w:r>
        <w:t>Keep raw files and credentials out of version control. Store provenance, extraction parameters, schema version, filters, and result metadata.</w:t>
      </w:r>
    </w:p>
    <w:p>
      <w:pPr>
        <w:pStyle w:val="Heading1"/>
      </w:pPr>
      <w:r>
        <w:t>7. Which analyses are valid for each dataset?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spacing w:after="20"/>
            </w:pPr>
            <w:r/>
            <w:r>
              <w:rPr>
                <w:b/>
                <w:sz w:val="18"/>
              </w:rPr>
              <w:t>Analysis / metric</w:t>
            </w:r>
          </w:p>
        </w:tc>
        <w:tc>
          <w:tcPr>
            <w:tcW w:type="dxa" w:w="2484"/>
            <w:vAlign w:val="center"/>
            <w:shd w:fill="D9EAF7"/>
          </w:tcPr>
          <w:p>
            <w:pPr>
              <w:spacing w:after="20"/>
            </w:pPr>
            <w:r/>
            <w:r>
              <w:rPr>
                <w:b/>
                <w:sz w:val="18"/>
              </w:rPr>
              <w:t>Simulator</w:t>
            </w:r>
          </w:p>
        </w:tc>
        <w:tc>
          <w:tcPr>
            <w:tcW w:type="dxa" w:w="2484"/>
            <w:vAlign w:val="center"/>
            <w:shd w:fill="D9EAF7"/>
          </w:tcPr>
          <w:p>
            <w:pPr>
              <w:spacing w:after="20"/>
            </w:pPr>
            <w:r/>
            <w:r>
              <w:rPr>
                <w:b/>
                <w:sz w:val="18"/>
              </w:rPr>
              <w:t>Criteo</w:t>
            </w:r>
          </w:p>
        </w:tc>
        <w:tc>
          <w:tcPr>
            <w:tcW w:type="dxa" w:w="2484"/>
            <w:vAlign w:val="center"/>
            <w:shd w:fill="D9EAF7"/>
          </w:tcPr>
          <w:p>
            <w:pPr>
              <w:spacing w:after="20"/>
            </w:pPr>
            <w:r/>
            <w:r>
              <w:rPr>
                <w:b/>
                <w:sz w:val="18"/>
              </w:rPr>
              <w:t>GA4</w:t>
            </w:r>
          </w:p>
        </w:tc>
      </w:tr>
      <w:tr>
        <w:tc>
          <w:tcPr>
            <w:tcW w:type="dxa" w:w="2484"/>
            <w:vAlign w:val="center"/>
          </w:tcPr>
          <w:p>
            <w:pPr>
              <w:spacing w:after="20"/>
            </w:pPr>
            <w:r/>
            <w:r>
              <w:rPr>
                <w:b w:val="0"/>
                <w:sz w:val="18"/>
              </w:rPr>
              <w:t>Effect bias / RMSE against known truth</w:t>
            </w:r>
          </w:p>
        </w:tc>
        <w:tc>
          <w:tcPr>
            <w:tcW w:type="dxa" w:w="2484"/>
            <w:vAlign w:val="center"/>
          </w:tcPr>
          <w:p>
            <w:pPr>
              <w:spacing w:after="20"/>
            </w:pPr>
            <w:r/>
            <w:r>
              <w:rPr>
                <w:b w:val="0"/>
                <w:sz w:val="18"/>
              </w:rPr>
              <w:t>Yes</w:t>
            </w:r>
          </w:p>
        </w:tc>
        <w:tc>
          <w:tcPr>
            <w:tcW w:type="dxa" w:w="2484"/>
            <w:vAlign w:val="center"/>
          </w:tcPr>
          <w:p>
            <w:pPr>
              <w:spacing w:after="20"/>
            </w:pPr>
            <w:r/>
            <w:r>
              <w:rPr>
                <w:b w:val="0"/>
                <w:sz w:val="18"/>
              </w:rPr>
              <w:t>Only for a supported known benchmark estimand</w:t>
            </w:r>
          </w:p>
        </w:tc>
        <w:tc>
          <w:tcPr>
            <w:tcW w:type="dxa" w:w="2484"/>
            <w:vAlign w:val="center"/>
          </w:tcPr>
          <w:p>
            <w:pPr>
              <w:spacing w:after="20"/>
            </w:pPr>
            <w:r/>
            <w:r>
              <w:rPr>
                <w:b w:val="0"/>
                <w:sz w:val="18"/>
              </w:rPr>
              <w:t>No ground truth</w:t>
            </w:r>
          </w:p>
        </w:tc>
      </w:tr>
      <w:tr>
        <w:tc>
          <w:tcPr>
            <w:tcW w:type="dxa" w:w="2484"/>
            <w:vAlign w:val="center"/>
          </w:tcPr>
          <w:p>
            <w:pPr>
              <w:spacing w:after="20"/>
            </w:pPr>
            <w:r/>
            <w:r>
              <w:rPr>
                <w:b w:val="0"/>
                <w:sz w:val="18"/>
              </w:rPr>
              <w:t>Sensitivity interval coverage</w:t>
            </w:r>
          </w:p>
        </w:tc>
        <w:tc>
          <w:tcPr>
            <w:tcW w:type="dxa" w:w="2484"/>
            <w:vAlign w:val="center"/>
          </w:tcPr>
          <w:p>
            <w:pPr>
              <w:spacing w:after="20"/>
            </w:pPr>
            <w:r/>
            <w:r>
              <w:rPr>
                <w:b w:val="0"/>
                <w:sz w:val="18"/>
              </w:rPr>
              <w:t>Yes</w:t>
            </w:r>
          </w:p>
        </w:tc>
        <w:tc>
          <w:tcPr>
            <w:tcW w:type="dxa" w:w="2484"/>
            <w:vAlign w:val="center"/>
          </w:tcPr>
          <w:p>
            <w:pPr>
              <w:spacing w:after="20"/>
            </w:pPr>
            <w:r/>
            <w:r>
              <w:rPr>
                <w:b w:val="0"/>
                <w:sz w:val="18"/>
              </w:rPr>
              <w:t>Only if suitable truth and target are available</w:t>
            </w:r>
          </w:p>
        </w:tc>
        <w:tc>
          <w:tcPr>
            <w:tcW w:type="dxa" w:w="2484"/>
            <w:vAlign w:val="center"/>
          </w:tcPr>
          <w:p>
            <w:pPr>
              <w:spacing w:after="20"/>
            </w:pPr>
            <w:r/>
            <w:r>
              <w:rPr>
                <w:b w:val="0"/>
                <w:sz w:val="18"/>
              </w:rPr>
              <w:t>No ground truth</w:t>
            </w:r>
          </w:p>
        </w:tc>
      </w:tr>
      <w:tr>
        <w:tc>
          <w:tcPr>
            <w:tcW w:type="dxa" w:w="2484"/>
            <w:vAlign w:val="center"/>
          </w:tcPr>
          <w:p>
            <w:pPr>
              <w:spacing w:after="20"/>
            </w:pPr>
            <w:r/>
            <w:r>
              <w:rPr>
                <w:b w:val="0"/>
                <w:sz w:val="18"/>
              </w:rPr>
              <w:t>Overlap / propensity diagnostics</w:t>
            </w:r>
          </w:p>
        </w:tc>
        <w:tc>
          <w:tcPr>
            <w:tcW w:type="dxa" w:w="2484"/>
            <w:vAlign w:val="center"/>
          </w:tcPr>
          <w:p>
            <w:pPr>
              <w:spacing w:after="20"/>
            </w:pPr>
            <w:r/>
            <w:r>
              <w:rPr>
                <w:b w:val="0"/>
                <w:sz w:val="18"/>
              </w:rPr>
              <w:t>Yes</w:t>
            </w:r>
          </w:p>
        </w:tc>
        <w:tc>
          <w:tcPr>
            <w:tcW w:type="dxa" w:w="2484"/>
            <w:vAlign w:val="center"/>
          </w:tcPr>
          <w:p>
            <w:pPr>
              <w:spacing w:after="20"/>
            </w:pPr>
            <w:r/>
            <w:r>
              <w:rPr>
                <w:b w:val="0"/>
                <w:sz w:val="18"/>
              </w:rPr>
              <w:t>Yes, design-aware</w:t>
            </w:r>
          </w:p>
        </w:tc>
        <w:tc>
          <w:tcPr>
            <w:tcW w:type="dxa" w:w="2484"/>
            <w:vAlign w:val="center"/>
          </w:tcPr>
          <w:p>
            <w:pPr>
              <w:spacing w:after="20"/>
            </w:pPr>
            <w:r/>
            <w:r>
              <w:rPr>
                <w:b w:val="0"/>
                <w:sz w:val="18"/>
              </w:rPr>
              <w:t>Yes, observational</w:t>
            </w:r>
          </w:p>
        </w:tc>
      </w:tr>
      <w:tr>
        <w:tc>
          <w:tcPr>
            <w:tcW w:type="dxa" w:w="2484"/>
            <w:vAlign w:val="center"/>
          </w:tcPr>
          <w:p>
            <w:pPr>
              <w:spacing w:after="20"/>
            </w:pPr>
            <w:r/>
            <w:r>
              <w:rPr>
                <w:b w:val="0"/>
                <w:sz w:val="18"/>
              </w:rPr>
              <w:t>Multichannel budget allocation regret</w:t>
            </w:r>
          </w:p>
        </w:tc>
        <w:tc>
          <w:tcPr>
            <w:tcW w:type="dxa" w:w="2484"/>
            <w:vAlign w:val="center"/>
          </w:tcPr>
          <w:p>
            <w:pPr>
              <w:spacing w:after="20"/>
            </w:pPr>
            <w:r/>
            <w:r>
              <w:rPr>
                <w:b w:val="0"/>
                <w:sz w:val="18"/>
              </w:rPr>
              <w:t>Yes</w:t>
            </w:r>
          </w:p>
        </w:tc>
        <w:tc>
          <w:tcPr>
            <w:tcW w:type="dxa" w:w="2484"/>
            <w:vAlign w:val="center"/>
          </w:tcPr>
          <w:p>
            <w:pPr>
              <w:spacing w:after="20"/>
            </w:pPr>
            <w:r/>
            <w:r>
              <w:rPr>
                <w:b w:val="0"/>
                <w:sz w:val="18"/>
              </w:rPr>
              <w:t>Not from this dataset alone</w:t>
            </w:r>
          </w:p>
        </w:tc>
        <w:tc>
          <w:tcPr>
            <w:tcW w:type="dxa" w:w="2484"/>
            <w:vAlign w:val="center"/>
          </w:tcPr>
          <w:p>
            <w:pPr>
              <w:spacing w:after="20"/>
            </w:pPr>
            <w:r/>
            <w:r>
              <w:rPr>
                <w:b w:val="0"/>
                <w:sz w:val="18"/>
              </w:rPr>
              <w:t>No true regret without external truth</w:t>
            </w:r>
          </w:p>
        </w:tc>
      </w:tr>
      <w:tr>
        <w:tc>
          <w:tcPr>
            <w:tcW w:type="dxa" w:w="2484"/>
            <w:vAlign w:val="center"/>
          </w:tcPr>
          <w:p>
            <w:pPr>
              <w:spacing w:after="20"/>
            </w:pPr>
            <w:r/>
            <w:r>
              <w:rPr>
                <w:b w:val="0"/>
                <w:sz w:val="18"/>
              </w:rPr>
              <w:t>Real-data cohort/pipeline validation</w:t>
            </w:r>
          </w:p>
        </w:tc>
        <w:tc>
          <w:tcPr>
            <w:tcW w:type="dxa" w:w="2484"/>
            <w:vAlign w:val="center"/>
          </w:tcPr>
          <w:p>
            <w:pPr>
              <w:spacing w:after="20"/>
            </w:pPr>
            <w:r/>
            <w:r>
              <w:rPr>
                <w:b w:val="0"/>
                <w:sz w:val="18"/>
              </w:rPr>
              <w:t>Synthetic only</w:t>
            </w:r>
          </w:p>
        </w:tc>
        <w:tc>
          <w:tcPr>
            <w:tcW w:type="dxa" w:w="2484"/>
            <w:vAlign w:val="center"/>
          </w:tcPr>
          <w:p>
            <w:pPr>
              <w:spacing w:after="20"/>
            </w:pPr>
            <w:r/>
            <w:r>
              <w:rPr>
                <w:b w:val="0"/>
                <w:sz w:val="18"/>
              </w:rPr>
              <w:t>Partial</w:t>
            </w:r>
          </w:p>
        </w:tc>
        <w:tc>
          <w:tcPr>
            <w:tcW w:type="dxa" w:w="2484"/>
            <w:vAlign w:val="center"/>
          </w:tcPr>
          <w:p>
            <w:pPr>
              <w:spacing w:after="20"/>
            </w:pPr>
            <w:r/>
            <w:r>
              <w:rPr>
                <w:b w:val="0"/>
                <w:sz w:val="18"/>
              </w:rPr>
              <w:t>Yes</w:t>
            </w:r>
          </w:p>
        </w:tc>
      </w:tr>
      <w:tr>
        <w:tc>
          <w:tcPr>
            <w:tcW w:type="dxa" w:w="2484"/>
            <w:vAlign w:val="center"/>
          </w:tcPr>
          <w:p>
            <w:pPr>
              <w:spacing w:after="20"/>
            </w:pPr>
            <w:r/>
            <w:r>
              <w:rPr>
                <w:b w:val="0"/>
                <w:sz w:val="18"/>
              </w:rPr>
              <w:t>Observational stability analysis</w:t>
            </w:r>
          </w:p>
        </w:tc>
        <w:tc>
          <w:tcPr>
            <w:tcW w:type="dxa" w:w="2484"/>
            <w:vAlign w:val="center"/>
          </w:tcPr>
          <w:p>
            <w:pPr>
              <w:spacing w:after="20"/>
            </w:pPr>
            <w:r/>
            <w:r>
              <w:rPr>
                <w:b w:val="0"/>
                <w:sz w:val="18"/>
              </w:rPr>
              <w:t>Possible</w:t>
            </w:r>
          </w:p>
        </w:tc>
        <w:tc>
          <w:tcPr>
            <w:tcW w:type="dxa" w:w="2484"/>
            <w:vAlign w:val="center"/>
          </w:tcPr>
          <w:p>
            <w:pPr>
              <w:spacing w:after="20"/>
            </w:pPr>
            <w:r/>
            <w:r>
              <w:rPr>
                <w:b w:val="0"/>
                <w:sz w:val="18"/>
              </w:rPr>
              <w:t>Possible with design context</w:t>
            </w:r>
          </w:p>
        </w:tc>
        <w:tc>
          <w:tcPr>
            <w:tcW w:type="dxa" w:w="2484"/>
            <w:vAlign w:val="center"/>
          </w:tcPr>
          <w:p>
            <w:pPr>
              <w:spacing w:after="20"/>
            </w:pPr>
            <w:r/>
            <w:r>
              <w:rPr>
                <w:b w:val="0"/>
                <w:sz w:val="18"/>
              </w:rPr>
              <w:t>Yes, qualified</w:t>
            </w:r>
          </w:p>
        </w:tc>
      </w:tr>
      <w:tr>
        <w:tc>
          <w:tcPr>
            <w:tcW w:type="dxa" w:w="2484"/>
            <w:vAlign w:val="center"/>
          </w:tcPr>
          <w:p>
            <w:pPr>
              <w:spacing w:after="20"/>
            </w:pPr>
            <w:r/>
            <w:r>
              <w:rPr>
                <w:b w:val="0"/>
                <w:sz w:val="18"/>
              </w:rPr>
              <w:t>Experiment-selection value of information</w:t>
            </w:r>
          </w:p>
        </w:tc>
        <w:tc>
          <w:tcPr>
            <w:tcW w:type="dxa" w:w="2484"/>
            <w:vAlign w:val="center"/>
          </w:tcPr>
          <w:p>
            <w:pPr>
              <w:spacing w:after="20"/>
            </w:pPr>
            <w:r/>
            <w:r>
              <w:rPr>
                <w:b w:val="0"/>
                <w:sz w:val="18"/>
              </w:rPr>
              <w:t>Yes, simulated outcomes</w:t>
            </w:r>
          </w:p>
        </w:tc>
        <w:tc>
          <w:tcPr>
            <w:tcW w:type="dxa" w:w="2484"/>
            <w:vAlign w:val="center"/>
          </w:tcPr>
          <w:p>
            <w:pPr>
              <w:spacing w:after="20"/>
            </w:pPr>
            <w:r/>
            <w:r>
              <w:rPr>
                <w:b w:val="0"/>
                <w:sz w:val="18"/>
              </w:rPr>
              <w:t>Not by default</w:t>
            </w:r>
          </w:p>
        </w:tc>
        <w:tc>
          <w:tcPr>
            <w:tcW w:type="dxa" w:w="2484"/>
            <w:vAlign w:val="center"/>
          </w:tcPr>
          <w:p>
            <w:pPr>
              <w:spacing w:after="20"/>
            </w:pPr>
            <w:r/>
            <w:r>
              <w:rPr>
                <w:b w:val="0"/>
                <w:sz w:val="18"/>
              </w:rPr>
              <w:t>Not as causal VOI without stronger design/assumptions</w:t>
            </w:r>
          </w:p>
        </w:tc>
      </w:tr>
    </w:tbl>
    <w:p>
      <w:pPr>
        <w:pStyle w:val="Heading1"/>
      </w:pPr>
      <w:r>
        <w:t>8. Reproducible workflow</w:t>
      </w:r>
    </w:p>
    <w:p>
      <w:pPr>
        <w:pStyle w:val="ListNumber"/>
        <w:spacing w:after="60"/>
      </w:pPr>
      <w:r>
        <w:t>Freeze the research specification and estimand definitions before adapting any dataset.</w:t>
      </w:r>
    </w:p>
    <w:p>
      <w:pPr>
        <w:pStyle w:val="ListNumber"/>
        <w:spacing w:after="60"/>
      </w:pPr>
      <w:r>
        <w:t>Keep the synthetic simulator and scenario tests as the main controlled validation suite.</w:t>
      </w:r>
    </w:p>
    <w:p>
      <w:pPr>
        <w:pStyle w:val="ListNumber"/>
        <w:spacing w:after="60"/>
      </w:pPr>
      <w:r>
        <w:t>Implement the Criteo adapter, document treatment/outcome mapping, and run analyses consistent with the randomized design.</w:t>
      </w:r>
    </w:p>
    <w:p>
      <w:pPr>
        <w:pStyle w:val="ListNumber"/>
        <w:spacing w:after="60"/>
      </w:pPr>
      <w:r>
        <w:t>Implement the GA4 adapter using a documented visitor cohort and complete follow-up window; preserve the first-user source/medium interpretation.</w:t>
      </w:r>
    </w:p>
    <w:p>
      <w:pPr>
        <w:pStyle w:val="ListNumber"/>
        <w:spacing w:after="60"/>
      </w:pPr>
      <w:r>
        <w:t>Validate each adapter against the shared versioned schema and JSON contract.</w:t>
      </w:r>
    </w:p>
    <w:p>
      <w:pPr>
        <w:pStyle w:val="ListNumber"/>
        <w:spacing w:after="60"/>
      </w:pPr>
      <w:r>
        <w:t>Run the shared pipeline with dataset-appropriate metric availability; do not force every dataset through unsupported metrics.</w:t>
      </w:r>
    </w:p>
    <w:p>
      <w:pPr>
        <w:pStyle w:val="ListNumber"/>
        <w:spacing w:after="60"/>
      </w:pPr>
      <w:r>
        <w:t>Report simulation, randomized benchmark, and observational results separately; synthesize only conclusions supported by the relevant evidence.</w:t>
      </w:r>
    </w:p>
    <w:p>
      <w:pPr>
        <w:pStyle w:val="ListNumber"/>
        <w:spacing w:after="60"/>
      </w:pPr>
      <w:r>
        <w:t>Record seeds, versions, cohort definitions, filters, estimator settings, sensitivity parameters, and output artifacts.</w:t>
      </w:r>
    </w:p>
    <w:p>
      <w:pPr>
        <w:pStyle w:val="Heading1"/>
      </w:pPr>
      <w:r>
        <w:t>9. Research interpretation and reporting rules</w:t>
      </w:r>
    </w:p>
    <w:p>
      <w:pPr>
        <w:pStyle w:val="ListBullet"/>
        <w:spacing w:after="40"/>
      </w:pPr>
      <w:r>
        <w:t>A randomized benchmark and an observational dataset answer different questions; neither replaces controlled simulation.</w:t>
      </w:r>
    </w:p>
    <w:p>
      <w:pPr>
        <w:pStyle w:val="ListBullet"/>
        <w:spacing w:after="40"/>
      </w:pPr>
      <w:r>
        <w:t>The simulator establishes behavior under known mechanisms but does not alone establish real-world external validity.</w:t>
      </w:r>
    </w:p>
    <w:p>
      <w:pPr>
        <w:pStyle w:val="ListBullet"/>
        <w:spacing w:after="40"/>
      </w:pPr>
      <w:r>
        <w:t>Criteo supports randomized treatment benchmarking for the outcomes and estimands it actually supports; high treatment imbalance and sparse conversion require careful uncertainty reporting.</w:t>
      </w:r>
    </w:p>
    <w:p>
      <w:pPr>
        <w:pStyle w:val="ListBullet"/>
        <w:spacing w:after="40"/>
      </w:pPr>
      <w:r>
        <w:t>GA4 has no known counterfactual outcomes. Causal interpretations depend on assumptions that cannot be verified from the observed table alone.</w:t>
      </w:r>
    </w:p>
    <w:p>
      <w:pPr>
        <w:pStyle w:val="ListBullet"/>
        <w:spacing w:after="40"/>
      </w:pPr>
      <w:r>
        <w:t>Gamma is an assumption-driven robustness parameter, not a proven measure of true hidden confounding. Calibration against observed covariates is informative but not proof.</w:t>
      </w:r>
    </w:p>
    <w:p>
      <w:pPr>
        <w:pStyle w:val="ListBullet"/>
        <w:spacing w:after="40"/>
      </w:pPr>
      <w:r>
        <w:t>Include negative results, uncertainty intervals, stability-label frequencies, and the fraction labeled stable, fragile, or unidentifiable.</w:t>
      </w:r>
    </w:p>
    <w:p>
      <w:pPr>
        <w:pStyle w:val="ListBullet"/>
        <w:spacing w:after="40"/>
      </w:pPr>
      <w:r>
        <w:t>Combining datasets does not itself establish novelty or superiority; these require literature review and comparative evaluation.</w:t>
      </w:r>
    </w:p>
    <w:p>
      <w:pPr>
        <w:pStyle w:val="Heading1"/>
      </w:pPr>
      <w:r>
        <w:t>10. Implementation checklist</w:t>
      </w:r>
    </w:p>
    <w:p>
      <w:pPr>
        <w:pStyle w:val="ListBullet"/>
        <w:spacing w:after="40"/>
      </w:pPr>
      <w:r>
        <w:t>☐ Simulator remains in scope and generation is deterministic by seed.</w:t>
      </w:r>
    </w:p>
    <w:p>
      <w:pPr>
        <w:pStyle w:val="ListBullet"/>
        <w:spacing w:after="40"/>
      </w:pPr>
      <w:r>
        <w:t>☐ Ground truth is derived from expected potential outcomes and matches the documented estimand.</w:t>
      </w:r>
    </w:p>
    <w:p>
      <w:pPr>
        <w:pStyle w:val="ListBullet"/>
        <w:spacing w:after="40"/>
      </w:pPr>
      <w:r>
        <w:t>☐ Scenario tests cover confounding, randomized assignment, null effects, base rates, heterogeneity, and overlap.</w:t>
      </w:r>
    </w:p>
    <w:p>
      <w:pPr>
        <w:pStyle w:val="ListBullet"/>
        <w:spacing w:after="40"/>
      </w:pPr>
      <w:r>
        <w:t>☐ Criteo source/version and treatment/outcome mapping are documented.</w:t>
      </w:r>
    </w:p>
    <w:p>
      <w:pPr>
        <w:pStyle w:val="ListBullet"/>
        <w:spacing w:after="40"/>
      </w:pPr>
      <w:r>
        <w:t>☐ Criteo treatment is not confused with the separate exposure field.</w:t>
      </w:r>
    </w:p>
    <w:p>
      <w:pPr>
        <w:pStyle w:val="ListBullet"/>
        <w:spacing w:after="40"/>
      </w:pPr>
      <w:r>
        <w:t>☐ GA4 cohort has complete 30-day follow-up and a documented index event.</w:t>
      </w:r>
    </w:p>
    <w:p>
      <w:pPr>
        <w:pStyle w:val="ListBullet"/>
        <w:spacing w:after="40"/>
      </w:pPr>
      <w:r>
        <w:t>☐ GA4 first-user acquisition is not mislabeled as session attribution.</w:t>
      </w:r>
    </w:p>
    <w:p>
      <w:pPr>
        <w:pStyle w:val="ListBullet"/>
        <w:spacing w:after="40"/>
      </w:pPr>
      <w:r>
        <w:t>☐ All adapters emit the shared versioned schema.</w:t>
      </w:r>
    </w:p>
    <w:p>
      <w:pPr>
        <w:pStyle w:val="ListBullet"/>
        <w:spacing w:after="40"/>
      </w:pPr>
      <w:r>
        <w:t>☐ Unavailable metrics remain null/unavailable rather than zero.</w:t>
      </w:r>
    </w:p>
    <w:p>
      <w:pPr>
        <w:pStyle w:val="ListBullet"/>
        <w:spacing w:after="40"/>
      </w:pPr>
      <w:r>
        <w:t>☐ Reports distinguish simulated, randomized-benchmark, and observational evidence.</w:t>
      </w:r>
    </w:p>
    <w:p>
      <w:pPr>
        <w:pStyle w:val="Heading1"/>
      </w:pPr>
      <w:r>
        <w:t>Appendix A — Key source identifiers</w:t>
      </w:r>
    </w:p>
    <w:p>
      <w:r>
        <w:t>GA4 BigQuery table pattern: `bigquery-public-data.ga4_obfuscated_sample_ecommerce.events_*`</w:t>
      </w:r>
    </w:p>
    <w:p>
      <w:r>
        <w:t>GA4 examined export window: 2020-11-01 to 2021-01-31.</w:t>
      </w:r>
    </w:p>
    <w:p>
      <w:r>
        <w:t>Criteo file examined: Criteo Uplift v2.1 CSV.GZ; 13,979,592 rows and 16 columns in the initial profile.</w:t>
      </w:r>
    </w:p>
    <w:p>
      <w:r>
        <w:t>Counts in this document reflect prior profiling results available for the project. Recompute them from the exact downloaded files and extraction query before using them as final published results.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Decision-Stable Causal Attribution | Dataset Integration Approach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