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 1: Data Auto-Configuration &amp; Preprocessing</w:t>
      </w:r>
    </w:p>
    <w:p>
      <w:r>
        <w:t>Privacy-Preserving Synthetic Healthcare Data Generation</w:t>
      </w:r>
    </w:p>
    <w:p>
      <w:r>
        <w:t>Sathya Sai S  ·  Sudharshini Manikandan  ·  Vishwa D</w:t>
      </w:r>
    </w:p>
    <w:p>
      <w:r>
        <w:t>Document Version: 1.0</w:t>
      </w:r>
    </w:p>
    <w:p>
      <w:r>
        <w:t>Table of Contents</w:t>
      </w:r>
    </w:p>
    <w:p>
      <w:pPr>
        <w:pStyle w:val="ListNumber"/>
      </w:pPr>
      <w:r>
        <w:t>1. Executive Summary</w:t>
      </w:r>
    </w:p>
    <w:p>
      <w:pPr>
        <w:pStyle w:val="ListNumber"/>
      </w:pPr>
      <w:r>
        <w:t>2. Auto-Profiling Methodology</w:t>
      </w:r>
    </w:p>
    <w:p>
      <w:pPr>
        <w:pStyle w:val="ListNumber"/>
      </w:pPr>
      <w:r>
        <w:t>3. Handling of Missing Values</w:t>
      </w:r>
    </w:p>
    <w:p>
      <w:pPr>
        <w:pStyle w:val="ListNumber"/>
      </w:pPr>
      <w:r>
        <w:t>4. Feature Engineering and Encoders</w:t>
      </w:r>
    </w:p>
    <w:p>
      <w:pPr>
        <w:pStyle w:val="ListNumber"/>
      </w:pPr>
      <w:r>
        <w:t>5. Deliverables and Success Criteria</w:t>
      </w:r>
    </w:p>
    <w:p>
      <w:pPr>
        <w:pStyle w:val="ListNumber"/>
      </w:pPr>
      <w:r>
        <w:t>1. Executive Summary</w:t>
      </w:r>
    </w:p>
    <w:p>
      <w:r>
        <w:t>This first stage of our project establishes the key elements of our data pipeline. It automatically examines the incoming healthcare dataset (for instance, the diabetic readmission dataset) to ascertain column types, HIPAA identifiers, and columns with a high level of missing data. The aim is to ready a clean, numeric tensor that's suitable for diffusion modeling without needing hardcoded schema rules.</w:t>
      </w:r>
    </w:p>
    <w:p>
      <w:pPr>
        <w:pStyle w:val="ListNumber"/>
      </w:pPr>
      <w:r>
        <w:t>2. Auto-Profiling Methodology</w:t>
      </w:r>
    </w:p>
    <w:p>
      <w:r>
        <w:t>Our DatasetProfiler tool dynamically evaluates the statistical traits of each column.</w:t>
      </w:r>
    </w:p>
    <w:p>
      <w:r>
        <w:t>It identifies near-constant columns and columns with high cardinality IDs.</w:t>
      </w:r>
    </w:p>
    <w:p>
      <w:r>
        <w:t>It detects Protected Health Information (PHI) like encounter_id and patient_nbr and automatically excludes them or confines them to Tier 1 privacy constraints.</w:t>
      </w:r>
    </w:p>
    <w:p>
      <w:pPr>
        <w:pStyle w:val="ListNumber"/>
      </w:pPr>
      <w:r>
        <w:t>3. Handling of Missing Values</w:t>
      </w:r>
    </w:p>
    <w:p>
      <w:r>
        <w:t>We crafted a MissingnessHandler to map NaN values to a dedicated token (e.g., __null__). This strategy ensures that patterns of missing data—which sometimes have clinical significance—are preserved and modeled by the diffusion network, instead of being randomly mean-imputed.</w:t>
      </w:r>
    </w:p>
    <w:p>
      <w:pPr>
        <w:pStyle w:val="ListNumber"/>
      </w:pPr>
      <w:r>
        <w:t>4. Feature Engineering and Encoders</w:t>
      </w:r>
    </w:p>
    <w:p>
      <w:r>
        <w:t>Custom OneHotEncoder and StandardScaler classes are incorporated, providing support for inverse transformations.</w:t>
      </w:r>
    </w:p>
    <w:p>
      <w:r>
        <w:t>Categorical variables are encoded as one-hot vectors. Rare categories are combined into __other__ to avoid privacy breaches.</w:t>
      </w:r>
    </w:p>
    <w:p>
      <w:r>
        <w:t>Continuous variables are normalized to have a standard Gaussian distribution.</w:t>
      </w:r>
    </w:p>
    <w:p>
      <w:pPr>
        <w:pStyle w:val="ListNumber"/>
      </w:pPr>
      <w:r>
        <w:t>5. Deliverables and Success Criteria</w:t>
      </w:r>
    </w:p>
    <w:p>
      <w:r>
        <w:t>Outcome: The initial raw dataset has been fully converted into a PyTorch-ready numeric tensor.</w:t>
      </w:r>
    </w:p>
    <w:p>
      <w:r>
        <w:t>Success: The pipeline successfully filtered out invalid HIPAA columns and mapped the diabetic dataset into a consistent numeric space without privacy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