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Phase 2: DP-SGD Diffusion Model &amp; Training</w:t>
      </w:r>
    </w:p>
    <w:p>
      <w:r>
        <w:t>Generating Synthetic Healthcare Data while Maintaining Privacy</w:t>
      </w:r>
    </w:p>
    <w:p>
      <w:r>
        <w:t>Sathya Sai S  ·  Sudharshini Manikandan  ·  Vishwa D</w:t>
      </w:r>
    </w:p>
    <w:p>
      <w:r>
        <w:t>Document Version: 1.0</w:t>
      </w:r>
    </w:p>
    <w:p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Diffusion Model Architecture</w:t>
      </w:r>
    </w:p>
    <w:p>
      <w:pPr>
        <w:pStyle w:val="ListNumber"/>
      </w:pPr>
      <w:r>
        <w:t>3. Differential Privacy (DP-SGD) Integration</w:t>
      </w:r>
    </w:p>
    <w:p>
      <w:pPr>
        <w:pStyle w:val="ListNumber"/>
      </w:pPr>
      <w:r>
        <w:t>4. Risk-Tier Assignment Methodology</w:t>
      </w:r>
    </w:p>
    <w:p>
      <w:pPr>
        <w:pStyle w:val="ListNumber"/>
      </w:pPr>
      <w:r>
        <w:t>5. Training Orchestration and Checkpoints</w:t>
      </w:r>
    </w:p>
    <w:p>
      <w:pPr>
        <w:pStyle w:val="ListNumber"/>
      </w:pPr>
      <w:r>
        <w:t>1. Executive Summary</w:t>
      </w:r>
    </w:p>
    <w:p>
      <w:r>
        <w:t>This phase outlines our generative AI engine: a Denoising Diffusion Probabilistic Model (DDPM) tailored for tabular data. We have combined this model with Opacus for Differential Privacy (DP-SGD) to create synthetic data that upholds patient privacy. Our method ensures the data cannot be reverse-engineered to disclose individual patient information.</w:t>
      </w:r>
    </w:p>
    <w:p>
      <w:pPr>
        <w:pStyle w:val="ListNumber"/>
      </w:pPr>
      <w:r>
        <w:t>2. Diffusion Model Architecture</w:t>
      </w:r>
    </w:p>
    <w:p>
      <w:r>
        <w:t>Our core engine consists of an MLPDenoiser featuring SiLU activations and residual connections, which learns to reverse a Gaussian noise process applied to the preprocessed tabular tensor. The LinearNoiseSchedule governs the forward diffusion process over 1,000 timesteps.</w:t>
      </w:r>
    </w:p>
    <w:p>
      <w:pPr>
        <w:pStyle w:val="ListNumber"/>
      </w:pPr>
      <w:r>
        <w:t>3. Differential Privacy (DP-SGD) Integration</w:t>
      </w:r>
    </w:p>
    <w:p>
      <w:r>
        <w:t>We have successfully integrated the Opacus library, which wraps our denoiser within a GradSampleModule. This module is designed to clip per-sample gradients and introduce Gaussian noise, ensuring a stringent formal privacy guarantee.</w:t>
      </w:r>
    </w:p>
    <w:p>
      <w:pPr>
        <w:pStyle w:val="ListNumber"/>
      </w:pPr>
      <w:r>
        <w:t>4. Risk-Tier Assignment Methodology</w:t>
      </w:r>
    </w:p>
    <w:p>
      <w:r>
        <w:t>Our unique approach to differential privacy differs from standard DP-GANs. It involves assigning different levels of privacy noise based on the clinical risk associated with the data:</w:t>
      </w:r>
    </w:p>
    <w:p>
      <w:r>
        <w:t>Tier 1 (High Risk): Near-identifiers such as age and race.</w:t>
      </w:r>
    </w:p>
    <w:p>
      <w:r>
        <w:t>Tier 2 (Medium Risk): Standard clinical variables like blood pressure.</w:t>
      </w:r>
    </w:p>
    <w:p>
      <w:r>
        <w:t>Tier 3 (Low Risk): Broad indicators such as body mass index.</w:t>
      </w:r>
    </w:p>
    <w:p>
      <w:r>
        <w:t>This risk-based approach allows us to maximize data utility while ensuring privacy.</w:t>
      </w:r>
    </w:p>
    <w:p>
      <w:pPr>
        <w:pStyle w:val="ListNumber"/>
      </w:pPr>
      <w:r>
        <w:t>5. Training Orchestration and Checkpoints</w:t>
      </w:r>
    </w:p>
    <w:p>
      <w:r>
        <w:t>Our pipeline manages training across various target epsilons (0.1, 1.0, 10.0) and employs the ComputeBudgetGuard to avert GPU timeouts during checkpointing. We provide a collection of models that are calibrated for different levels of privacy and utility trade-offs.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