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Phase 3: Evaluation &amp; Red-Team Validation</w:t>
      </w:r>
    </w:p>
    <w:p>
      <w:r>
        <w:t>Privacy-Preserving Synthetic Healthcare Data Generation</w:t>
      </w:r>
    </w:p>
    <w:p>
      <w:r>
        <w:t>Sathya Sai S  ·  Sudharshini Manikandan  ·  Vishwa D</w:t>
      </w:r>
    </w:p>
    <w:p>
      <w:r>
        <w:t>Document Version: 1.0</w:t>
      </w:r>
    </w:p>
    <w:p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Utility Evaluation Metrics</w:t>
      </w:r>
    </w:p>
    <w:p>
      <w:pPr>
        <w:pStyle w:val="ListNumber"/>
      </w:pPr>
      <w:r>
        <w:t>3. Privacy &amp; Security Validation (Red-Teaming)</w:t>
      </w:r>
    </w:p>
    <w:p>
      <w:pPr>
        <w:pStyle w:val="ListNumber"/>
      </w:pPr>
      <w:r>
        <w:t>4. Empirical Results</w:t>
      </w:r>
    </w:p>
    <w:p>
      <w:pPr>
        <w:pStyle w:val="ListNumber"/>
      </w:pPr>
      <w:r>
        <w:t>5. Conclusion</w:t>
      </w:r>
    </w:p>
    <w:p>
      <w:pPr>
        <w:pStyle w:val="ListNumber"/>
      </w:pPr>
      <w:r>
        <w:t>1. Executive Summary</w:t>
      </w:r>
    </w:p>
    <w:p>
      <w:r>
        <w:t>Generating synthetic data involves more than just creation; validating it for authenticity and safety is crucial. This phase utilizes automated statistical tests to assess the generated data's utility and red-team audits to ensure its privacy.</w:t>
      </w:r>
    </w:p>
    <w:p>
      <w:pPr>
        <w:pStyle w:val="ListNumber"/>
      </w:pPr>
      <w:r>
        <w:t>2. Utility Evaluation Metrics</w:t>
      </w:r>
    </w:p>
    <w:p>
      <w:r>
        <w:t>We look at the Bivariate Correlation RMSE to confirm the synthetic data retains the genuine feature interactions of the original data. For instance, if 'ge' and 'ime_in_hospital' variables exhibit a correlation in real data, it's imperative they maintain this relationship in the synthetic data too.</w:t>
      </w:r>
    </w:p>
    <w:p>
      <w:pPr>
        <w:pStyle w:val="ListNumber"/>
      </w:pPr>
      <w:r>
        <w:t>3. Privacy &amp; Security Validation (Red-Teaming)</w:t>
      </w:r>
    </w:p>
    <w:p>
      <w:r>
        <w:t>To mimic potential attacks, we perform a Membership Inference Attack (MIA) risk assessment. The Distance to Closest Record (DCR) metric comes into play here. In a scenario where a synthetic record mirrors a real patient record, the DCR would be zero. Our red-team module proactively halts the release of any dataset where the DCR dips below the predetermined safety threshold.</w:t>
      </w:r>
    </w:p>
    <w:p>
      <w:pPr>
        <w:pStyle w:val="ListNumber"/>
      </w:pPr>
      <w:r>
        <w:t>4. Empirical Results</w:t>
      </w:r>
    </w:p>
    <w:p>
      <w:r>
        <w:t>The pipeline executed flawlessly throughout an end-to-end run.</w:t>
      </w:r>
    </w:p>
    <w:p>
      <w:r>
        <w:t>High Privacy (Eps=0.1): This setting demonstrated the most stringent privacy measures, resulting in the lowest utility and highest security.</w:t>
      </w:r>
    </w:p>
    <w:p>
      <w:r>
        <w:t>Balanced (Eps=1.0): This scenario is considered ideal for general research purposes.</w:t>
      </w:r>
    </w:p>
    <w:p>
      <w:r>
        <w:t>High Utility (Eps=10.0): Here, we prioritize statistical accuracy, leading to the highest utility and best statistical fidelity.</w:t>
      </w:r>
    </w:p>
    <w:p>
      <w:pPr>
        <w:pStyle w:val="ListNumber"/>
      </w:pPr>
      <w:r>
        <w:t>5. Conclusion</w:t>
      </w:r>
    </w:p>
    <w:p>
      <w:r>
        <w:t>The framework successfully demonstrated its capability to produce synthetic tabular records that can pass both stringent statistical utility assessments and rigorous privacy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