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4"/>
          <w:szCs w:val="44"/>
        </w:rPr>
        <w:t xml:space="preserve">COMPLETE ARCHITECTURE &amp; EXECUTION PLAN</w:t>
      </w:r>
    </w:p>
    <w:p>
      <w:pPr>
        <w:spacing w:before="200"/>
        <w:jc w:val="center"/>
      </w:pPr>
      <w:r>
        <w:rPr>
          <w:b/>
          <w:bCs/>
          <w:color w:val="2E5395"/>
          <w:sz w:val="28"/>
          <w:szCs w:val="28"/>
        </w:rPr>
        <w:t xml:space="preserve">Privacy-Preserving Synthetic Healthcare Data Generation</w:t>
      </w:r>
    </w:p>
    <w:p>
      <w:pPr>
        <w:spacing w:before="100"/>
        <w:jc w:val="center"/>
      </w:pPr>
      <w:r>
        <w:rPr>
          <w:i/>
          <w:iCs/>
          <w:color w:val="595959"/>
          <w:sz w:val="24"/>
          <w:szCs w:val="24"/>
        </w:rPr>
        <w:t xml:space="preserve">A Generic, Auto-Configuring Diffusion + Differential Privacy Framework</w:t>
      </w:r>
    </w:p>
    <w:p>
      <w:pPr>
        <w:spacing w:before="800"/>
      </w:pPr>
    </w:p>
    <w:p>
      <w:pPr>
        <w:jc w:val="center"/>
      </w:pPr>
      <w:r>
        <w:rPr>
          <w:sz w:val="22"/>
          <w:szCs w:val="22"/>
        </w:rPr>
        <w:t xml:space="preserve">Sathya Sai S  ·  Sudharshini Manikandan  ·  Vishwa D</w:t>
      </w:r>
    </w:p>
    <w:p>
      <w:pPr>
        <w:spacing w:before="60"/>
        <w:jc w:val="center"/>
      </w:pPr>
      <w:r>
        <w:rPr>
          <w:color w:val="595959"/>
          <w:sz w:val="20"/>
          <w:szCs w:val="20"/>
        </w:rPr>
        <w:t xml:space="preserve">24MID0112  ·  24MID0135  ·  24MID0119</w:t>
      </w:r>
    </w:p>
    <w:p>
      <w:pPr>
        <w:spacing w:before="400"/>
        <w:jc w:val="center"/>
      </w:pPr>
      <w:r>
        <w:rPr>
          <w:color w:val="595959"/>
          <w:sz w:val="20"/>
          <w:szCs w:val="20"/>
        </w:rPr>
        <w:t xml:space="preserve">Document Version: Upgraded Architecture Plan</w:t>
      </w:r>
    </w:p>
    <w:p>
      <w:r>
        <w:br w:type="page"/>
      </w:r>
    </w:p>
    <w:p>
      <w:pPr>
        <w:pStyle w:val="Heading1"/>
        <w:spacing w:after="260" w:before="0"/>
      </w:pPr>
      <w:r>
        <w:rPr>
          <w:color w:val="1F3864"/>
        </w:rPr>
        <w:t xml:space="preserve">Table of Contents</w:t>
      </w:r>
    </w:p>
    <w:p>
      <w:pPr>
        <w:spacing w:after="170"/>
      </w:pPr>
      <w:r>
        <w:rPr>
          <w:sz w:val="22"/>
          <w:szCs w:val="22"/>
        </w:rPr>
        <w:t xml:space="preserve">1.  Executive Summary / Plan Statement</w:t>
      </w:r>
      <w:ptab w:alignment="right" w:relativeTo="margin" w:leader="dot"/>
      <w:r>
        <w:rPr>
          <w:color w:val="595959"/>
          <w:sz w:val="22"/>
          <w:szCs w:val="22"/>
        </w:rPr>
        <w:t xml:space="preserve">3</w:t>
      </w:r>
    </w:p>
    <w:p>
      <w:pPr>
        <w:spacing w:after="170"/>
      </w:pPr>
      <w:r>
        <w:rPr>
          <w:sz w:val="22"/>
          <w:szCs w:val="22"/>
        </w:rPr>
        <w:t xml:space="preserve">2.  Complete System Architecture</w:t>
      </w:r>
      <w:ptab w:alignment="right" w:relativeTo="margin" w:leader="dot"/>
      <w:r>
        <w:rPr>
          <w:color w:val="595959"/>
          <w:sz w:val="22"/>
          <w:szCs w:val="22"/>
        </w:rPr>
        <w:t xml:space="preserve">3</w:t>
      </w:r>
    </w:p>
    <w:p>
      <w:pPr>
        <w:spacing w:after="170"/>
      </w:pPr>
      <w:r>
        <w:rPr>
          <w:sz w:val="22"/>
          <w:szCs w:val="22"/>
        </w:rPr>
        <w:t xml:space="preserve">3.  Risk-Tier Assignment Methodology</w:t>
      </w:r>
      <w:ptab w:alignment="right" w:relativeTo="margin" w:leader="dot"/>
      <w:r>
        <w:rPr>
          <w:color w:val="595959"/>
          <w:sz w:val="22"/>
          <w:szCs w:val="22"/>
        </w:rPr>
        <w:t xml:space="preserve">5</w:t>
      </w:r>
    </w:p>
    <w:p>
      <w:pPr>
        <w:spacing w:after="170"/>
      </w:pPr>
      <w:r>
        <w:rPr>
          <w:sz w:val="22"/>
          <w:szCs w:val="22"/>
        </w:rPr>
        <w:t xml:space="preserve">4.  Generic Auto-Configuration Framework</w:t>
      </w:r>
      <w:ptab w:alignment="right" w:relativeTo="margin" w:leader="dot"/>
      <w:r>
        <w:rPr>
          <w:color w:val="595959"/>
          <w:sz w:val="22"/>
          <w:szCs w:val="22"/>
        </w:rPr>
        <w:t xml:space="preserve">6</w:t>
      </w:r>
    </w:p>
    <w:p>
      <w:pPr>
        <w:spacing w:after="170"/>
      </w:pPr>
      <w:r>
        <w:rPr>
          <w:sz w:val="22"/>
          <w:szCs w:val="22"/>
        </w:rPr>
        <w:t xml:space="preserve">5.  End-to-End Workflow</w:t>
      </w:r>
      <w:ptab w:alignment="right" w:relativeTo="margin" w:leader="dot"/>
      <w:r>
        <w:rPr>
          <w:color w:val="595959"/>
          <w:sz w:val="22"/>
          <w:szCs w:val="22"/>
        </w:rPr>
        <w:t xml:space="preserve">7</w:t>
      </w:r>
    </w:p>
    <w:p>
      <w:pPr>
        <w:spacing w:after="170"/>
      </w:pPr>
      <w:r>
        <w:rPr>
          <w:sz w:val="22"/>
          <w:szCs w:val="22"/>
        </w:rPr>
        <w:t xml:space="preserve">6.  Data Flow</w:t>
      </w:r>
      <w:ptab w:alignment="right" w:relativeTo="margin" w:leader="dot"/>
      <w:r>
        <w:rPr>
          <w:color w:val="595959"/>
          <w:sz w:val="22"/>
          <w:szCs w:val="22"/>
        </w:rPr>
        <w:t xml:space="preserve">7</w:t>
      </w:r>
    </w:p>
    <w:p>
      <w:pPr>
        <w:spacing w:after="170"/>
      </w:pPr>
      <w:r>
        <w:rPr>
          <w:sz w:val="22"/>
          <w:szCs w:val="22"/>
        </w:rPr>
        <w:t xml:space="preserve">7.  Process Flow and Core Algorithms</w:t>
      </w:r>
      <w:ptab w:alignment="right" w:relativeTo="margin" w:leader="dot"/>
      <w:r>
        <w:rPr>
          <w:color w:val="595959"/>
          <w:sz w:val="22"/>
          <w:szCs w:val="22"/>
        </w:rPr>
        <w:t xml:space="preserve">8</w:t>
      </w:r>
    </w:p>
    <w:p>
      <w:pPr>
        <w:spacing w:after="170"/>
      </w:pPr>
      <w:r>
        <w:rPr>
          <w:sz w:val="22"/>
          <w:szCs w:val="22"/>
        </w:rPr>
        <w:t xml:space="preserve">8.  Detailed Step-by-Step Execution Plan</w:t>
      </w:r>
      <w:ptab w:alignment="right" w:relativeTo="margin" w:leader="dot"/>
      <w:r>
        <w:rPr>
          <w:color w:val="595959"/>
          <w:sz w:val="22"/>
          <w:szCs w:val="22"/>
        </w:rPr>
        <w:t xml:space="preserve">10</w:t>
      </w:r>
    </w:p>
    <w:p>
      <w:pPr>
        <w:spacing w:after="170"/>
      </w:pPr>
      <w:r>
        <w:rPr>
          <w:sz w:val="22"/>
          <w:szCs w:val="22"/>
        </w:rPr>
        <w:t xml:space="preserve">9.  Tooling and Infrastructure</w:t>
      </w:r>
      <w:ptab w:alignment="right" w:relativeTo="margin" w:leader="dot"/>
      <w:r>
        <w:rPr>
          <w:color w:val="595959"/>
          <w:sz w:val="22"/>
          <w:szCs w:val="22"/>
        </w:rPr>
        <w:t xml:space="preserve">12</w:t>
      </w:r>
    </w:p>
    <w:p>
      <w:pPr>
        <w:spacing w:after="170"/>
      </w:pPr>
      <w:r>
        <w:rPr>
          <w:sz w:val="22"/>
          <w:szCs w:val="22"/>
        </w:rPr>
        <w:t xml:space="preserve">10.  Risk Register</w:t>
      </w:r>
      <w:ptab w:alignment="right" w:relativeTo="margin" w:leader="dot"/>
      <w:r>
        <w:rPr>
          <w:color w:val="595959"/>
          <w:sz w:val="22"/>
          <w:szCs w:val="22"/>
        </w:rPr>
        <w:t xml:space="preserve">13</w:t>
      </w:r>
    </w:p>
    <w:p>
      <w:pPr>
        <w:spacing w:after="170"/>
      </w:pPr>
      <w:r>
        <w:rPr>
          <w:sz w:val="22"/>
          <w:szCs w:val="22"/>
        </w:rPr>
        <w:t xml:space="preserve">11.  Deliverables and Success Criteria</w:t>
      </w:r>
      <w:ptab w:alignment="right" w:relativeTo="margin" w:leader="dot"/>
      <w:r>
        <w:rPr>
          <w:color w:val="595959"/>
          <w:sz w:val="22"/>
          <w:szCs w:val="22"/>
        </w:rPr>
        <w:t xml:space="preserve">13</w:t>
      </w:r>
    </w:p>
    <w:p>
      <w:pPr>
        <w:spacing w:after="170"/>
      </w:pPr>
      <w:r>
        <w:rPr>
          <w:sz w:val="22"/>
          <w:szCs w:val="22"/>
        </w:rPr>
        <w:t xml:space="preserve">12.  Appendix — Key Parameters to Track</w:t>
      </w:r>
      <w:ptab w:alignment="right" w:relativeTo="margin" w:leader="dot"/>
      <w:r>
        <w:rPr>
          <w:color w:val="595959"/>
          <w:sz w:val="22"/>
          <w:szCs w:val="22"/>
        </w:rPr>
        <w:t xml:space="preserve">14</w:t>
      </w:r>
    </w:p>
    <w:p>
      <w:r>
        <w:br w:type="page"/>
      </w:r>
    </w:p>
    <w:p>
      <w:pPr>
        <w:pStyle w:val="Heading1"/>
        <w:pBdr>
          <w:bottom w:val="single" w:color="1F3864" w:sz="8" w:space="4"/>
        </w:pBdr>
        <w:spacing w:after="220" w:before="480"/>
      </w:pPr>
      <w:r>
        <w:rPr>
          <w:color w:val="1F3864"/>
        </w:rPr>
        <w:t xml:space="preserve">1.  Executive Summary / Plan Statement</w:t>
      </w:r>
    </w:p>
    <w:p>
      <w:pPr>
        <w:spacing w:after="160" w:line="300"/>
      </w:pPr>
      <w:r>
        <w:rPr>
          <w:sz w:val="21"/>
          <w:szCs w:val="21"/>
        </w:rPr>
        <w:t xml:space="preserve">This document defines a generic, auto-configuring framework that accepts any structured (tabular) healthcare dataset, automatically profiles it, preprocesses it, trains a diffusion model under differential privacy, applies a non-uniform per-feature privacy mechanism, generates synthetic records, and evaluates the result — without the underlying architecture changing between datasets.</w:t>
      </w:r>
    </w:p>
    <w:p>
      <w:pPr>
        <w:spacing w:after="160" w:line="300"/>
      </w:pPr>
      <w:r>
        <w:rPr>
          <w:sz w:val="21"/>
          <w:szCs w:val="21"/>
        </w:rPr>
        <w:t xml:space="preserve">The framework produces synthetic patient-level data that is statistically useful for research while carrying a formal (ε, δ) differential privacy guarantee, so no individual patient's presence in the training data can be confidently inferred from the output. Two upgrades distinguish this version of the plan from the original single-dataset proposal:</w:t>
      </w:r>
    </w:p>
    <w:p>
      <w:pPr>
        <w:pStyle w:val="ListParagraph"/>
        <w:numPr>
          <w:ilvl w:val="0"/>
          <w:numId w:val="2"/>
        </w:numPr>
        <w:spacing w:after="100" w:line="280"/>
      </w:pPr>
      <w:r>
        <w:rPr>
          <w:sz w:val="21"/>
          <w:szCs w:val="21"/>
        </w:rPr>
        <w:t xml:space="preserve">A generic auto-configuration layer that profiles any incoming dataset and configures preprocessing, risk tiers, and training hyperparameters automatically, rather than being hand-tuned per dataset.</w:t>
      </w:r>
    </w:p>
    <w:p>
      <w:pPr>
        <w:pStyle w:val="ListParagraph"/>
        <w:numPr>
          <w:ilvl w:val="0"/>
          <w:numId w:val="2"/>
        </w:numPr>
        <w:spacing w:after="100" w:line="280"/>
      </w:pPr>
      <w:r>
        <w:rPr>
          <w:sz w:val="21"/>
          <w:szCs w:val="21"/>
        </w:rPr>
        <w:t xml:space="preserve">A small-dataset branch that detects when a dataset is too small to train a diffusion model from scratch under DP, and instead fine-tunes a lightweight schema-specific adapter on top of a frozen, previously-trained backbone.</w:t>
      </w:r>
    </w:p>
    <w:p>
      <w:pPr>
        <w:spacing w:after="160" w:line="300"/>
      </w:pPr>
      <w:r>
        <w:rPr>
          <w:sz w:val="21"/>
          <w:szCs w:val="21"/>
        </w:rPr>
        <w:t xml:space="preserve">The central technical claim of the project — and the hardest part to defend — is the per-feature privacy budget mechanism. This is treated as its own dedicated section (Section 3) because it is the piece that differentiates this work from existing uniform-budget DP-GAN/DP-VAE approaches.</w:t>
      </w:r>
    </w:p>
    <w:p>
      <w:pPr>
        <w:pStyle w:val="Heading1"/>
        <w:pBdr>
          <w:bottom w:val="single" w:color="1F3864" w:sz="8" w:space="4"/>
        </w:pBdr>
        <w:spacing w:after="220" w:before="480"/>
      </w:pPr>
      <w:r>
        <w:rPr>
          <w:color w:val="1F3864"/>
        </w:rPr>
        <w:t xml:space="preserve">2.  Complete System Architecture</w:t>
      </w:r>
    </w:p>
    <w:p>
      <w:pPr>
        <w:pStyle w:val="Heading2"/>
        <w:spacing w:after="160" w:before="320"/>
      </w:pPr>
      <w:r>
        <w:rPr>
          <w:color w:val="2E5395"/>
        </w:rPr>
        <w:t xml:space="preserve">2.1  Layer Overview</w:t>
      </w:r>
    </w:p>
    <w:p>
      <w:pPr>
        <w:spacing w:after="160" w:line="300"/>
      </w:pPr>
      <w:r>
        <w:rPr>
          <w:sz w:val="21"/>
          <w:szCs w:val="21"/>
        </w:rPr>
        <w:t xml:space="preserve">The system is organized into seven layers. Layer 0 is new in this upgraded plan — it is what makes the architecture genuinely reusable across datasets instead of hardcoded to one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Name</w:t>
            </w:r>
          </w:p>
        </w:tc>
        <w:tc>
          <w:tcPr>
            <w:tcW w:type="dxa" w:w="5860"/>
            <w:shd w:fill="1F3864" w:val="clear"/>
            <w:tcMar>
              <w:top w:type="dxa" w:w="80"/>
              <w:left w:type="dxa" w:w="100"/>
              <w:bottom w:type="dxa" w:w="80"/>
              <w:right w:type="dxa" w:w="100"/>
            </w:tcMar>
            <w:vAlign w:val="center"/>
          </w:tcPr>
          <w:p>
            <w:pPr>
              <w:jc w:val="left"/>
            </w:pPr>
            <w:r>
              <w:rPr>
                <w:b/>
                <w:bCs/>
                <w:color w:val="FFFFFF"/>
                <w:sz w:val="19"/>
                <w:szCs w:val="19"/>
              </w:rPr>
              <w:t xml:space="preserve">Responsibility</w:t>
            </w:r>
          </w:p>
        </w:tc>
      </w:tr>
      <w:tr>
        <w:tc>
          <w:tcPr>
            <w:tcW w:type="dxa" w:w="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0</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Auto-Configuration Layer</w:t>
            </w:r>
          </w:p>
        </w:tc>
        <w:tc>
          <w:tcPr>
            <w:tcW w:type="dxa" w:w="5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Profiles any incoming dataset; sets preprocessing rules, risk tiers, and hyperparameters automatically</w:t>
            </w:r>
          </w:p>
        </w:tc>
      </w:tr>
      <w:tr>
        <w:tc>
          <w:tcPr>
            <w:tcW w:type="dxa" w:w="9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26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Data Layer</w:t>
            </w:r>
          </w:p>
        </w:tc>
        <w:tc>
          <w:tcPr>
            <w:tcW w:type="dxa" w:w="5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Raw structured healthcare datasets (UCI Diabetes, CDC BRFSS, UCI Heart/Cervical, or any future dataset)</w:t>
            </w:r>
          </w:p>
        </w:tc>
      </w:tr>
      <w:tr>
        <w:tc>
          <w:tcPr>
            <w:tcW w:type="dxa" w:w="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Preprocessing Layer</w:t>
            </w:r>
          </w:p>
        </w:tc>
        <w:tc>
          <w:tcPr>
            <w:tcW w:type="dxa" w:w="5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Field typing, missingness encoding, categorical embedding, per-field normalization, schema alignment</w:t>
            </w:r>
          </w:p>
        </w:tc>
      </w:tr>
      <w:tr>
        <w:tc>
          <w:tcPr>
            <w:tcW w:type="dxa" w:w="9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26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Model Layer</w:t>
            </w:r>
          </w:p>
        </w:tc>
        <w:tc>
          <w:tcPr>
            <w:tcW w:type="dxa" w:w="5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Forward/reverse diffusion wrapped in DP-SGD; adaptive noise schedule; per-feature privacy budgets; small-dataset adapter branch</w:t>
            </w:r>
          </w:p>
        </w:tc>
      </w:tr>
      <w:tr>
        <w:tc>
          <w:tcPr>
            <w:tcW w:type="dxa" w:w="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Generation Layer</w:t>
            </w:r>
          </w:p>
        </w:tc>
        <w:tc>
          <w:tcPr>
            <w:tcW w:type="dxa" w:w="5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Reverse sampling from pure noise; inverse transform back to the original schema</w:t>
            </w:r>
          </w:p>
        </w:tc>
      </w:tr>
      <w:tr>
        <w:tc>
          <w:tcPr>
            <w:tcW w:type="dxa" w:w="9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5</w:t>
            </w:r>
          </w:p>
        </w:tc>
        <w:tc>
          <w:tcPr>
            <w:tcW w:type="dxa" w:w="26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Evaluation Layer</w:t>
            </w:r>
          </w:p>
        </w:tc>
        <w:tc>
          <w:tcPr>
            <w:tcW w:type="dxa" w:w="5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Membership inference attack, statistical similarity, downstream utility, Pareto frontier</w:t>
            </w:r>
          </w:p>
        </w:tc>
      </w:tr>
      <w:tr>
        <w:tc>
          <w:tcPr>
            <w:tcW w:type="dxa" w:w="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6</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Deployment / Reporting Layer</w:t>
            </w:r>
          </w:p>
        </w:tc>
        <w:tc>
          <w:tcPr>
            <w:tcW w:type="dxa" w:w="5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Exported synthetic dataset, model + registry package, dashboard, final report</w:t>
            </w:r>
          </w:p>
        </w:tc>
      </w:tr>
    </w:tbl>
    <w:p>
      <w:pPr>
        <w:spacing w:after="100"/>
      </w:pPr>
    </w:p>
    <w:p>
      <w:pPr>
        <w:pStyle w:val="Heading2"/>
        <w:spacing w:after="160" w:before="320"/>
      </w:pPr>
      <w:r>
        <w:rPr>
          <w:color w:val="2E5395"/>
        </w:rPr>
        <w:t xml:space="preserve">2.2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gridCol w:w="18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Component</w:t>
            </w:r>
          </w:p>
        </w:tc>
        <w:tc>
          <w:tcPr>
            <w:tcW w:type="dxa" w:w="5100"/>
            <w:shd w:fill="1F3864" w:val="clear"/>
            <w:tcMar>
              <w:top w:type="dxa" w:w="80"/>
              <w:left w:type="dxa" w:w="100"/>
              <w:bottom w:type="dxa" w:w="80"/>
              <w:right w:type="dxa" w:w="100"/>
            </w:tcMar>
            <w:vAlign w:val="center"/>
          </w:tcPr>
          <w:p>
            <w:pPr>
              <w:jc w:val="left"/>
            </w:pPr>
            <w:r>
              <w:rPr>
                <w:b/>
                <w:bCs/>
                <w:color w:val="FFFFFF"/>
                <w:sz w:val="19"/>
                <w:szCs w:val="19"/>
              </w:rPr>
              <w:t xml:space="preserve">Responsibility</w:t>
            </w:r>
          </w:p>
        </w:tc>
        <w:tc>
          <w:tcPr>
            <w:tcW w:type="dxa" w:w="1860"/>
            <w:shd w:fill="1F3864" w:val="clear"/>
            <w:tcMar>
              <w:top w:type="dxa" w:w="80"/>
              <w:left w:type="dxa" w:w="100"/>
              <w:bottom w:type="dxa" w:w="80"/>
              <w:right w:type="dxa" w:w="100"/>
            </w:tcMar>
            <w:vAlign w:val="center"/>
          </w:tcPr>
          <w:p>
            <w:pPr>
              <w:jc w:val="left"/>
            </w:pPr>
            <w:r>
              <w:rPr>
                <w:b/>
                <w:bCs/>
                <w:color w:val="FFFFFF"/>
                <w:sz w:val="19"/>
                <w:szCs w:val="19"/>
              </w:rPr>
              <w:t xml:space="preserve">Depends On</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Dataset profiler</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Detects column types, cardinality, missingness rate, dataset size N</w:t>
            </w:r>
          </w:p>
        </w:tc>
        <w:tc>
          <w:tcPr>
            <w:tcW w:type="dxa" w:w="1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Raw dataset</w:t>
            </w:r>
          </w:p>
        </w:tc>
      </w:tr>
      <w:tr>
        <w:tc>
          <w:tcPr>
            <w:tcW w:type="dxa" w:w="24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Auto-config engine</w:t>
            </w:r>
          </w:p>
        </w:tc>
        <w:tc>
          <w:tcPr>
            <w:tcW w:type="dxa" w:w="5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Sets risk tiers, pretrain-vs-scratch decision, hyperparameter defaults</w:t>
            </w:r>
          </w:p>
        </w:tc>
        <w:tc>
          <w:tcPr>
            <w:tcW w:type="dxa" w:w="1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Dataset profiler</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Schema registry</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Stores column order, dtypes, scalers, embedding vocabulary per dataset</w:t>
            </w:r>
          </w:p>
        </w:tc>
        <w:tc>
          <w:tcPr>
            <w:tcW w:type="dxa" w:w="1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Preprocessing</w:t>
            </w:r>
          </w:p>
        </w:tc>
      </w:tr>
      <w:tr>
        <w:tc>
          <w:tcPr>
            <w:tcW w:type="dxa" w:w="24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Diffusion trainer</w:t>
            </w:r>
          </w:p>
        </w:tc>
        <w:tc>
          <w:tcPr>
            <w:tcW w:type="dxa" w:w="5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Forward/reverse diffusion training loop (non-DP baseline)</w:t>
            </w:r>
          </w:p>
        </w:tc>
        <w:tc>
          <w:tcPr>
            <w:tcW w:type="dxa" w:w="1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Preprocessing</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DP-SGD wrapper</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Per-sample gradients, clipping, Gaussian noise injection</w:t>
            </w:r>
          </w:p>
        </w:tc>
        <w:tc>
          <w:tcPr>
            <w:tcW w:type="dxa" w:w="1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Diffusion trainer</w:t>
            </w:r>
          </w:p>
        </w:tc>
      </w:tr>
      <w:tr>
        <w:tc>
          <w:tcPr>
            <w:tcW w:type="dxa" w:w="24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Privacy accountant</w:t>
            </w:r>
          </w:p>
        </w:tc>
        <w:tc>
          <w:tcPr>
            <w:tcW w:type="dxa" w:w="5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Tracks cumulative (ε, δ) across steps, timesteps, and per-tier heads</w:t>
            </w:r>
          </w:p>
        </w:tc>
        <w:tc>
          <w:tcPr>
            <w:tcW w:type="dxa" w:w="1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DP-SGD wrapper</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Adaptive scheduler</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Varies noise multiplier σ by diffusion timestep</w:t>
            </w:r>
          </w:p>
        </w:tc>
        <w:tc>
          <w:tcPr>
            <w:tcW w:type="dxa" w:w="1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DP-SGD wrapper</w:t>
            </w:r>
          </w:p>
        </w:tc>
      </w:tr>
      <w:tr>
        <w:tc>
          <w:tcPr>
            <w:tcW w:type="dxa" w:w="24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Per-feature budget heads</w:t>
            </w:r>
          </w:p>
        </w:tc>
        <w:tc>
          <w:tcPr>
            <w:tcW w:type="dxa" w:w="5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Separate clip norm / noise level per risk tier of output columns</w:t>
            </w:r>
          </w:p>
        </w:tc>
        <w:tc>
          <w:tcPr>
            <w:tcW w:type="dxa" w:w="1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DP-SGD wrapper</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Model registry</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Stores previously-trained backbones with schema metadata</w:t>
            </w:r>
          </w:p>
        </w:tc>
        <w:tc>
          <w:tcPr>
            <w:tcW w:type="dxa" w:w="1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Diffusion trainer (historical runs)</w:t>
            </w:r>
          </w:p>
        </w:tc>
      </w:tr>
      <w:tr>
        <w:tc>
          <w:tcPr>
            <w:tcW w:type="dxa" w:w="24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Schema adapter</w:t>
            </w:r>
          </w:p>
        </w:tc>
        <w:tc>
          <w:tcPr>
            <w:tcW w:type="dxa" w:w="5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New input/output layers for a small dataset attached to a frozen backbone</w:t>
            </w:r>
          </w:p>
        </w:tc>
        <w:tc>
          <w:tcPr>
            <w:tcW w:type="dxa" w:w="1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Model registry</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Sampler</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Reverse diffusion generation from Gaussian noise</w:t>
            </w:r>
          </w:p>
        </w:tc>
        <w:tc>
          <w:tcPr>
            <w:tcW w:type="dxa" w:w="1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Trained checkpoint</w:t>
            </w:r>
          </w:p>
        </w:tc>
      </w:tr>
      <w:tr>
        <w:tc>
          <w:tcPr>
            <w:tcW w:type="dxa" w:w="24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Inverse-transform module</w:t>
            </w:r>
          </w:p>
        </w:tc>
        <w:tc>
          <w:tcPr>
            <w:tcW w:type="dxa" w:w="5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Un-scales, decodes, reinserts missingness, reapplies original schema</w:t>
            </w:r>
          </w:p>
        </w:tc>
        <w:tc>
          <w:tcPr>
            <w:tcW w:type="dxa" w:w="1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Schema registry, Sampler</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Evaluation suite</w:t>
            </w:r>
          </w:p>
        </w:tc>
        <w:tc>
          <w:tcPr>
            <w:tcW w:type="dxa" w:w="5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MIA, similarity metrics, downstream utility benchmark</w:t>
            </w:r>
          </w:p>
        </w:tc>
        <w:tc>
          <w:tcPr>
            <w:tcW w:type="dxa" w:w="18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Real + synthetic data</w:t>
            </w:r>
          </w:p>
        </w:tc>
      </w:tr>
      <w:tr>
        <w:tc>
          <w:tcPr>
            <w:tcW w:type="dxa" w:w="24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Reporting dashboard</w:t>
            </w:r>
          </w:p>
        </w:tc>
        <w:tc>
          <w:tcPr>
            <w:tcW w:type="dxa" w:w="5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Renders the five core visualizations and Pareto frontier</w:t>
            </w:r>
          </w:p>
        </w:tc>
        <w:tc>
          <w:tcPr>
            <w:tcW w:type="dxa" w:w="18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Evaluation suite</w:t>
            </w:r>
          </w:p>
        </w:tc>
      </w:tr>
    </w:tbl>
    <w:p>
      <w:pPr>
        <w:spacing w:after="100"/>
      </w:pPr>
    </w:p>
    <w:p>
      <w:pPr>
        <w:pStyle w:val="Heading2"/>
        <w:spacing w:after="160" w:before="320"/>
      </w:pPr>
      <w:r>
        <w:rPr>
          <w:color w:val="2E5395"/>
        </w:rPr>
        <w:t xml:space="preserve">2.3  Small-Dataset Fine-Tuning Branch</w:t>
      </w:r>
    </w:p>
    <w:p>
      <w:pPr>
        <w:spacing w:after="160" w:line="300"/>
      </w:pPr>
      <w:r>
        <w:rPr>
          <w:sz w:val="21"/>
          <w:szCs w:val="21"/>
        </w:rPr>
        <w:t xml:space="preserve">A single trained model is locked to the schema it was trained on. When a new, small dataset (below a defined size threshold) arrives, training a full diffusion model from scratch under DP-SGD produces poor utility, because DP noise scales relative to dataset size and rare categories become near-unique fingerprints at low N. The branch below addresses this without altering the rest of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shd w:fill="1F3864" w:val="clear"/>
            <w:tcMar>
              <w:top w:type="dxa" w:w="80"/>
              <w:left w:type="dxa" w:w="100"/>
              <w:bottom w:type="dxa" w:w="80"/>
              <w:right w:type="dxa" w:w="100"/>
            </w:tcMar>
            <w:vAlign w:val="center"/>
          </w:tcPr>
          <w:p>
            <w:pPr>
              <w:jc w:val="left"/>
            </w:pPr>
            <w:r>
              <w:rPr>
                <w:b/>
                <w:bCs/>
                <w:color w:val="FFFFFF"/>
                <w:sz w:val="19"/>
                <w:szCs w:val="19"/>
              </w:rPr>
              <w:t xml:space="preserve">Step</w:t>
            </w:r>
          </w:p>
        </w:tc>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Action</w:t>
            </w:r>
          </w:p>
        </w:tc>
        <w:tc>
          <w:tcPr>
            <w:tcW w:type="dxa" w:w="5460"/>
            <w:shd w:fill="1F3864" w:val="clear"/>
            <w:tcMar>
              <w:top w:type="dxa" w:w="80"/>
              <w:left w:type="dxa" w:w="100"/>
              <w:bottom w:type="dxa" w:w="80"/>
              <w:right w:type="dxa" w:w="100"/>
            </w:tcMar>
            <w:vAlign w:val="center"/>
          </w:tcPr>
          <w:p>
            <w:pPr>
              <w:jc w:val="left"/>
            </w:pPr>
            <w:r>
              <w:rPr>
                <w:b/>
                <w:bCs/>
                <w:color w:val="FFFFFF"/>
                <w:sz w:val="19"/>
                <w:szCs w:val="19"/>
              </w:rPr>
              <w:t xml:space="preserve">Why</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Detect N below threshold</w:t>
            </w:r>
          </w:p>
        </w:tc>
        <w:tc>
          <w:tcPr>
            <w:tcW w:type="dxa" w:w="54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Auto-config engine flags the dataset as a small-N case during profiling</w:t>
            </w:r>
          </w:p>
        </w:tc>
      </w:tr>
      <w:tr>
        <w:tc>
          <w:tcPr>
            <w:tcW w:type="dxa" w:w="7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32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Model registry lookup</w:t>
            </w:r>
          </w:p>
        </w:tc>
        <w:tc>
          <w:tcPr>
            <w:tcW w:type="dxa" w:w="54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Score each previously-trained backbone against the new dataset's profile; select the best schema match, or fall back to the largest general-purpose backbone</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Attach schema adapter</w:t>
            </w:r>
          </w:p>
        </w:tc>
        <w:tc>
          <w:tcPr>
            <w:tcW w:type="dxa" w:w="54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New, randomly-initialized input/output layers sized to the small dataset's columns; the backbone's general structure stays frozen</w:t>
            </w:r>
          </w:p>
        </w:tc>
      </w:tr>
      <w:tr>
        <w:tc>
          <w:tcPr>
            <w:tcW w:type="dxa" w:w="7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32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DP fine-tune the adapter only</w:t>
            </w:r>
          </w:p>
        </w:tc>
        <w:tc>
          <w:tcPr>
            <w:tcW w:type="dxa" w:w="54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Only a small number of parameters are updated under DP-SGD, which reduces the noise-to-signal ratio for the same target ε</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5</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Generate</w:t>
            </w:r>
          </w:p>
        </w:tc>
        <w:tc>
          <w:tcPr>
            <w:tcW w:type="dxa" w:w="54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Reverse diffusion from noise through the combined backbone + adapter; inverse transform via the small dataset's own schema registry</w:t>
            </w:r>
          </w:p>
        </w:tc>
      </w:tr>
    </w:tbl>
    <w:p>
      <w:pPr>
        <w:spacing w:after="100"/>
      </w:pPr>
    </w:p>
    <w:p>
      <w:pPr>
        <w:pBdr>
          <w:top w:val="none" w:color="FFFFFF" w:sz="0"/>
          <w:bottom w:val="none" w:color="FFFFFF" w:sz="0"/>
          <w:left w:val="single" w:color="C0522A" w:sz="24" w:space="8"/>
          <w:right w:val="none" w:color="FFFFFF" w:sz="0"/>
        </w:pBdr>
        <w:shd w:fill="FCEFEA" w:val="clear"/>
        <w:spacing w:after="200" w:before="120" w:line="300"/>
      </w:pPr>
      <w:r>
        <w:rPr>
          <w:b/>
          <w:bCs/>
          <w:color w:val="A0421F"/>
          <w:sz w:val="21"/>
          <w:szCs w:val="21"/>
        </w:rPr>
        <w:t xml:space="preserve">Privacy note:  </w:t>
      </w:r>
      <w:r>
        <w:rPr>
          <w:color w:val="333333"/>
          <w:sz w:val="21"/>
          <w:szCs w:val="21"/>
        </w:rPr>
        <w:t xml:space="preserve">reusing a backbone that was itself trained under DP on a different dataset does not cost additional privacy budget against that original dataset, by the post-processing property of differential privacy. Only the new fine-tuning step needs its own (ε, δ) accounting.</w:t>
      </w:r>
    </w:p>
    <w:p>
      <w:pPr>
        <w:pBdr>
          <w:top w:val="none" w:color="FFFFFF" w:sz="0"/>
          <w:bottom w:val="none" w:color="FFFFFF" w:sz="0"/>
          <w:left w:val="single" w:color="C0522A" w:sz="24" w:space="8"/>
          <w:right w:val="none" w:color="FFFFFF" w:sz="0"/>
        </w:pBdr>
        <w:shd w:fill="FCEFEA" w:val="clear"/>
        <w:spacing w:after="200" w:before="120" w:line="300"/>
      </w:pPr>
      <w:r>
        <w:rPr>
          <w:b/>
          <w:bCs/>
          <w:color w:val="A0421F"/>
          <w:sz w:val="21"/>
          <w:szCs w:val="21"/>
        </w:rPr>
        <w:t xml:space="preserve">Scope note:  </w:t>
      </w:r>
      <w:r>
        <w:rPr>
          <w:color w:val="333333"/>
          <w:sz w:val="21"/>
          <w:szCs w:val="21"/>
        </w:rPr>
        <w:t xml:space="preserve">this branch's effectiveness depends on how closely the new dataset's schema matches something already in the registry. Both a close-match case and a poor-match case should be tested explicitly in evaluation, rather than assuming the branch always helps.</w:t>
      </w:r>
    </w:p>
    <w:p>
      <w:pPr>
        <w:pStyle w:val="Heading1"/>
        <w:pBdr>
          <w:bottom w:val="single" w:color="1F3864" w:sz="8" w:space="4"/>
        </w:pBdr>
        <w:spacing w:after="220" w:before="480"/>
      </w:pPr>
      <w:r>
        <w:rPr>
          <w:color w:val="1F3864"/>
        </w:rPr>
        <w:t xml:space="preserve">3.  Risk-Tier Assignment Methodology</w:t>
      </w:r>
    </w:p>
    <w:p>
      <w:pPr>
        <w:spacing w:after="160" w:line="300"/>
      </w:pPr>
      <w:r>
        <w:rPr>
          <w:sz w:val="21"/>
          <w:szCs w:val="21"/>
        </w:rPr>
        <w:t xml:space="preserve">This is the central technical claim of the project and the hardest component to automate honestly. Existing DP-GAN and DP-VAE approaches apply one uniform privacy budget across all fields; this framework's differentiator is a non-uniform, per-feature budget. The credibility of that differentiator rests entirely on how defensible the risk-tier logic is — so it is treated here as its own methodology, not a minor implementation detail.</w:t>
      </w:r>
    </w:p>
    <w:p>
      <w:pPr>
        <w:pStyle w:val="Heading2"/>
        <w:spacing w:after="160" w:before="320"/>
      </w:pPr>
      <w:r>
        <w:rPr>
          <w:color w:val="2E5395"/>
        </w:rPr>
        <w:t xml:space="preserve">3.1  Rule-Based Statistical Heuristic</w:t>
      </w:r>
    </w:p>
    <w:p>
      <w:pPr>
        <w:spacing w:after="160" w:line="300"/>
      </w:pPr>
      <w:r>
        <w:rPr>
          <w:sz w:val="21"/>
          <w:szCs w:val="21"/>
        </w:rPr>
        <w:t xml:space="preserve">Each field is scored using two automatically-computed statistics from the dataset profiler:</w:t>
      </w:r>
    </w:p>
    <w:p>
      <w:pPr>
        <w:pStyle w:val="ListParagraph"/>
        <w:numPr>
          <w:ilvl w:val="0"/>
          <w:numId w:val="2"/>
        </w:numPr>
        <w:spacing w:after="100" w:line="280"/>
      </w:pPr>
      <w:r>
        <w:rPr>
          <w:sz w:val="21"/>
          <w:szCs w:val="21"/>
        </w:rPr>
        <w:t xml:space="preserve">Cardinality — number of distinct values relative to dataset size.</w:t>
      </w:r>
    </w:p>
    <w:p>
      <w:pPr>
        <w:pStyle w:val="ListParagraph"/>
        <w:numPr>
          <w:ilvl w:val="0"/>
          <w:numId w:val="2"/>
        </w:numPr>
        <w:spacing w:after="100" w:line="280"/>
      </w:pPr>
      <w:r>
        <w:rPr>
          <w:sz w:val="21"/>
          <w:szCs w:val="21"/>
        </w:rPr>
        <w:t xml:space="preserve">Uniqueness ratio — proportion of values that occur only once or a handful of times.</w:t>
      </w:r>
    </w:p>
    <w:p>
      <w:pPr>
        <w:spacing w:after="160" w:line="300"/>
      </w:pPr>
      <w:r>
        <w:rPr>
          <w:sz w:val="21"/>
          <w:szCs w:val="21"/>
        </w:rPr>
        <w:t xml:space="preserve">High cardinality combined with a high uniqueness ratio routes a field to a tight ε tier (e.g., rare diagnosis/condition codes). Low cardinality combined with common, evenly-distributed values routes a field to a loose ε tier (e.g., broad demographic bands).</w:t>
      </w:r>
    </w:p>
    <w:p>
      <w:pPr>
        <w:pStyle w:val="Heading2"/>
        <w:spacing w:after="160" w:before="320"/>
      </w:pPr>
      <w:r>
        <w:rPr>
          <w:color w:val="2E5395"/>
        </w:rPr>
        <w:t xml:space="preserve">3.2  Regulatory Cross-Reference</w:t>
      </w:r>
    </w:p>
    <w:p>
      <w:pPr>
        <w:spacing w:after="160" w:line="300"/>
      </w:pPr>
      <w:r>
        <w:rPr>
          <w:sz w:val="21"/>
          <w:szCs w:val="21"/>
        </w:rPr>
        <w:t xml:space="preserve">Statistical proxies alone can misfire — a field can be low-cardinality but still a recognized quasi-identifier. To correct for this, every column name is additionally checked against the HIPAA Safe Harbor list of 18 identifier categories. A field is escalated to a tighter tier if either the statistical heuristic or the identifier-category match flags it — the two signals are combined with an “or”, not relied on independently.</w:t>
      </w:r>
    </w:p>
    <w:p>
      <w:pPr>
        <w:pStyle w:val="Heading2"/>
        <w:spacing w:after="160" w:before="320"/>
      </w:pPr>
      <w:r>
        <w:rPr>
          <w:color w:val="2E5395"/>
        </w:rPr>
        <w:t xml:space="preserve">3.3  Empirical Validation Loop</w:t>
      </w:r>
    </w:p>
    <w:p>
      <w:pPr>
        <w:spacing w:after="160" w:line="300"/>
      </w:pPr>
      <w:r>
        <w:rPr>
          <w:sz w:val="21"/>
          <w:szCs w:val="21"/>
        </w:rPr>
        <w:t xml:space="preserve">The heuristic is not asserted as correct — it is tested. After the non-DP baseline model is trained (Phase 4), a per-field attribute-inference or field-level membership attack is run to measure, empirically, which columns actually leak the most about training records. The heuristic's tier assignment is then checked against this empirical ranking:</w:t>
      </w:r>
    </w:p>
    <w:p>
      <w:pPr>
        <w:pStyle w:val="ListParagraph"/>
        <w:numPr>
          <w:ilvl w:val="0"/>
          <w:numId w:val="2"/>
        </w:numPr>
        <w:spacing w:after="100" w:line="280"/>
      </w:pPr>
      <w:r>
        <w:rPr>
          <w:sz w:val="21"/>
          <w:szCs w:val="21"/>
        </w:rPr>
        <w:t xml:space="preserve">If a field labeled “low risk” leaks heavily in practice, the heuristic is corrected or the discrepancy is reported as a known limitation.</w:t>
      </w:r>
    </w:p>
    <w:p>
      <w:pPr>
        <w:pStyle w:val="ListParagraph"/>
        <w:numPr>
          <w:ilvl w:val="0"/>
          <w:numId w:val="2"/>
        </w:numPr>
        <w:spacing w:after="100" w:line="280"/>
      </w:pPr>
      <w:r>
        <w:rPr>
          <w:sz w:val="21"/>
          <w:szCs w:val="21"/>
        </w:rPr>
        <w:t xml:space="preserve">If the tiers correlate well with empirical leakage, this becomes direct evidence — not just a claim — that the mechanism is doing something real.</w:t>
      </w:r>
    </w:p>
    <w:p>
      <w:pPr>
        <w:pBdr>
          <w:top w:val="none" w:color="FFFFFF" w:sz="0"/>
          <w:bottom w:val="none" w:color="FFFFFF" w:sz="0"/>
          <w:left w:val="single" w:color="C0522A" w:sz="24" w:space="8"/>
          <w:right w:val="none" w:color="FFFFFF" w:sz="0"/>
        </w:pBdr>
        <w:shd w:fill="FCEFEA" w:val="clear"/>
        <w:spacing w:after="200" w:before="120" w:line="300"/>
      </w:pPr>
      <w:r>
        <w:rPr>
          <w:b/>
          <w:bCs/>
          <w:color w:val="A0421F"/>
          <w:sz w:val="21"/>
          <w:szCs w:val="21"/>
        </w:rPr>
        <w:t xml:space="preserve">Reporting stance:  </w:t>
      </w:r>
      <w:r>
        <w:rPr>
          <w:color w:val="333333"/>
          <w:sz w:val="21"/>
          <w:szCs w:val="21"/>
        </w:rPr>
        <w:t xml:space="preserve">the report states plainly that this heuristic is a documented proxy for risk, not a substitute for a human privacy officer's judgment, and presents the empirical validation results alongside the heuristic's design rather than asserting correctness outright.</w:t>
      </w:r>
    </w:p>
    <w:p>
      <w:pPr>
        <w:pStyle w:val="Heading1"/>
        <w:pBdr>
          <w:bottom w:val="single" w:color="1F3864" w:sz="8" w:space="4"/>
        </w:pBdr>
        <w:spacing w:after="220" w:before="480"/>
      </w:pPr>
      <w:r>
        <w:rPr>
          <w:color w:val="1F3864"/>
        </w:rPr>
        <w:t xml:space="preserve">4.  Generic Auto-Configuration Framework</w:t>
      </w:r>
    </w:p>
    <w:p>
      <w:pPr>
        <w:spacing w:after="160" w:line="300"/>
      </w:pPr>
      <w:r>
        <w:rPr>
          <w:sz w:val="21"/>
          <w:szCs w:val="21"/>
        </w:rPr>
        <w:t xml:space="preserve">This layer is what allows the phrase “the architecture never changes” to be literally true, rather than requiring a human to reconfigure the pipeline for every new dataset.</w:t>
      </w:r>
    </w:p>
    <w:p>
      <w:pPr>
        <w:pStyle w:val="Heading2"/>
        <w:spacing w:after="160" w:before="320"/>
      </w:pPr>
      <w:r>
        <w:rPr>
          <w:color w:val="2E5395"/>
        </w:rPr>
        <w:t xml:space="preserve">4.1  Dataset Profiler</w:t>
      </w:r>
    </w:p>
    <w:p>
      <w:pPr>
        <w:pStyle w:val="ListParagraph"/>
        <w:numPr>
          <w:ilvl w:val="0"/>
          <w:numId w:val="2"/>
        </w:numPr>
        <w:spacing w:after="100" w:line="280"/>
      </w:pPr>
      <w:r>
        <w:rPr>
          <w:sz w:val="21"/>
          <w:szCs w:val="21"/>
        </w:rPr>
        <w:t xml:space="preserve">Reads dtypes; infers continuous vs. categorical from numeric type and unique-value count.</w:t>
      </w:r>
    </w:p>
    <w:p>
      <w:pPr>
        <w:pStyle w:val="ListParagraph"/>
        <w:numPr>
          <w:ilvl w:val="0"/>
          <w:numId w:val="2"/>
        </w:numPr>
        <w:spacing w:after="100" w:line="280"/>
      </w:pPr>
      <w:r>
        <w:rPr>
          <w:sz w:val="21"/>
          <w:szCs w:val="21"/>
        </w:rPr>
        <w:t xml:space="preserve">Flags high-cardinality categorical columns above a defined threshold for embedding-based encoding instead of one-hot.</w:t>
      </w:r>
    </w:p>
    <w:p>
      <w:pPr>
        <w:pStyle w:val="ListParagraph"/>
        <w:numPr>
          <w:ilvl w:val="0"/>
          <w:numId w:val="2"/>
        </w:numPr>
        <w:spacing w:after="100" w:line="280"/>
      </w:pPr>
      <w:r>
        <w:rPr>
          <w:sz w:val="21"/>
          <w:szCs w:val="21"/>
        </w:rPr>
        <w:t xml:space="preserve">Computes per-column missingness rate.</w:t>
      </w:r>
    </w:p>
    <w:p>
      <w:pPr>
        <w:pStyle w:val="ListParagraph"/>
        <w:numPr>
          <w:ilvl w:val="0"/>
          <w:numId w:val="2"/>
        </w:numPr>
        <w:spacing w:after="100" w:line="280"/>
      </w:pPr>
      <w:r>
        <w:rPr>
          <w:sz w:val="21"/>
          <w:szCs w:val="21"/>
        </w:rPr>
        <w:t xml:space="preserve">Reads dataset size N, which drives the pretrain-vs-scratch decision.</w:t>
      </w:r>
    </w:p>
    <w:p>
      <w:pPr>
        <w:pStyle w:val="Heading2"/>
        <w:spacing w:after="160" w:before="320"/>
      </w:pPr>
      <w:r>
        <w:rPr>
          <w:color w:val="2E5395"/>
        </w:rPr>
        <w:t xml:space="preserve">4.2  Auto-Config Engine</w:t>
      </w:r>
    </w:p>
    <w:p>
      <w:pPr>
        <w:pStyle w:val="ListParagraph"/>
        <w:numPr>
          <w:ilvl w:val="0"/>
          <w:numId w:val="2"/>
        </w:numPr>
        <w:spacing w:after="100" w:line="280"/>
      </w:pPr>
      <w:r>
        <w:rPr>
          <w:sz w:val="21"/>
          <w:szCs w:val="21"/>
        </w:rPr>
        <w:t xml:space="preserve">Assigns risk tiers using the methodology in Section 3.</w:t>
      </w:r>
    </w:p>
    <w:p>
      <w:pPr>
        <w:pStyle w:val="ListParagraph"/>
        <w:numPr>
          <w:ilvl w:val="0"/>
          <w:numId w:val="2"/>
        </w:numPr>
        <w:spacing w:after="100" w:line="280"/>
      </w:pPr>
      <w:r>
        <w:rPr>
          <w:sz w:val="21"/>
          <w:szCs w:val="21"/>
        </w:rPr>
        <w:t xml:space="preserve">Decides pretrain-vs-scratch (Section 2.3) based on N against a defined threshold.</w:t>
      </w:r>
    </w:p>
    <w:p>
      <w:pPr>
        <w:pStyle w:val="ListParagraph"/>
        <w:numPr>
          <w:ilvl w:val="0"/>
          <w:numId w:val="2"/>
        </w:numPr>
        <w:spacing w:after="100" w:line="280"/>
      </w:pPr>
      <w:r>
        <w:rPr>
          <w:sz w:val="21"/>
          <w:szCs w:val="21"/>
        </w:rPr>
        <w:t xml:space="preserve">Sets clipping norm C from a short warm-up run's gradient-norm statistics.</w:t>
      </w:r>
    </w:p>
    <w:p>
      <w:pPr>
        <w:pStyle w:val="ListParagraph"/>
        <w:numPr>
          <w:ilvl w:val="0"/>
          <w:numId w:val="2"/>
        </w:numPr>
        <w:spacing w:after="100" w:line="280"/>
      </w:pPr>
      <w:r>
        <w:rPr>
          <w:sz w:val="21"/>
          <w:szCs w:val="21"/>
        </w:rPr>
        <w:t xml:space="preserve">Solves for noise multiplier σ via the privacy accountant, given N, batch size, and a target ε.</w:t>
      </w:r>
    </w:p>
    <w:p>
      <w:pPr>
        <w:pStyle w:val="ListParagraph"/>
        <w:numPr>
          <w:ilvl w:val="0"/>
          <w:numId w:val="2"/>
        </w:numPr>
        <w:spacing w:after="100" w:line="280"/>
      </w:pPr>
      <w:r>
        <w:rPr>
          <w:sz w:val="21"/>
          <w:szCs w:val="21"/>
        </w:rPr>
        <w:t xml:space="preserve">Sizes the denoising network's input/output layers from however many columns and embeddings the profiler found.</w:t>
      </w:r>
    </w:p>
    <w:p>
      <w:pPr>
        <w:pStyle w:val="Heading2"/>
        <w:spacing w:after="160" w:before="320"/>
      </w:pPr>
      <w:r>
        <w:rPr>
          <w:color w:val="2E5395"/>
        </w:rPr>
        <w:t xml:space="preserve">4.3  Scoping Statement</w:t>
      </w:r>
    </w:p>
    <w:p>
      <w:pPr>
        <w:spacing w:after="160" w:line="300"/>
      </w:pPr>
      <w:r>
        <w:rPr>
          <w:sz w:val="21"/>
          <w:szCs w:val="21"/>
        </w:rPr>
        <w:t xml:space="preserve">Within the current project scope, this framework will be validated across the datasets already available to the project — UCI Diabetes 130-US Hospitals, CDC BRFSS, and the smaller UCI Heart/Cervical sets — rather than claimed to work on any arbitrary healthcare dataset without limit. The deliverable is described as “a framework validated across structurally-varied healthcare datasets,” which is a defensible claim within scope, rather than an unbounded universality claim that cannot be fully tested without further validation.</w:t>
      </w:r>
    </w:p>
    <w:p>
      <w:pPr>
        <w:pStyle w:val="Heading1"/>
        <w:pBdr>
          <w:bottom w:val="single" w:color="1F3864" w:sz="8" w:space="4"/>
        </w:pBdr>
        <w:spacing w:after="220" w:before="480"/>
      </w:pPr>
      <w:r>
        <w:rPr>
          <w:color w:val="1F3864"/>
        </w:rPr>
        <w:t xml:space="preserve">5.  End-to-End Workflow</w:t>
      </w:r>
    </w:p>
    <w:p>
      <w:pPr>
        <w:spacing w:after="160" w:line="300"/>
      </w:pPr>
      <w:r>
        <w:rPr>
          <w:sz w:val="21"/>
          <w:szCs w:val="21"/>
        </w:rPr>
        <w:t xml:space="preserve">The workflow follows the ten original project phases, with Phase 5b inserted for the small-dataset branch. Phases are sequenced by dependency, not by calendar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60"/>
        <w:gridCol w:w="4300"/>
      </w:tblGrid>
      <w:tr>
        <w:trPr>
          <w:tblHeader/>
        </w:trPr>
        <w:tc>
          <w:tcPr>
            <w:tcW w:type="dxa" w:w="500"/>
            <w:shd w:fill="1F3864"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4300"/>
            <w:shd w:fill="1F3864" w:val="clear"/>
            <w:tcMar>
              <w:top w:type="dxa" w:w="80"/>
              <w:left w:type="dxa" w:w="100"/>
              <w:bottom w:type="dxa" w:w="80"/>
              <w:right w:type="dxa" w:w="100"/>
            </w:tcMar>
            <w:vAlign w:val="center"/>
          </w:tcPr>
          <w:p>
            <w:pPr>
              <w:jc w:val="left"/>
            </w:pPr>
            <w:r>
              <w:rPr>
                <w:b/>
                <w:bCs/>
                <w:color w:val="FFFFFF"/>
                <w:sz w:val="19"/>
                <w:szCs w:val="19"/>
              </w:rPr>
              <w:t xml:space="preserve">Key Output</w:t>
            </w:r>
          </w:p>
        </w:tc>
      </w:tr>
      <w:tr>
        <w:tc>
          <w:tcPr>
            <w:tcW w:type="dxa" w:w="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45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Literature review &amp; scope finalization</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Locked novelty mechanism, related-work summary</w:t>
            </w:r>
          </w:p>
        </w:tc>
      </w:tr>
      <w:tr>
        <w:tc>
          <w:tcPr>
            <w:tcW w:type="dxa" w:w="5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45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Tool &amp; environment setup (parallel)</w:t>
            </w:r>
          </w:p>
        </w:tc>
        <w:tc>
          <w:tcPr>
            <w:tcW w:type="dxa" w:w="43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Kaggle, VS Code + Cline, Antigravity ×5 configured</w:t>
            </w:r>
          </w:p>
        </w:tc>
      </w:tr>
      <w:tr>
        <w:tc>
          <w:tcPr>
            <w:tcW w:type="dxa" w:w="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45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Data acquisition &amp; preprocessing</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Cleaned tensor dataset + schema registry</w:t>
            </w:r>
          </w:p>
        </w:tc>
      </w:tr>
      <w:tr>
        <w:tc>
          <w:tcPr>
            <w:tcW w:type="dxa" w:w="5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45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Baseline diffusion model (non-DP)</w:t>
            </w:r>
          </w:p>
        </w:tc>
        <w:tc>
          <w:tcPr>
            <w:tcW w:type="dxa" w:w="43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Working generator, frozen baseline for comparison</w:t>
            </w:r>
          </w:p>
        </w:tc>
      </w:tr>
      <w:tr>
        <w:tc>
          <w:tcPr>
            <w:tcW w:type="dxa" w:w="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5</w:t>
            </w:r>
          </w:p>
        </w:tc>
        <w:tc>
          <w:tcPr>
            <w:tcW w:type="dxa" w:w="45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DP integration + novel mechanism</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Adaptive schedule + per-feature budgets implemented</w:t>
            </w:r>
          </w:p>
        </w:tc>
      </w:tr>
      <w:tr>
        <w:tc>
          <w:tcPr>
            <w:tcW w:type="dxa" w:w="5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5b</w:t>
            </w:r>
          </w:p>
        </w:tc>
        <w:tc>
          <w:tcPr>
            <w:tcW w:type="dxa" w:w="45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Small-dataset branch (parallel)</w:t>
            </w:r>
          </w:p>
        </w:tc>
        <w:tc>
          <w:tcPr>
            <w:tcW w:type="dxa" w:w="43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Model registry + adapter fine-tuning path implemented</w:t>
            </w:r>
          </w:p>
        </w:tc>
      </w:tr>
      <w:tr>
        <w:tc>
          <w:tcPr>
            <w:tcW w:type="dxa" w:w="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6</w:t>
            </w:r>
          </w:p>
        </w:tc>
        <w:tc>
          <w:tcPr>
            <w:tcW w:type="dxa" w:w="45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Training runs &amp; hyperparameter tuning</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Checkpoint per ε value</w:t>
            </w:r>
          </w:p>
        </w:tc>
      </w:tr>
      <w:tr>
        <w:tc>
          <w:tcPr>
            <w:tcW w:type="dxa" w:w="5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7</w:t>
            </w:r>
          </w:p>
        </w:tc>
        <w:tc>
          <w:tcPr>
            <w:tcW w:type="dxa" w:w="45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Evaluation</w:t>
            </w:r>
          </w:p>
        </w:tc>
        <w:tc>
          <w:tcPr>
            <w:tcW w:type="dxa" w:w="43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MIA results, utility scores, five visualizations</w:t>
            </w:r>
          </w:p>
        </w:tc>
      </w:tr>
      <w:tr>
        <w:tc>
          <w:tcPr>
            <w:tcW w:type="dxa" w:w="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8</w:t>
            </w:r>
          </w:p>
        </w:tc>
        <w:tc>
          <w:tcPr>
            <w:tcW w:type="dxa" w:w="45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Buffer / extra training iterations</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Refined Pareto frontier</w:t>
            </w:r>
          </w:p>
        </w:tc>
      </w:tr>
      <w:tr>
        <w:tc>
          <w:tcPr>
            <w:tcW w:type="dxa" w:w="5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9</w:t>
            </w:r>
          </w:p>
        </w:tc>
        <w:tc>
          <w:tcPr>
            <w:tcW w:type="dxa" w:w="45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Report writing &amp; documentation (parallel throughout)</w:t>
            </w:r>
          </w:p>
        </w:tc>
        <w:tc>
          <w:tcPr>
            <w:tcW w:type="dxa" w:w="43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Draft report sections completed alongside development</w:t>
            </w:r>
          </w:p>
        </w:tc>
      </w:tr>
      <w:tr>
        <w:tc>
          <w:tcPr>
            <w:tcW w:type="dxa" w:w="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10</w:t>
            </w:r>
          </w:p>
        </w:tc>
        <w:tc>
          <w:tcPr>
            <w:tcW w:type="dxa" w:w="45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Final review &amp; submission</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Polished report, figures, final submission package</w:t>
            </w:r>
          </w:p>
        </w:tc>
      </w:tr>
    </w:tbl>
    <w:p>
      <w:pPr>
        <w:pStyle w:val="Heading1"/>
        <w:pBdr>
          <w:bottom w:val="single" w:color="1F3864" w:sz="8" w:space="4"/>
        </w:pBdr>
        <w:spacing w:after="220" w:before="480"/>
      </w:pPr>
      <w:r>
        <w:rPr>
          <w:color w:val="1F3864"/>
        </w:rPr>
        <w:t xml:space="preserve">6.  Data Flow</w:t>
      </w:r>
    </w:p>
    <w:p>
      <w:pPr>
        <w:spacing w:after="160" w:line="300"/>
      </w:pPr>
      <w:r>
        <w:rPr>
          <w:sz w:val="21"/>
          <w:szCs w:val="21"/>
        </w:rPr>
        <w:t xml:space="preserve">The data flow below traces one record from raw input to final synthetic output and evaluation.</w:t>
      </w:r>
    </w:p>
    <w:p>
      <w:pPr>
        <w:shd w:fill="F2F2F2" w:val="clear"/>
        <w:spacing w:after="0" w:before="0"/>
      </w:pPr>
      <w:r>
        <w:rPr>
          <w:rFonts w:ascii="Consolas" w:cs="Consolas" w:eastAsia="Consolas" w:hAnsi="Consolas"/>
          <w:color w:val="1B1B1B"/>
          <w:sz w:val="18"/>
          <w:szCs w:val="18"/>
        </w:rPr>
        <w:t xml:space="preserve">RAW DATASET (any structured healthcare table)</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DATASET PROFILER            -&gt; column types, cardinality, N, missingness</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AUTO-CONFIG ENGINE          -&gt; risk tiers, pretrain/scratch decision, hyperparameters</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PREPROCESSING                -&gt; missingness flags, encoding, per-field scaling (saved),</w:t>
      </w:r>
    </w:p>
    <w:p>
      <w:pPr>
        <w:shd w:fill="F2F2F2" w:val="clear"/>
        <w:spacing w:after="0" w:before="0"/>
      </w:pPr>
      <w:r>
        <w:rPr>
          <w:rFonts w:ascii="Consolas" w:cs="Consolas" w:eastAsia="Consolas" w:hAnsi="Consolas"/>
          <w:color w:val="1B1B1B"/>
          <w:sz w:val="18"/>
          <w:szCs w:val="18"/>
        </w:rPr>
        <w:t xml:space="preserve">                                 schema alignment</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TENSOR DATASET (model-ready) + SCHEMA REGISTRY</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[N below threshold?]</w:t>
      </w:r>
    </w:p>
    <w:p>
      <w:pPr>
        <w:shd w:fill="F2F2F2" w:val="clear"/>
        <w:spacing w:after="0" w:before="0"/>
      </w:pPr>
      <w:r>
        <w:rPr>
          <w:rFonts w:ascii="Consolas" w:cs="Consolas" w:eastAsia="Consolas" w:hAnsi="Consolas"/>
          <w:color w:val="1B1B1B"/>
          <w:sz w:val="18"/>
          <w:szCs w:val="18"/>
        </w:rPr>
        <w:t xml:space="preserve">     |            |</w:t>
      </w:r>
    </w:p>
    <w:p>
      <w:pPr>
        <w:shd w:fill="F2F2F2" w:val="clear"/>
        <w:spacing w:after="0" w:before="0"/>
      </w:pPr>
      <w:r>
        <w:rPr>
          <w:rFonts w:ascii="Consolas" w:cs="Consolas" w:eastAsia="Consolas" w:hAnsi="Consolas"/>
          <w:color w:val="1B1B1B"/>
          <w:sz w:val="18"/>
          <w:szCs w:val="18"/>
        </w:rPr>
        <w:t xml:space="preserve">    NO           YES</w:t>
      </w:r>
    </w:p>
    <w:p>
      <w:pPr>
        <w:shd w:fill="F2F2F2" w:val="clear"/>
        <w:spacing w:after="0" w:before="0"/>
      </w:pPr>
      <w:r>
        <w:rPr>
          <w:rFonts w:ascii="Consolas" w:cs="Consolas" w:eastAsia="Consolas" w:hAnsi="Consolas"/>
          <w:color w:val="1B1B1B"/>
          <w:sz w:val="18"/>
          <w:szCs w:val="18"/>
        </w:rPr>
        <w:t xml:space="preserve">     |            |</w:t>
      </w:r>
    </w:p>
    <w:p>
      <w:pPr>
        <w:shd w:fill="F2F2F2" w:val="clear"/>
        <w:spacing w:after="0" w:before="0"/>
      </w:pPr>
      <w:r>
        <w:rPr>
          <w:rFonts w:ascii="Consolas" w:cs="Consolas" w:eastAsia="Consolas" w:hAnsi="Consolas"/>
          <w:color w:val="1B1B1B"/>
          <w:sz w:val="18"/>
          <w:szCs w:val="18"/>
        </w:rPr>
        <w:t xml:space="preserve">     v            v</w:t>
      </w:r>
    </w:p>
    <w:p>
      <w:pPr>
        <w:shd w:fill="F2F2F2" w:val="clear"/>
        <w:spacing w:after="0" w:before="0"/>
      </w:pPr>
      <w:r>
        <w:rPr>
          <w:rFonts w:ascii="Consolas" w:cs="Consolas" w:eastAsia="Consolas" w:hAnsi="Consolas"/>
          <w:color w:val="1B1B1B"/>
          <w:sz w:val="18"/>
          <w:szCs w:val="18"/>
        </w:rPr>
        <w:t xml:space="preserve">  TRAIN FROM   MODEL REGISTRY LOOKUP -&gt; ATTACH SCHEMA ADAPTER</w:t>
      </w:r>
    </w:p>
    <w:p>
      <w:pPr>
        <w:shd w:fill="F2F2F2" w:val="clear"/>
        <w:spacing w:after="0" w:before="0"/>
      </w:pPr>
      <w:r>
        <w:rPr>
          <w:rFonts w:ascii="Consolas" w:cs="Consolas" w:eastAsia="Consolas" w:hAnsi="Consolas"/>
          <w:color w:val="1B1B1B"/>
          <w:sz w:val="18"/>
          <w:szCs w:val="18"/>
        </w:rPr>
        <w:t xml:space="preserve">  SCRATCH             |</w:t>
      </w:r>
    </w:p>
    <w:p>
      <w:pPr>
        <w:shd w:fill="F2F2F2" w:val="clear"/>
        <w:spacing w:after="0" w:before="0"/>
      </w:pPr>
      <w:r>
        <w:rPr>
          <w:rFonts w:ascii="Consolas" w:cs="Consolas" w:eastAsia="Consolas" w:hAnsi="Consolas"/>
          <w:color w:val="1B1B1B"/>
          <w:sz w:val="18"/>
          <w:szCs w:val="18"/>
        </w:rPr>
        <w:t xml:space="preserve">     |                v</w:t>
      </w:r>
    </w:p>
    <w:p>
      <w:pPr>
        <w:shd w:fill="F2F2F2" w:val="clear"/>
        <w:spacing w:after="0" w:before="0"/>
      </w:pPr>
      <w:r>
        <w:rPr>
          <w:rFonts w:ascii="Consolas" w:cs="Consolas" w:eastAsia="Consolas" w:hAnsi="Consolas"/>
          <w:color w:val="1B1B1B"/>
          <w:sz w:val="18"/>
          <w:szCs w:val="18"/>
        </w:rPr>
        <w:t xml:space="preserve">     |          DP FINE-TUNE ADAPTER ONLY</w:t>
      </w:r>
    </w:p>
    <w:p>
      <w:pPr>
        <w:shd w:fill="F2F2F2" w:val="clear"/>
        <w:spacing w:after="0" w:before="0"/>
      </w:pPr>
      <w:r>
        <w:rPr>
          <w:rFonts w:ascii="Consolas" w:cs="Consolas" w:eastAsia="Consolas" w:hAnsi="Consolas"/>
          <w:color w:val="1B1B1B"/>
          <w:sz w:val="18"/>
          <w:szCs w:val="18"/>
        </w:rPr>
        <w:t xml:space="preserve">     |                |</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DIFFUSION + DP-SGD TRAINING</w:t>
      </w:r>
    </w:p>
    <w:p>
      <w:pPr>
        <w:shd w:fill="F2F2F2" w:val="clear"/>
        <w:spacing w:after="0" w:before="0"/>
      </w:pPr>
      <w:r>
        <w:rPr>
          <w:rFonts w:ascii="Consolas" w:cs="Consolas" w:eastAsia="Consolas" w:hAnsi="Consolas"/>
          <w:color w:val="1B1B1B"/>
          <w:sz w:val="18"/>
          <w:szCs w:val="18"/>
        </w:rPr>
        <w:t xml:space="preserve">   (adaptive noise schedule, per-feature ε budgets, privacy accountant)</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TRAINED CHECKPOINT (per ε)</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REVERSE SAMPLING (pure Gaussian noise -&gt; denoise, T to 0)</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INVERSE TRANSFORM (unscale, decode categories, reinsert</w:t>
      </w:r>
    </w:p>
    <w:p>
      <w:pPr>
        <w:shd w:fill="F2F2F2" w:val="clear"/>
        <w:spacing w:after="0" w:before="0"/>
      </w:pPr>
      <w:r>
        <w:rPr>
          <w:rFonts w:ascii="Consolas" w:cs="Consolas" w:eastAsia="Consolas" w:hAnsi="Consolas"/>
          <w:color w:val="1B1B1B"/>
          <w:sz w:val="18"/>
          <w:szCs w:val="18"/>
        </w:rPr>
        <w:t xml:space="preserve">   missingness, reapply original column order/dtypes)</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SYNTHETIC DATAFRAME (schema-identical to raw input)</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EVALUATION SUITE (MIA, statistical similarity, downstream utility)</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METRICS + PARETO FRONTIER (across ε sweep)</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v</w:t>
      </w:r>
    </w:p>
    <w:p>
      <w:pPr>
        <w:shd w:fill="F2F2F2" w:val="clear"/>
        <w:spacing w:after="0" w:before="0"/>
      </w:pPr>
      <w:r>
        <w:rPr>
          <w:rFonts w:ascii="Consolas" w:cs="Consolas" w:eastAsia="Consolas" w:hAnsi="Consolas"/>
          <w:color w:val="1B1B1B"/>
          <w:sz w:val="18"/>
          <w:szCs w:val="18"/>
        </w:rPr>
        <w:t xml:space="preserve">   EXPORT + DASHBOARD (CSV, model + registry package, five visualizations, report)</w:t>
      </w:r>
    </w:p>
    <w:p>
      <w:pPr>
        <w:spacing w:after="100"/>
      </w:pPr>
    </w:p>
    <w:p>
      <w:pPr>
        <w:pStyle w:val="Heading1"/>
        <w:pBdr>
          <w:bottom w:val="single" w:color="1F3864" w:sz="8" w:space="4"/>
        </w:pBdr>
        <w:spacing w:after="220" w:before="480"/>
      </w:pPr>
      <w:r>
        <w:rPr>
          <w:color w:val="1F3864"/>
        </w:rPr>
        <w:t xml:space="preserve">7.  Process Flow and Core Algorithms</w:t>
      </w:r>
    </w:p>
    <w:p>
      <w:pPr>
        <w:pStyle w:val="Heading2"/>
        <w:spacing w:after="160" w:before="320"/>
      </w:pPr>
      <w:r>
        <w:rPr>
          <w:color w:val="2E5395"/>
        </w:rPr>
        <w:t xml:space="preserve">7.1  Preprocessing</w:t>
      </w:r>
    </w:p>
    <w:p>
      <w:pPr>
        <w:shd w:fill="F2F2F2" w:val="clear"/>
        <w:spacing w:after="0" w:before="0"/>
      </w:pPr>
      <w:r>
        <w:rPr>
          <w:rFonts w:ascii="Consolas" w:cs="Consolas" w:eastAsia="Consolas" w:hAnsi="Consolas"/>
          <w:color w:val="1B1B1B"/>
          <w:sz w:val="18"/>
          <w:szCs w:val="18"/>
        </w:rPr>
        <w:t xml:space="preserve">for each dataset in [UCI_Diabetes, BRFSS, UCI_other, ...]:</w:t>
      </w:r>
    </w:p>
    <w:p>
      <w:pPr>
        <w:shd w:fill="F2F2F2" w:val="clear"/>
        <w:spacing w:after="0" w:before="0"/>
      </w:pPr>
      <w:r>
        <w:rPr>
          <w:rFonts w:ascii="Consolas" w:cs="Consolas" w:eastAsia="Consolas" w:hAnsi="Consolas"/>
          <w:color w:val="1B1B1B"/>
          <w:sz w:val="18"/>
          <w:szCs w:val="18"/>
        </w:rPr>
        <w:t xml:space="preserve">    df = load(dataset)</w:t>
      </w:r>
    </w:p>
    <w:p>
      <w:pPr>
        <w:shd w:fill="F2F2F2" w:val="clear"/>
        <w:spacing w:after="0" w:before="0"/>
      </w:pPr>
      <w:r>
        <w:rPr>
          <w:rFonts w:ascii="Consolas" w:cs="Consolas" w:eastAsia="Consolas" w:hAnsi="Consolas"/>
          <w:color w:val="1B1B1B"/>
          <w:sz w:val="18"/>
          <w:szCs w:val="18"/>
        </w:rPr>
        <w:t xml:space="preserve">    for col in df.columns:</w:t>
      </w:r>
    </w:p>
    <w:p>
      <w:pPr>
        <w:shd w:fill="F2F2F2" w:val="clear"/>
        <w:spacing w:after="0" w:before="0"/>
      </w:pPr>
      <w:r>
        <w:rPr>
          <w:rFonts w:ascii="Consolas" w:cs="Consolas" w:eastAsia="Consolas" w:hAnsi="Consolas"/>
          <w:color w:val="1B1B1B"/>
          <w:sz w:val="18"/>
          <w:szCs w:val="18"/>
        </w:rPr>
        <w:t xml:space="preserve">        type[col] = classify(col)                 # continuous | categorical | binary</w:t>
      </w:r>
    </w:p>
    <w:p>
      <w:pPr>
        <w:shd w:fill="F2F2F2" w:val="clear"/>
        <w:spacing w:after="0" w:before="0"/>
      </w:pPr>
      <w:r>
        <w:rPr>
          <w:rFonts w:ascii="Consolas" w:cs="Consolas" w:eastAsia="Consolas" w:hAnsi="Consolas"/>
          <w:color w:val="1B1B1B"/>
          <w:sz w:val="18"/>
          <w:szCs w:val="18"/>
        </w:rPr>
        <w:t xml:space="preserve">        if df[col].has_missing():</w:t>
      </w:r>
    </w:p>
    <w:p>
      <w:pPr>
        <w:shd w:fill="F2F2F2" w:val="clear"/>
        <w:spacing w:after="0" w:before="0"/>
      </w:pPr>
      <w:r>
        <w:rPr>
          <w:rFonts w:ascii="Consolas" w:cs="Consolas" w:eastAsia="Consolas" w:hAnsi="Consolas"/>
          <w:color w:val="1B1B1B"/>
          <w:sz w:val="18"/>
          <w:szCs w:val="18"/>
        </w:rPr>
        <w:t xml:space="preserve">            df[col + "_missing"] = df[col].isna()</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for col in continuous_cols:</w:t>
      </w:r>
    </w:p>
    <w:p>
      <w:pPr>
        <w:shd w:fill="F2F2F2" w:val="clear"/>
        <w:spacing w:after="0" w:before="0"/>
      </w:pPr>
      <w:r>
        <w:rPr>
          <w:rFonts w:ascii="Consolas" w:cs="Consolas" w:eastAsia="Consolas" w:hAnsi="Consolas"/>
          <w:color w:val="1B1B1B"/>
          <w:sz w:val="18"/>
          <w:szCs w:val="18"/>
        </w:rPr>
        <w:t xml:space="preserve">        scaler[col] = fit_scaler(df[col])</w:t>
      </w:r>
    </w:p>
    <w:p>
      <w:pPr>
        <w:shd w:fill="F2F2F2" w:val="clear"/>
        <w:spacing w:after="0" w:before="0"/>
      </w:pPr>
      <w:r>
        <w:rPr>
          <w:rFonts w:ascii="Consolas" w:cs="Consolas" w:eastAsia="Consolas" w:hAnsi="Consolas"/>
          <w:color w:val="1B1B1B"/>
          <w:sz w:val="18"/>
          <w:szCs w:val="18"/>
        </w:rPr>
        <w:t xml:space="preserve">        df[col] = scaler[col].transform(df[col])</w:t>
      </w:r>
    </w:p>
    <w:p>
      <w:pPr>
        <w:shd w:fill="F2F2F2" w:val="clear"/>
        <w:spacing w:after="0" w:before="0"/>
      </w:pPr>
      <w:r>
        <w:rPr>
          <w:rFonts w:ascii="Consolas" w:cs="Consolas" w:eastAsia="Consolas" w:hAnsi="Consolas"/>
          <w:color w:val="1B1B1B"/>
          <w:sz w:val="18"/>
          <w:szCs w:val="18"/>
        </w:rPr>
        <w:t xml:space="preserve">        registry.save_scaler(col, scaler[col])     # required for inverse transform</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for col in high_cardinality_categorical_cols:</w:t>
      </w:r>
    </w:p>
    <w:p>
      <w:pPr>
        <w:shd w:fill="F2F2F2" w:val="clear"/>
        <w:spacing w:after="0" w:before="0"/>
      </w:pPr>
      <w:r>
        <w:rPr>
          <w:rFonts w:ascii="Consolas" w:cs="Consolas" w:eastAsia="Consolas" w:hAnsi="Consolas"/>
          <w:color w:val="1B1B1B"/>
          <w:sz w:val="18"/>
          <w:szCs w:val="18"/>
        </w:rPr>
        <w:t xml:space="preserve">        vocab[col] = build_hierarchy_or_embedding(df[col])</w:t>
      </w:r>
    </w:p>
    <w:p>
      <w:pPr>
        <w:shd w:fill="F2F2F2" w:val="clear"/>
        <w:spacing w:after="0" w:before="0"/>
      </w:pPr>
      <w:r>
        <w:rPr>
          <w:rFonts w:ascii="Consolas" w:cs="Consolas" w:eastAsia="Consolas" w:hAnsi="Consolas"/>
          <w:color w:val="1B1B1B"/>
          <w:sz w:val="18"/>
          <w:szCs w:val="18"/>
        </w:rPr>
        <w:t xml:space="preserve">        df[col] = vocab[col].encode(df[col])</w:t>
      </w:r>
    </w:p>
    <w:p>
      <w:pPr>
        <w:shd w:fill="F2F2F2" w:val="clear"/>
        <w:spacing w:after="0" w:before="0"/>
      </w:pPr>
      <w:r>
        <w:rPr>
          <w:rFonts w:ascii="Consolas" w:cs="Consolas" w:eastAsia="Consolas" w:hAnsi="Consolas"/>
          <w:color w:val="1B1B1B"/>
          <w:sz w:val="18"/>
          <w:szCs w:val="18"/>
        </w:rPr>
        <w:t xml:space="preserve">        registry.save_vocab(col, vocab[col])</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for col in low_cardinality_categorical_cols:</w:t>
      </w:r>
    </w:p>
    <w:p>
      <w:pPr>
        <w:shd w:fill="F2F2F2" w:val="clear"/>
        <w:spacing w:after="0" w:before="0"/>
      </w:pPr>
      <w:r>
        <w:rPr>
          <w:rFonts w:ascii="Consolas" w:cs="Consolas" w:eastAsia="Consolas" w:hAnsi="Consolas"/>
          <w:color w:val="1B1B1B"/>
          <w:sz w:val="18"/>
          <w:szCs w:val="18"/>
        </w:rPr>
        <w:t xml:space="preserve">        df[col] = one_hot_encode(df[col])</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tensor_dataset = to_tensor(align_schema(df))</w:t>
      </w:r>
    </w:p>
    <w:p>
      <w:pPr>
        <w:shd w:fill="F2F2F2" w:val="clear"/>
        <w:spacing w:after="0" w:before="0"/>
      </w:pPr>
      <w:r>
        <w:rPr>
          <w:rFonts w:ascii="Consolas" w:cs="Consolas" w:eastAsia="Consolas" w:hAnsi="Consolas"/>
          <w:color w:val="1B1B1B"/>
          <w:sz w:val="18"/>
          <w:szCs w:val="18"/>
        </w:rPr>
        <w:t xml:space="preserve">registry.save_column_order(df.columns)</w:t>
      </w:r>
    </w:p>
    <w:p>
      <w:pPr>
        <w:pStyle w:val="Heading2"/>
        <w:spacing w:after="160" w:before="320"/>
      </w:pPr>
      <w:r>
        <w:rPr>
          <w:color w:val="2E5395"/>
        </w:rPr>
        <w:t xml:space="preserve">7.2  Training Loop — Diffusion + DP-SGD + Adaptive Mechanisms</w:t>
      </w:r>
    </w:p>
    <w:p>
      <w:pPr>
        <w:shd w:fill="F2F2F2" w:val="clear"/>
        <w:spacing w:after="0" w:before="0"/>
      </w:pPr>
      <w:r>
        <w:rPr>
          <w:rFonts w:ascii="Consolas" w:cs="Consolas" w:eastAsia="Consolas" w:hAnsi="Consolas"/>
          <w:color w:val="1B1B1B"/>
          <w:sz w:val="18"/>
          <w:szCs w:val="18"/>
        </w:rPr>
        <w:t xml:space="preserve">initialize denoising_network θ</w:t>
      </w:r>
    </w:p>
    <w:p>
      <w:pPr>
        <w:shd w:fill="F2F2F2" w:val="clear"/>
        <w:spacing w:after="0" w:before="0"/>
      </w:pPr>
      <w:r>
        <w:rPr>
          <w:rFonts w:ascii="Consolas" w:cs="Consolas" w:eastAsia="Consolas" w:hAnsi="Consolas"/>
          <w:color w:val="1B1B1B"/>
          <w:sz w:val="18"/>
          <w:szCs w:val="18"/>
        </w:rPr>
        <w:t xml:space="preserve">initialize privacy_accountant</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for epoch in range(num_epochs):</w:t>
      </w:r>
    </w:p>
    <w:p>
      <w:pPr>
        <w:shd w:fill="F2F2F2" w:val="clear"/>
        <w:spacing w:after="0" w:before="0"/>
      </w:pPr>
      <w:r>
        <w:rPr>
          <w:rFonts w:ascii="Consolas" w:cs="Consolas" w:eastAsia="Consolas" w:hAnsi="Consolas"/>
          <w:color w:val="1B1B1B"/>
          <w:sz w:val="18"/>
          <w:szCs w:val="18"/>
        </w:rPr>
        <w:t xml:space="preserve">    for batch in tensor_dataset:</w:t>
      </w:r>
    </w:p>
    <w:p>
      <w:pPr>
        <w:shd w:fill="F2F2F2" w:val="clear"/>
        <w:spacing w:after="0" w:before="0"/>
      </w:pPr>
      <w:r>
        <w:rPr>
          <w:rFonts w:ascii="Consolas" w:cs="Consolas" w:eastAsia="Consolas" w:hAnsi="Consolas"/>
          <w:color w:val="1B1B1B"/>
          <w:sz w:val="18"/>
          <w:szCs w:val="18"/>
        </w:rPr>
        <w:t xml:space="preserve">        t = sample_random_timestep()</w:t>
      </w:r>
    </w:p>
    <w:p>
      <w:pPr>
        <w:shd w:fill="F2F2F2" w:val="clear"/>
        <w:spacing w:after="0" w:before="0"/>
      </w:pPr>
      <w:r>
        <w:rPr>
          <w:rFonts w:ascii="Consolas" w:cs="Consolas" w:eastAsia="Consolas" w:hAnsi="Consolas"/>
          <w:color w:val="1B1B1B"/>
          <w:sz w:val="18"/>
          <w:szCs w:val="18"/>
        </w:rPr>
        <w:t xml:space="preserve">        sigma_t = adaptive_noise_multiplier(t)   # low early, high late</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x_t, true_noise = forward_diffuse(batch, t)</w:t>
      </w:r>
    </w:p>
    <w:p>
      <w:pPr>
        <w:shd w:fill="F2F2F2" w:val="clear"/>
        <w:spacing w:after="0" w:before="0"/>
      </w:pPr>
      <w:r>
        <w:rPr>
          <w:rFonts w:ascii="Consolas" w:cs="Consolas" w:eastAsia="Consolas" w:hAnsi="Consolas"/>
          <w:color w:val="1B1B1B"/>
          <w:sz w:val="18"/>
          <w:szCs w:val="18"/>
        </w:rPr>
        <w:t xml:space="preserve">        pred_noise = denoising_network(x_t, t)</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per_record_grads = compute_per_sample_gradients(loss(pred_noise, true_noise))</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for tier in [high_risk, mid_risk, low_risk]:</w:t>
      </w:r>
    </w:p>
    <w:p>
      <w:pPr>
        <w:shd w:fill="F2F2F2" w:val="clear"/>
        <w:spacing w:after="0" w:before="0"/>
      </w:pPr>
      <w:r>
        <w:rPr>
          <w:rFonts w:ascii="Consolas" w:cs="Consolas" w:eastAsia="Consolas" w:hAnsi="Consolas"/>
          <w:color w:val="1B1B1B"/>
          <w:sz w:val="18"/>
          <w:szCs w:val="18"/>
        </w:rPr>
        <w:t xml:space="preserve">            C = clip_norm[tier]                  # tighter for high-risk fields</w:t>
      </w:r>
    </w:p>
    <w:p>
      <w:pPr>
        <w:shd w:fill="F2F2F2" w:val="clear"/>
        <w:spacing w:after="0" w:before="0"/>
      </w:pPr>
      <w:r>
        <w:rPr>
          <w:rFonts w:ascii="Consolas" w:cs="Consolas" w:eastAsia="Consolas" w:hAnsi="Consolas"/>
          <w:color w:val="1B1B1B"/>
          <w:sz w:val="18"/>
          <w:szCs w:val="18"/>
        </w:rPr>
        <w:t xml:space="preserve">            grads = clip(per_record_grads[tier], C)</w:t>
      </w:r>
    </w:p>
    <w:p>
      <w:pPr>
        <w:shd w:fill="F2F2F2" w:val="clear"/>
        <w:spacing w:after="0" w:before="0"/>
      </w:pPr>
      <w:r>
        <w:rPr>
          <w:rFonts w:ascii="Consolas" w:cs="Consolas" w:eastAsia="Consolas" w:hAnsi="Consolas"/>
          <w:color w:val="1B1B1B"/>
          <w:sz w:val="18"/>
          <w:szCs w:val="18"/>
        </w:rPr>
        <w:t xml:space="preserve">            noised_grad = add_gaussian_noise(sum(grads), sigma_t, C)</w:t>
      </w:r>
    </w:p>
    <w:p>
      <w:pPr>
        <w:shd w:fill="F2F2F2" w:val="clear"/>
        <w:spacing w:after="0" w:before="0"/>
      </w:pPr>
      <w:r>
        <w:rPr>
          <w:rFonts w:ascii="Consolas" w:cs="Consolas" w:eastAsia="Consolas" w:hAnsi="Consolas"/>
          <w:color w:val="1B1B1B"/>
          <w:sz w:val="18"/>
          <w:szCs w:val="18"/>
        </w:rPr>
        <w:t xml:space="preserve">            update(θ[tier], noised_grad)</w:t>
      </w:r>
    </w:p>
    <w:p>
      <w:pPr>
        <w:shd w:fill="F2F2F2" w:val="clear"/>
        <w:spacing w:after="0" w:before="0"/>
      </w:pPr>
      <w:r>
        <w:rPr>
          <w:rFonts w:ascii="Consolas" w:cs="Consolas" w:eastAsia="Consolas" w:hAnsi="Consolas"/>
          <w:color w:val="1B1B1B"/>
          <w:sz w:val="18"/>
          <w:szCs w:val="18"/>
        </w:rPr>
        <w:t xml:space="preserve">            privacy_accountant.record_step(sigma_t, C, batch_size, N)</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eps_so_far, delta = privacy_accountant.get_privacy_spent()</w:t>
      </w:r>
    </w:p>
    <w:p>
      <w:pPr>
        <w:shd w:fill="F2F2F2" w:val="clear"/>
        <w:spacing w:after="0" w:before="0"/>
      </w:pPr>
      <w:r>
        <w:rPr>
          <w:rFonts w:ascii="Consolas" w:cs="Consolas" w:eastAsia="Consolas" w:hAnsi="Consolas"/>
          <w:color w:val="1B1B1B"/>
          <w:sz w:val="18"/>
          <w:szCs w:val="18"/>
        </w:rPr>
        <w:t xml:space="preserve">    if eps_so_far &gt;= epsilon_budget:</w:t>
      </w:r>
    </w:p>
    <w:p>
      <w:pPr>
        <w:shd w:fill="F2F2F2" w:val="clear"/>
        <w:spacing w:after="0" w:before="0"/>
      </w:pPr>
      <w:r>
        <w:rPr>
          <w:rFonts w:ascii="Consolas" w:cs="Consolas" w:eastAsia="Consolas" w:hAnsi="Consolas"/>
          <w:color w:val="1B1B1B"/>
          <w:sz w:val="18"/>
          <w:szCs w:val="18"/>
        </w:rPr>
        <w:t xml:space="preserve">        stop_training()</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save_checkpoint(θ, eps_so_far)</w:t>
      </w:r>
    </w:p>
    <w:p>
      <w:pPr>
        <w:pStyle w:val="Heading2"/>
        <w:spacing w:after="160" w:before="320"/>
      </w:pPr>
      <w:r>
        <w:rPr>
          <w:color w:val="2E5395"/>
        </w:rPr>
        <w:t xml:space="preserve">7.3  Small-Dataset Backbone + Adapter Fine-Tuning</w:t>
      </w:r>
    </w:p>
    <w:p>
      <w:pPr>
        <w:shd w:fill="F2F2F2" w:val="clear"/>
        <w:spacing w:after="0" w:before="0"/>
      </w:pPr>
      <w:r>
        <w:rPr>
          <w:rFonts w:ascii="Consolas" w:cs="Consolas" w:eastAsia="Consolas" w:hAnsi="Consolas"/>
          <w:color w:val="1B1B1B"/>
          <w:sz w:val="18"/>
          <w:szCs w:val="18"/>
        </w:rPr>
        <w:t xml:space="preserve">if N &lt; small_dataset_threshold:</w:t>
      </w:r>
    </w:p>
    <w:p>
      <w:pPr>
        <w:shd w:fill="F2F2F2" w:val="clear"/>
        <w:spacing w:after="0" w:before="0"/>
      </w:pPr>
      <w:r>
        <w:rPr>
          <w:rFonts w:ascii="Consolas" w:cs="Consolas" w:eastAsia="Consolas" w:hAnsi="Consolas"/>
          <w:color w:val="1B1B1B"/>
          <w:sz w:val="18"/>
          <w:szCs w:val="18"/>
        </w:rPr>
        <w:t xml:space="preserve">    backbone = model_registry.best_match(new_dataset_profile)</w:t>
      </w:r>
    </w:p>
    <w:p>
      <w:pPr>
        <w:shd w:fill="F2F2F2" w:val="clear"/>
        <w:spacing w:after="0" w:before="0"/>
      </w:pPr>
      <w:r>
        <w:rPr>
          <w:rFonts w:ascii="Consolas" w:cs="Consolas" w:eastAsia="Consolas" w:hAnsi="Consolas"/>
          <w:color w:val="1B1B1B"/>
          <w:sz w:val="18"/>
          <w:szCs w:val="18"/>
        </w:rPr>
        <w:t xml:space="preserve">    freeze(backbone)</w:t>
      </w:r>
    </w:p>
    <w:p>
      <w:pPr>
        <w:shd w:fill="F2F2F2" w:val="clear"/>
        <w:spacing w:after="0" w:before="0"/>
      </w:pPr>
      <w:r>
        <w:rPr>
          <w:rFonts w:ascii="Consolas" w:cs="Consolas" w:eastAsia="Consolas" w:hAnsi="Consolas"/>
          <w:color w:val="1B1B1B"/>
          <w:sz w:val="18"/>
          <w:szCs w:val="18"/>
        </w:rPr>
        <w:t xml:space="preserve">    adapter = new_io_layers(size = new_dataset_profile.column_count)</w:t>
      </w:r>
    </w:p>
    <w:p>
      <w:pPr>
        <w:shd w:fill="F2F2F2" w:val="clear"/>
        <w:spacing w:after="0" w:before="0"/>
      </w:pPr>
      <w:r>
        <w:rPr>
          <w:rFonts w:ascii="Consolas" w:cs="Consolas" w:eastAsia="Consolas" w:hAnsi="Consolas"/>
          <w:color w:val="1B1B1B"/>
          <w:sz w:val="18"/>
          <w:szCs w:val="18"/>
        </w:rPr>
        <w:t xml:space="preserve">    combined_model = attach(backbone, adapter)</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 only adapter parameters receive DP-noised gradient updates</w:t>
      </w:r>
    </w:p>
    <w:p>
      <w:pPr>
        <w:shd w:fill="F2F2F2" w:val="clear"/>
        <w:spacing w:after="0" w:before="0"/>
      </w:pPr>
      <w:r>
        <w:rPr>
          <w:rFonts w:ascii="Consolas" w:cs="Consolas" w:eastAsia="Consolas" w:hAnsi="Consolas"/>
          <w:color w:val="1B1B1B"/>
          <w:sz w:val="18"/>
          <w:szCs w:val="18"/>
        </w:rPr>
        <w:t xml:space="preserve">    train_dp_sgd(combined_model, trainable = adapter, data = new_dataset)</w:t>
      </w:r>
    </w:p>
    <w:p>
      <w:pPr>
        <w:shd w:fill="F2F2F2" w:val="clear"/>
        <w:spacing w:after="0" w:before="0"/>
      </w:pPr>
      <w:r>
        <w:rPr>
          <w:rFonts w:ascii="Consolas" w:cs="Consolas" w:eastAsia="Consolas" w:hAnsi="Consolas"/>
          <w:color w:val="1B1B1B"/>
          <w:sz w:val="18"/>
          <w:szCs w:val="18"/>
        </w:rPr>
        <w:t xml:space="preserve">    save_checkpoint(combined_model, source_backbone = backbone.id)</w:t>
      </w:r>
    </w:p>
    <w:p>
      <w:pPr>
        <w:pStyle w:val="Heading2"/>
        <w:spacing w:after="160" w:before="320"/>
      </w:pPr>
      <w:r>
        <w:rPr>
          <w:color w:val="2E5395"/>
        </w:rPr>
        <w:t xml:space="preserve">7.4  Generation / Sampling</w:t>
      </w:r>
    </w:p>
    <w:p>
      <w:pPr>
        <w:shd w:fill="F2F2F2" w:val="clear"/>
        <w:spacing w:after="0" w:before="0"/>
      </w:pPr>
      <w:r>
        <w:rPr>
          <w:rFonts w:ascii="Consolas" w:cs="Consolas" w:eastAsia="Consolas" w:hAnsi="Consolas"/>
          <w:color w:val="1B1B1B"/>
          <w:sz w:val="18"/>
          <w:szCs w:val="18"/>
        </w:rPr>
        <w:t xml:space="preserve">load checkpoint(θ, target_epsilon)</w:t>
      </w:r>
    </w:p>
    <w:p>
      <w:pPr>
        <w:shd w:fill="F2F2F2" w:val="clear"/>
        <w:spacing w:after="0" w:before="0"/>
      </w:pPr>
      <w:r>
        <w:rPr>
          <w:rFonts w:ascii="Consolas" w:cs="Consolas" w:eastAsia="Consolas" w:hAnsi="Consolas"/>
          <w:color w:val="1B1B1B"/>
          <w:sz w:val="18"/>
          <w:szCs w:val="18"/>
        </w:rPr>
        <w:t xml:space="preserve">for i in range(num_synthetic_records):</w:t>
      </w:r>
    </w:p>
    <w:p>
      <w:pPr>
        <w:shd w:fill="F2F2F2" w:val="clear"/>
        <w:spacing w:after="0" w:before="0"/>
      </w:pPr>
      <w:r>
        <w:rPr>
          <w:rFonts w:ascii="Consolas" w:cs="Consolas" w:eastAsia="Consolas" w:hAnsi="Consolas"/>
          <w:color w:val="1B1B1B"/>
          <w:sz w:val="18"/>
          <w:szCs w:val="18"/>
        </w:rPr>
        <w:t xml:space="preserve">    x_T = sample_gaussian_noise(shape = record_shape)</w:t>
      </w:r>
    </w:p>
    <w:p>
      <w:pPr>
        <w:shd w:fill="F2F2F2" w:val="clear"/>
        <w:spacing w:after="0" w:before="0"/>
      </w:pPr>
      <w:r>
        <w:rPr>
          <w:rFonts w:ascii="Consolas" w:cs="Consolas" w:eastAsia="Consolas" w:hAnsi="Consolas"/>
          <w:color w:val="1B1B1B"/>
          <w:sz w:val="18"/>
          <w:szCs w:val="18"/>
        </w:rPr>
        <w:t xml:space="preserve">    for t in reversed(range(T)):</w:t>
      </w:r>
    </w:p>
    <w:p>
      <w:pPr>
        <w:shd w:fill="F2F2F2" w:val="clear"/>
        <w:spacing w:after="0" w:before="0"/>
      </w:pPr>
      <w:r>
        <w:rPr>
          <w:rFonts w:ascii="Consolas" w:cs="Consolas" w:eastAsia="Consolas" w:hAnsi="Consolas"/>
          <w:color w:val="1B1B1B"/>
          <w:sz w:val="18"/>
          <w:szCs w:val="18"/>
        </w:rPr>
        <w:t xml:space="preserve">        pred_noise = denoising_network(x_T, t)</w:t>
      </w:r>
    </w:p>
    <w:p>
      <w:pPr>
        <w:shd w:fill="F2F2F2" w:val="clear"/>
        <w:spacing w:after="0" w:before="0"/>
      </w:pPr>
      <w:r>
        <w:rPr>
          <w:rFonts w:ascii="Consolas" w:cs="Consolas" w:eastAsia="Consolas" w:hAnsi="Consolas"/>
          <w:color w:val="1B1B1B"/>
          <w:sz w:val="18"/>
          <w:szCs w:val="18"/>
        </w:rPr>
        <w:t xml:space="preserve">        x_T = denoise_step(x_T, pred_noise, t)</w:t>
      </w:r>
    </w:p>
    <w:p>
      <w:pPr>
        <w:shd w:fill="F2F2F2" w:val="clear"/>
        <w:spacing w:after="0" w:before="0"/>
      </w:pPr>
      <w:r>
        <w:rPr>
          <w:rFonts w:ascii="Consolas" w:cs="Consolas" w:eastAsia="Consolas" w:hAnsi="Consolas"/>
          <w:color w:val="1B1B1B"/>
          <w:sz w:val="18"/>
          <w:szCs w:val="18"/>
        </w:rPr>
        <w:t xml:space="preserve">    raw_vector = x_T</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record = {}</w:t>
      </w:r>
    </w:p>
    <w:p>
      <w:pPr>
        <w:shd w:fill="F2F2F2" w:val="clear"/>
        <w:spacing w:after="0" w:before="0"/>
      </w:pPr>
      <w:r>
        <w:rPr>
          <w:rFonts w:ascii="Consolas" w:cs="Consolas" w:eastAsia="Consolas" w:hAnsi="Consolas"/>
          <w:color w:val="1B1B1B"/>
          <w:sz w:val="18"/>
          <w:szCs w:val="18"/>
        </w:rPr>
        <w:t xml:space="preserve">    for col in registry.column_order:</w:t>
      </w:r>
    </w:p>
    <w:p>
      <w:pPr>
        <w:shd w:fill="F2F2F2" w:val="clear"/>
        <w:spacing w:after="0" w:before="0"/>
      </w:pPr>
      <w:r>
        <w:rPr>
          <w:rFonts w:ascii="Consolas" w:cs="Consolas" w:eastAsia="Consolas" w:hAnsi="Consolas"/>
          <w:color w:val="1B1B1B"/>
          <w:sz w:val="18"/>
          <w:szCs w:val="18"/>
        </w:rPr>
        <w:t xml:space="preserve">        if col in continuous_cols:</w:t>
      </w:r>
    </w:p>
    <w:p>
      <w:pPr>
        <w:shd w:fill="F2F2F2" w:val="clear"/>
        <w:spacing w:after="0" w:before="0"/>
      </w:pPr>
      <w:r>
        <w:rPr>
          <w:rFonts w:ascii="Consolas" w:cs="Consolas" w:eastAsia="Consolas" w:hAnsi="Consolas"/>
          <w:color w:val="1B1B1B"/>
          <w:sz w:val="18"/>
          <w:szCs w:val="18"/>
        </w:rPr>
        <w:t xml:space="preserve">            record[col] = registry.scaler[col].inverse_transform(raw_vector[col])</w:t>
      </w:r>
    </w:p>
    <w:p>
      <w:pPr>
        <w:shd w:fill="F2F2F2" w:val="clear"/>
        <w:spacing w:after="0" w:before="0"/>
      </w:pPr>
      <w:r>
        <w:rPr>
          <w:rFonts w:ascii="Consolas" w:cs="Consolas" w:eastAsia="Consolas" w:hAnsi="Consolas"/>
          <w:color w:val="1B1B1B"/>
          <w:sz w:val="18"/>
          <w:szCs w:val="18"/>
        </w:rPr>
        <w:t xml:space="preserve">        elif col in high_cardinality_categorical_cols:</w:t>
      </w:r>
    </w:p>
    <w:p>
      <w:pPr>
        <w:shd w:fill="F2F2F2" w:val="clear"/>
        <w:spacing w:after="0" w:before="0"/>
      </w:pPr>
      <w:r>
        <w:rPr>
          <w:rFonts w:ascii="Consolas" w:cs="Consolas" w:eastAsia="Consolas" w:hAnsi="Consolas"/>
          <w:color w:val="1B1B1B"/>
          <w:sz w:val="18"/>
          <w:szCs w:val="18"/>
        </w:rPr>
        <w:t xml:space="preserve">            record[col] = registry.vocab[col].decode(raw_vector[col])</w:t>
      </w:r>
    </w:p>
    <w:p>
      <w:pPr>
        <w:shd w:fill="F2F2F2" w:val="clear"/>
        <w:spacing w:after="0" w:before="0"/>
      </w:pPr>
      <w:r>
        <w:rPr>
          <w:rFonts w:ascii="Consolas" w:cs="Consolas" w:eastAsia="Consolas" w:hAnsi="Consolas"/>
          <w:color w:val="1B1B1B"/>
          <w:sz w:val="18"/>
          <w:szCs w:val="18"/>
        </w:rPr>
        <w:t xml:space="preserve">        elif col in low_cardinality_categorical_cols:</w:t>
      </w:r>
    </w:p>
    <w:p>
      <w:pPr>
        <w:shd w:fill="F2F2F2" w:val="clear"/>
        <w:spacing w:after="0" w:before="0"/>
      </w:pPr>
      <w:r>
        <w:rPr>
          <w:rFonts w:ascii="Consolas" w:cs="Consolas" w:eastAsia="Consolas" w:hAnsi="Consolas"/>
          <w:color w:val="1B1B1B"/>
          <w:sz w:val="18"/>
          <w:szCs w:val="18"/>
        </w:rPr>
        <w:t xml:space="preserve">            record[col] = argmax_decode(raw_vector[col])</w:t>
      </w:r>
    </w:p>
    <w:p>
      <w:pPr>
        <w:shd w:fill="F2F2F2" w:val="clear"/>
        <w:spacing w:after="0" w:before="0"/>
      </w:pPr>
      <w:r>
        <w:rPr>
          <w:rFonts w:ascii="Consolas" w:cs="Consolas" w:eastAsia="Consolas" w:hAnsi="Consolas"/>
          <w:color w:val="1B1B1B"/>
          <w:sz w:val="18"/>
          <w:szCs w:val="18"/>
        </w:rPr>
        <w:t xml:space="preserve">        if raw_vector[col + "_missing"] == True:</w:t>
      </w:r>
    </w:p>
    <w:p>
      <w:pPr>
        <w:shd w:fill="F2F2F2" w:val="clear"/>
        <w:spacing w:after="0" w:before="0"/>
      </w:pPr>
      <w:r>
        <w:rPr>
          <w:rFonts w:ascii="Consolas" w:cs="Consolas" w:eastAsia="Consolas" w:hAnsi="Consolas"/>
          <w:color w:val="1B1B1B"/>
          <w:sz w:val="18"/>
          <w:szCs w:val="18"/>
        </w:rPr>
        <w:t xml:space="preserve">            record[col] = None</w:t>
      </w:r>
    </w:p>
    <w:p>
      <w:pPr>
        <w:shd w:fill="F2F2F2" w:val="clear"/>
        <w:spacing w:after="0" w:before="0"/>
      </w:pPr>
      <w:r>
        <w:rPr>
          <w:rFonts w:ascii="Consolas" w:cs="Consolas" w:eastAsia="Consolas" w:hAnsi="Consolas"/>
          <w:color w:val="1B1B1B"/>
          <w:sz w:val="18"/>
          <w:szCs w:val="18"/>
        </w:rPr>
        <w:t xml:space="preserve">    synthetic_dataset.append(record)</w:t>
      </w:r>
    </w:p>
    <w:p>
      <w:pPr>
        <w:pStyle w:val="Heading2"/>
        <w:spacing w:after="160" w:before="320"/>
      </w:pPr>
      <w:r>
        <w:rPr>
          <w:color w:val="2E5395"/>
        </w:rPr>
        <w:t xml:space="preserve">7.5  Evaluation Protocol</w:t>
      </w:r>
    </w:p>
    <w:p>
      <w:pPr>
        <w:shd w:fill="F2F2F2" w:val="clear"/>
        <w:spacing w:after="0" w:before="0"/>
      </w:pPr>
      <w:r>
        <w:rPr>
          <w:rFonts w:ascii="Consolas" w:cs="Consolas" w:eastAsia="Consolas" w:hAnsi="Consolas"/>
          <w:color w:val="1B1B1B"/>
          <w:sz w:val="18"/>
          <w:szCs w:val="18"/>
        </w:rPr>
        <w:t xml:space="preserve">for epsilon in epsilon_sweep:</w:t>
      </w:r>
    </w:p>
    <w:p>
      <w:pPr>
        <w:shd w:fill="F2F2F2" w:val="clear"/>
        <w:spacing w:after="0" w:before="0"/>
      </w:pPr>
      <w:r>
        <w:rPr>
          <w:rFonts w:ascii="Consolas" w:cs="Consolas" w:eastAsia="Consolas" w:hAnsi="Consolas"/>
          <w:color w:val="1B1B1B"/>
          <w:sz w:val="18"/>
          <w:szCs w:val="18"/>
        </w:rPr>
        <w:t xml:space="preserve">    synthetic_df = generate(checkpoint[epsilon])</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mia_success_rate = run_membership_inference_attack(real_df, synthetic_df, checkpoint[epsilon])</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per_field_distance = [ks_or_wasserstein(real_df[c], synthetic_df[c]) for c in columns]</w:t>
      </w:r>
    </w:p>
    <w:p>
      <w:pPr>
        <w:shd w:fill="F2F2F2" w:val="clear"/>
        <w:spacing w:after="0" w:before="0"/>
      </w:pPr>
      <w:r>
        <w:rPr>
          <w:rFonts w:ascii="Consolas" w:cs="Consolas" w:eastAsia="Consolas" w:hAnsi="Consolas"/>
          <w:color w:val="1B1B1B"/>
          <w:sz w:val="18"/>
          <w:szCs w:val="18"/>
        </w:rPr>
        <w:t xml:space="preserve">    correlation_distance = compare_correlation_matrices(real_df, synthetic_df)</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model_real  = train_classifier(real_df_train)</w:t>
      </w:r>
    </w:p>
    <w:p>
      <w:pPr>
        <w:shd w:fill="F2F2F2" w:val="clear"/>
        <w:spacing w:after="0" w:before="0"/>
      </w:pPr>
      <w:r>
        <w:rPr>
          <w:rFonts w:ascii="Consolas" w:cs="Consolas" w:eastAsia="Consolas" w:hAnsi="Consolas"/>
          <w:color w:val="1B1B1B"/>
          <w:sz w:val="18"/>
          <w:szCs w:val="18"/>
        </w:rPr>
        <w:t xml:space="preserve">    model_synth = train_classifier(synthetic_df)</w:t>
      </w:r>
    </w:p>
    <w:p>
      <w:pPr>
        <w:shd w:fill="F2F2F2" w:val="clear"/>
        <w:spacing w:after="0" w:before="0"/>
      </w:pPr>
      <w:r>
        <w:rPr>
          <w:rFonts w:ascii="Consolas" w:cs="Consolas" w:eastAsia="Consolas" w:hAnsi="Consolas"/>
          <w:color w:val="1B1B1B"/>
          <w:sz w:val="18"/>
          <w:szCs w:val="18"/>
        </w:rPr>
        <w:t xml:space="preserve">    utility = { real: evaluate(model_real, real_df_test),</w:t>
      </w:r>
    </w:p>
    <w:p>
      <w:pPr>
        <w:shd w:fill="F2F2F2" w:val="clear"/>
        <w:spacing w:after="0" w:before="0"/>
      </w:pPr>
      <w:r>
        <w:rPr>
          <w:rFonts w:ascii="Consolas" w:cs="Consolas" w:eastAsia="Consolas" w:hAnsi="Consolas"/>
          <w:color w:val="1B1B1B"/>
          <w:sz w:val="18"/>
          <w:szCs w:val="18"/>
        </w:rPr>
        <w:t xml:space="preserve">                synthetic: evaluate(model_synth, real_df_test) }</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    results[epsilon] = { mia_success_rate, per_field_distance, correlation_distance, utility }</w:t>
      </w:r>
    </w:p>
    <w:p>
      <w:pPr>
        <w:shd w:fill="F2F2F2" w:val="clear"/>
        <w:spacing w:after="0" w:before="0"/>
      </w:pPr>
      <w:r>
        <w:rPr>
          <w:rFonts w:ascii="Consolas" w:cs="Consolas" w:eastAsia="Consolas" w:hAnsi="Consolas"/>
          <w:color w:val="1B1B1B"/>
          <w:sz w:val="18"/>
          <w:szCs w:val="18"/>
        </w:rPr>
        <w:t xml:space="preserve"> </w:t>
      </w:r>
    </w:p>
    <w:p>
      <w:pPr>
        <w:shd w:fill="F2F2F2" w:val="clear"/>
        <w:spacing w:after="0" w:before="0"/>
      </w:pPr>
      <w:r>
        <w:rPr>
          <w:rFonts w:ascii="Consolas" w:cs="Consolas" w:eastAsia="Consolas" w:hAnsi="Consolas"/>
          <w:color w:val="1B1B1B"/>
          <w:sz w:val="18"/>
          <w:szCs w:val="18"/>
        </w:rPr>
        <w:t xml:space="preserve">pareto_frontier = plot(results, x = "privacy_protection", y = "utility")</w:t>
      </w:r>
    </w:p>
    <w:p>
      <w:pPr>
        <w:spacing w:after="100"/>
      </w:pPr>
    </w:p>
    <w:p>
      <w:pPr>
        <w:pStyle w:val="Heading1"/>
        <w:pBdr>
          <w:bottom w:val="single" w:color="1F3864" w:sz="8" w:space="4"/>
        </w:pBdr>
        <w:spacing w:after="220" w:before="480"/>
      </w:pPr>
      <w:r>
        <w:rPr>
          <w:color w:val="1F3864"/>
        </w:rPr>
        <w:t xml:space="preserve">8.  Detailed Step-by-Step Execution Plan</w:t>
      </w:r>
    </w:p>
    <w:p>
      <w:pPr>
        <w:pStyle w:val="Heading3"/>
        <w:spacing w:after="120" w:before="240"/>
      </w:pPr>
      <w:r>
        <w:rPr>
          <w:b/>
          <w:bCs/>
          <w:color w:val="333333"/>
          <w:sz w:val="22"/>
          <w:szCs w:val="22"/>
        </w:rPr>
        <w:t xml:space="preserve">Phase 1 — Literature Review &amp; Scope</w:t>
      </w:r>
    </w:p>
    <w:p>
      <w:pPr>
        <w:pStyle w:val="ListParagraph"/>
        <w:numPr>
          <w:ilvl w:val="0"/>
          <w:numId w:val="2"/>
        </w:numPr>
        <w:spacing w:after="100" w:line="280"/>
      </w:pPr>
      <w:r>
        <w:rPr>
          <w:sz w:val="21"/>
          <w:szCs w:val="21"/>
        </w:rPr>
        <w:t xml:space="preserve">Collect and review DP-GAN, DP-VAE, and diffusion+DP tabular papers.</w:t>
      </w:r>
    </w:p>
    <w:p>
      <w:pPr>
        <w:pStyle w:val="ListParagraph"/>
        <w:numPr>
          <w:ilvl w:val="0"/>
          <w:numId w:val="2"/>
        </w:numPr>
        <w:spacing w:after="100" w:line="280"/>
      </w:pPr>
      <w:r>
        <w:rPr>
          <w:sz w:val="21"/>
          <w:szCs w:val="21"/>
        </w:rPr>
        <w:t xml:space="preserve">Document the uniform-budget limitation in existing work as the gap this project addresses.</w:t>
      </w:r>
    </w:p>
    <w:p>
      <w:pPr>
        <w:pStyle w:val="ListParagraph"/>
        <w:numPr>
          <w:ilvl w:val="0"/>
          <w:numId w:val="2"/>
        </w:numPr>
        <w:spacing w:after="100" w:line="280"/>
      </w:pPr>
      <w:r>
        <w:rPr>
          <w:sz w:val="21"/>
          <w:szCs w:val="21"/>
        </w:rPr>
        <w:t xml:space="preserve">Lock the two novelty mechanisms — adaptive noise schedule, per-feature budgets — as the scope boundary.</w:t>
      </w:r>
    </w:p>
    <w:p>
      <w:pPr>
        <w:pStyle w:val="ListParagraph"/>
        <w:numPr>
          <w:ilvl w:val="0"/>
          <w:numId w:val="2"/>
        </w:numPr>
        <w:spacing w:after="100" w:line="280"/>
      </w:pPr>
      <w:r>
        <w:rPr>
          <w:sz w:val="21"/>
          <w:szCs w:val="21"/>
        </w:rPr>
        <w:t xml:space="preserve">Deliverable: related-work and novelty statement.</w:t>
      </w:r>
    </w:p>
    <w:p>
      <w:pPr>
        <w:pStyle w:val="Heading3"/>
        <w:spacing w:after="120" w:before="240"/>
      </w:pPr>
      <w:r>
        <w:rPr>
          <w:b/>
          <w:bCs/>
          <w:color w:val="333333"/>
          <w:sz w:val="22"/>
          <w:szCs w:val="22"/>
        </w:rPr>
        <w:t xml:space="preserve">Phase 2 — Tool &amp; Environment Setup (parallel)</w:t>
      </w:r>
    </w:p>
    <w:p>
      <w:pPr>
        <w:pStyle w:val="ListParagraph"/>
        <w:numPr>
          <w:ilvl w:val="0"/>
          <w:numId w:val="2"/>
        </w:numPr>
        <w:spacing w:after="100" w:line="280"/>
      </w:pPr>
      <w:r>
        <w:rPr>
          <w:sz w:val="21"/>
          <w:szCs w:val="21"/>
        </w:rPr>
        <w:t xml:space="preserve">Create Kaggle notebook; verify GPU quota (T4 ×2 / P100) access.</w:t>
      </w:r>
    </w:p>
    <w:p>
      <w:pPr>
        <w:pStyle w:val="ListParagraph"/>
        <w:numPr>
          <w:ilvl w:val="0"/>
          <w:numId w:val="2"/>
        </w:numPr>
        <w:spacing w:after="100" w:line="280"/>
      </w:pPr>
      <w:r>
        <w:rPr>
          <w:sz w:val="21"/>
          <w:szCs w:val="21"/>
        </w:rPr>
        <w:t xml:space="preserve">Set up VS Code + Cline with an integrated LLM provider.</w:t>
      </w:r>
    </w:p>
    <w:p>
      <w:pPr>
        <w:pStyle w:val="ListParagraph"/>
        <w:numPr>
          <w:ilvl w:val="0"/>
          <w:numId w:val="2"/>
        </w:numPr>
        <w:spacing w:after="100" w:line="280"/>
      </w:pPr>
      <w:r>
        <w:rPr>
          <w:sz w:val="21"/>
          <w:szCs w:val="21"/>
        </w:rPr>
        <w:t xml:space="preserve">Configure Antigravity across five Google accounts; assign each to a workstream.</w:t>
      </w:r>
    </w:p>
    <w:p>
      <w:pPr>
        <w:pStyle w:val="ListParagraph"/>
        <w:numPr>
          <w:ilvl w:val="0"/>
          <w:numId w:val="2"/>
        </w:numPr>
        <w:spacing w:after="100" w:line="280"/>
      </w:pPr>
      <w:r>
        <w:rPr>
          <w:sz w:val="21"/>
          <w:szCs w:val="21"/>
        </w:rPr>
        <w:t xml:space="preserve">Verify DP library installation (Opacus or TensorFlow Privacy) in the Kaggle environment.</w:t>
      </w:r>
    </w:p>
    <w:p>
      <w:pPr>
        <w:pStyle w:val="Heading3"/>
        <w:spacing w:after="120" w:before="240"/>
      </w:pPr>
      <w:r>
        <w:rPr>
          <w:b/>
          <w:bCs/>
          <w:color w:val="333333"/>
          <w:sz w:val="22"/>
          <w:szCs w:val="22"/>
        </w:rPr>
        <w:t xml:space="preserve">Phase 3 — Data Acquisition &amp; Preprocessing</w:t>
      </w:r>
    </w:p>
    <w:p>
      <w:pPr>
        <w:pStyle w:val="ListParagraph"/>
        <w:numPr>
          <w:ilvl w:val="0"/>
          <w:numId w:val="2"/>
        </w:numPr>
        <w:spacing w:after="100" w:line="280"/>
      </w:pPr>
      <w:r>
        <w:rPr>
          <w:sz w:val="21"/>
          <w:szCs w:val="21"/>
        </w:rPr>
        <w:t xml:space="preserve">Download UCI Diabetes 130-US Hospitals, CDC BRFSS, and one additional UCI health set.</w:t>
      </w:r>
    </w:p>
    <w:p>
      <w:pPr>
        <w:pStyle w:val="ListParagraph"/>
        <w:numPr>
          <w:ilvl w:val="0"/>
          <w:numId w:val="2"/>
        </w:numPr>
        <w:spacing w:after="100" w:line="280"/>
      </w:pPr>
      <w:r>
        <w:rPr>
          <w:sz w:val="21"/>
          <w:szCs w:val="21"/>
        </w:rPr>
        <w:t xml:space="preserve">Run the dataset profiler; verify automatic type/cardinality detection against a manual check.</w:t>
      </w:r>
    </w:p>
    <w:p>
      <w:pPr>
        <w:pStyle w:val="ListParagraph"/>
        <w:numPr>
          <w:ilvl w:val="0"/>
          <w:numId w:val="2"/>
        </w:numPr>
        <w:spacing w:after="100" w:line="280"/>
      </w:pPr>
      <w:r>
        <w:rPr>
          <w:sz w:val="21"/>
          <w:szCs w:val="21"/>
        </w:rPr>
        <w:t xml:space="preserve">Fit and save per-field scalers; build categorical vocabulary/embeddings.</w:t>
      </w:r>
    </w:p>
    <w:p>
      <w:pPr>
        <w:pStyle w:val="ListParagraph"/>
        <w:numPr>
          <w:ilvl w:val="0"/>
          <w:numId w:val="2"/>
        </w:numPr>
        <w:spacing w:after="100" w:line="280"/>
      </w:pPr>
      <w:r>
        <w:rPr>
          <w:sz w:val="21"/>
          <w:szCs w:val="21"/>
        </w:rPr>
        <w:t xml:space="preserve">Align schema across sources; write the schema registry to disk.</w:t>
      </w:r>
    </w:p>
    <w:p>
      <w:pPr>
        <w:pStyle w:val="ListParagraph"/>
        <w:numPr>
          <w:ilvl w:val="0"/>
          <w:numId w:val="2"/>
        </w:numPr>
        <w:spacing w:after="100" w:line="280"/>
      </w:pPr>
      <w:r>
        <w:rPr>
          <w:sz w:val="21"/>
          <w:szCs w:val="21"/>
        </w:rPr>
        <w:t xml:space="preserve">Acceptance check: registry + a random tensor row reconstructs a valid, human-readable record.</w:t>
      </w:r>
    </w:p>
    <w:p>
      <w:pPr>
        <w:pStyle w:val="Heading3"/>
        <w:spacing w:after="120" w:before="240"/>
      </w:pPr>
      <w:r>
        <w:rPr>
          <w:b/>
          <w:bCs/>
          <w:color w:val="333333"/>
          <w:sz w:val="22"/>
          <w:szCs w:val="22"/>
        </w:rPr>
        <w:t xml:space="preserve">Phase 4 — Baseline Diffusion Model, Non-DP</w:t>
      </w:r>
    </w:p>
    <w:p>
      <w:pPr>
        <w:pStyle w:val="ListParagraph"/>
        <w:numPr>
          <w:ilvl w:val="0"/>
          <w:numId w:val="2"/>
        </w:numPr>
        <w:spacing w:after="100" w:line="280"/>
      </w:pPr>
      <w:r>
        <w:rPr>
          <w:sz w:val="21"/>
          <w:szCs w:val="21"/>
        </w:rPr>
        <w:t xml:space="preserve">Implement forward diffusion and the denoising network.</w:t>
      </w:r>
    </w:p>
    <w:p>
      <w:pPr>
        <w:pStyle w:val="ListParagraph"/>
        <w:numPr>
          <w:ilvl w:val="0"/>
          <w:numId w:val="2"/>
        </w:numPr>
        <w:spacing w:after="100" w:line="280"/>
      </w:pPr>
      <w:r>
        <w:rPr>
          <w:sz w:val="21"/>
          <w:szCs w:val="21"/>
        </w:rPr>
        <w:t xml:space="preserve">Train without any DP wrapper; confirm loss convergence.</w:t>
      </w:r>
    </w:p>
    <w:p>
      <w:pPr>
        <w:pStyle w:val="ListParagraph"/>
        <w:numPr>
          <w:ilvl w:val="0"/>
          <w:numId w:val="2"/>
        </w:numPr>
        <w:spacing w:after="100" w:line="280"/>
      </w:pPr>
      <w:r>
        <w:rPr>
          <w:sz w:val="21"/>
          <w:szCs w:val="21"/>
        </w:rPr>
        <w:t xml:space="preserve">Sample and inverse-transform a batch; sanity-check against real distributions.</w:t>
      </w:r>
    </w:p>
    <w:p>
      <w:pPr>
        <w:pStyle w:val="ListParagraph"/>
        <w:numPr>
          <w:ilvl w:val="0"/>
          <w:numId w:val="2"/>
        </w:numPr>
        <w:spacing w:after="100" w:line="280"/>
      </w:pPr>
      <w:r>
        <w:rPr>
          <w:sz w:val="21"/>
          <w:szCs w:val="21"/>
        </w:rPr>
        <w:t xml:space="preserve">Freeze as the baseline checkpoint for later privacy/utility comparison and as a Phase 5b registry candidate.</w:t>
      </w:r>
    </w:p>
    <w:p>
      <w:pPr>
        <w:pStyle w:val="Heading3"/>
        <w:spacing w:after="120" w:before="240"/>
      </w:pPr>
      <w:r>
        <w:rPr>
          <w:b/>
          <w:bCs/>
          <w:color w:val="333333"/>
          <w:sz w:val="22"/>
          <w:szCs w:val="22"/>
        </w:rPr>
        <w:t xml:space="preserve">Phase 5 — DP Integration + Novel Mechanism</w:t>
      </w:r>
    </w:p>
    <w:p>
      <w:pPr>
        <w:pStyle w:val="ListParagraph"/>
        <w:numPr>
          <w:ilvl w:val="0"/>
          <w:numId w:val="2"/>
        </w:numPr>
        <w:spacing w:after="100" w:line="280"/>
      </w:pPr>
      <w:r>
        <w:rPr>
          <w:sz w:val="21"/>
          <w:szCs w:val="21"/>
        </w:rPr>
        <w:t xml:space="preserve">Wrap the training loop in Opacus/TensorFlow Privacy for per-sample gradients.</w:t>
      </w:r>
    </w:p>
    <w:p>
      <w:pPr>
        <w:pStyle w:val="ListParagraph"/>
        <w:numPr>
          <w:ilvl w:val="0"/>
          <w:numId w:val="2"/>
        </w:numPr>
        <w:spacing w:after="100" w:line="280"/>
      </w:pPr>
      <w:r>
        <w:rPr>
          <w:sz w:val="21"/>
          <w:szCs w:val="21"/>
        </w:rPr>
        <w:t xml:space="preserve">Implement fixed-σ DP-SGD first; confirm the accountant reports a sane ε.</w:t>
      </w:r>
    </w:p>
    <w:p>
      <w:pPr>
        <w:pStyle w:val="ListParagraph"/>
        <w:numPr>
          <w:ilvl w:val="0"/>
          <w:numId w:val="2"/>
        </w:numPr>
        <w:spacing w:after="100" w:line="280"/>
      </w:pPr>
      <w:r>
        <w:rPr>
          <w:sz w:val="21"/>
          <w:szCs w:val="21"/>
        </w:rPr>
        <w:t xml:space="preserve">Extend to adaptive σ per diffusion timestep; verify accountant composition remains valid.</w:t>
      </w:r>
    </w:p>
    <w:p>
      <w:pPr>
        <w:pStyle w:val="ListParagraph"/>
        <w:numPr>
          <w:ilvl w:val="0"/>
          <w:numId w:val="2"/>
        </w:numPr>
        <w:spacing w:after="100" w:line="280"/>
      </w:pPr>
      <w:r>
        <w:rPr>
          <w:sz w:val="21"/>
          <w:szCs w:val="21"/>
        </w:rPr>
        <w:t xml:space="preserve">Split the network into a shared trunk and per-risk-tier heads; apply separate clip/noise per tier.</w:t>
      </w:r>
    </w:p>
    <w:p>
      <w:pPr>
        <w:pStyle w:val="ListParagraph"/>
        <w:numPr>
          <w:ilvl w:val="0"/>
          <w:numId w:val="2"/>
        </w:numPr>
        <w:spacing w:after="100" w:line="280"/>
      </w:pPr>
      <w:r>
        <w:rPr>
          <w:sz w:val="21"/>
          <w:szCs w:val="21"/>
        </w:rPr>
        <w:t xml:space="preserve">Acceptance check: one full run at a single target ε completes end-to-end.</w:t>
      </w:r>
    </w:p>
    <w:p>
      <w:pPr>
        <w:pStyle w:val="Heading3"/>
        <w:spacing w:after="120" w:before="240"/>
      </w:pPr>
      <w:r>
        <w:rPr>
          <w:b/>
          <w:bCs/>
          <w:color w:val="333333"/>
          <w:sz w:val="22"/>
          <w:szCs w:val="22"/>
        </w:rPr>
        <w:t xml:space="preserve">Phase 5b — Small-Dataset Branch (parallel)</w:t>
      </w:r>
    </w:p>
    <w:p>
      <w:pPr>
        <w:pStyle w:val="ListParagraph"/>
        <w:numPr>
          <w:ilvl w:val="0"/>
          <w:numId w:val="2"/>
        </w:numPr>
        <w:spacing w:after="100" w:line="280"/>
      </w:pPr>
      <w:r>
        <w:rPr>
          <w:sz w:val="21"/>
          <w:szCs w:val="21"/>
        </w:rPr>
        <w:t xml:space="preserve">Build the model registry; register the Phase 4 baseline and any Phase 5 checkpoints with schema metadata.</w:t>
      </w:r>
    </w:p>
    <w:p>
      <w:pPr>
        <w:pStyle w:val="ListParagraph"/>
        <w:numPr>
          <w:ilvl w:val="0"/>
          <w:numId w:val="2"/>
        </w:numPr>
        <w:spacing w:after="100" w:line="280"/>
      </w:pPr>
      <w:r>
        <w:rPr>
          <w:sz w:val="21"/>
          <w:szCs w:val="21"/>
        </w:rPr>
        <w:t xml:space="preserve">Implement the schema-compatibility scoring function for registry lookup.</w:t>
      </w:r>
    </w:p>
    <w:p>
      <w:pPr>
        <w:pStyle w:val="ListParagraph"/>
        <w:numPr>
          <w:ilvl w:val="0"/>
          <w:numId w:val="2"/>
        </w:numPr>
        <w:spacing w:after="100" w:line="280"/>
      </w:pPr>
      <w:r>
        <w:rPr>
          <w:sz w:val="21"/>
          <w:szCs w:val="21"/>
        </w:rPr>
        <w:t xml:space="preserve">Implement the schema adapter (new input/output layers) and the freeze/attach mechanism.</w:t>
      </w:r>
    </w:p>
    <w:p>
      <w:pPr>
        <w:pStyle w:val="ListParagraph"/>
        <w:numPr>
          <w:ilvl w:val="0"/>
          <w:numId w:val="2"/>
        </w:numPr>
        <w:spacing w:after="100" w:line="280"/>
      </w:pPr>
      <w:r>
        <w:rPr>
          <w:sz w:val="21"/>
          <w:szCs w:val="21"/>
        </w:rPr>
        <w:t xml:space="preserve">Run one DP fine-tuning pass on a held-out small sample to validate the branch end-to-end.</w:t>
      </w:r>
    </w:p>
    <w:p>
      <w:pPr>
        <w:pStyle w:val="ListParagraph"/>
        <w:numPr>
          <w:ilvl w:val="0"/>
          <w:numId w:val="2"/>
        </w:numPr>
        <w:spacing w:after="100" w:line="280"/>
      </w:pPr>
      <w:r>
        <w:rPr>
          <w:sz w:val="21"/>
          <w:szCs w:val="21"/>
        </w:rPr>
        <w:t xml:space="preserve">Acceptance check: adapter-only fine-tuning produces a valid checkpoint with its own tracked ε.</w:t>
      </w:r>
    </w:p>
    <w:p>
      <w:pPr>
        <w:pStyle w:val="Heading3"/>
        <w:spacing w:after="120" w:before="240"/>
      </w:pPr>
      <w:r>
        <w:rPr>
          <w:b/>
          <w:bCs/>
          <w:color w:val="333333"/>
          <w:sz w:val="22"/>
          <w:szCs w:val="22"/>
        </w:rPr>
        <w:t xml:space="preserve">Phase 6 — Training Runs &amp; Hyperparameter Tuning</w:t>
      </w:r>
    </w:p>
    <w:p>
      <w:pPr>
        <w:pStyle w:val="ListParagraph"/>
        <w:numPr>
          <w:ilvl w:val="0"/>
          <w:numId w:val="2"/>
        </w:numPr>
        <w:spacing w:after="100" w:line="280"/>
      </w:pPr>
      <w:r>
        <w:rPr>
          <w:sz w:val="21"/>
          <w:szCs w:val="21"/>
        </w:rPr>
        <w:t xml:space="preserve">Fix the clipping norm C from Phase 4 gradient-norm statistics.</w:t>
      </w:r>
    </w:p>
    <w:p>
      <w:pPr>
        <w:pStyle w:val="ListParagraph"/>
        <w:numPr>
          <w:ilvl w:val="0"/>
          <w:numId w:val="2"/>
        </w:numPr>
        <w:spacing w:after="100" w:line="280"/>
      </w:pPr>
      <w:r>
        <w:rPr>
          <w:sz w:val="21"/>
          <w:szCs w:val="21"/>
        </w:rPr>
        <w:t xml:space="preserve">Sweep ε ∈ {0.5, 1, 2, 5, 10}; one checkpoint per value.</w:t>
      </w:r>
    </w:p>
    <w:p>
      <w:pPr>
        <w:pStyle w:val="ListParagraph"/>
        <w:numPr>
          <w:ilvl w:val="0"/>
          <w:numId w:val="2"/>
        </w:numPr>
        <w:spacing w:after="100" w:line="280"/>
      </w:pPr>
      <w:r>
        <w:rPr>
          <w:sz w:val="21"/>
          <w:szCs w:val="21"/>
        </w:rPr>
        <w:t xml:space="preserve">Keep the hyperparameter grid narrow and targeted given the weekly GPU-hour ceiling.</w:t>
      </w:r>
    </w:p>
    <w:p>
      <w:pPr>
        <w:pStyle w:val="ListParagraph"/>
        <w:numPr>
          <w:ilvl w:val="0"/>
          <w:numId w:val="2"/>
        </w:numPr>
        <w:spacing w:after="100" w:line="280"/>
      </w:pPr>
      <w:r>
        <w:rPr>
          <w:sz w:val="21"/>
          <w:szCs w:val="21"/>
        </w:rPr>
        <w:t xml:space="preserve">Log each run's actual (ε, δ) from the accountant, not just the target value.</w:t>
      </w:r>
    </w:p>
    <w:p>
      <w:pPr>
        <w:pStyle w:val="Heading3"/>
        <w:spacing w:after="120" w:before="240"/>
      </w:pPr>
      <w:r>
        <w:rPr>
          <w:b/>
          <w:bCs/>
          <w:color w:val="333333"/>
          <w:sz w:val="22"/>
          <w:szCs w:val="22"/>
        </w:rPr>
        <w:t xml:space="preserve">Phase 7 — Evaluation</w:t>
      </w:r>
    </w:p>
    <w:p>
      <w:pPr>
        <w:pStyle w:val="ListParagraph"/>
        <w:numPr>
          <w:ilvl w:val="0"/>
          <w:numId w:val="2"/>
        </w:numPr>
        <w:spacing w:after="100" w:line="280"/>
      </w:pPr>
      <w:r>
        <w:rPr>
          <w:sz w:val="21"/>
          <w:szCs w:val="21"/>
        </w:rPr>
        <w:t xml:space="preserve">Generate synthetic sets for each ε checkpoint.</w:t>
      </w:r>
    </w:p>
    <w:p>
      <w:pPr>
        <w:pStyle w:val="ListParagraph"/>
        <w:numPr>
          <w:ilvl w:val="0"/>
          <w:numId w:val="2"/>
        </w:numPr>
        <w:spacing w:after="100" w:line="280"/>
      </w:pPr>
      <w:r>
        <w:rPr>
          <w:sz w:val="21"/>
          <w:szCs w:val="21"/>
        </w:rPr>
        <w:t xml:space="preserve">Run a calibrated membership inference attack; record attacker success rate per ε.</w:t>
      </w:r>
    </w:p>
    <w:p>
      <w:pPr>
        <w:pStyle w:val="ListParagraph"/>
        <w:numPr>
          <w:ilvl w:val="0"/>
          <w:numId w:val="2"/>
        </w:numPr>
        <w:spacing w:after="100" w:line="280"/>
      </w:pPr>
      <w:r>
        <w:rPr>
          <w:sz w:val="21"/>
          <w:szCs w:val="21"/>
        </w:rPr>
        <w:t xml:space="preserve">Compute per-field distributional distance and correlation-matrix distance.</w:t>
      </w:r>
    </w:p>
    <w:p>
      <w:pPr>
        <w:pStyle w:val="ListParagraph"/>
        <w:numPr>
          <w:ilvl w:val="0"/>
          <w:numId w:val="2"/>
        </w:numPr>
        <w:spacing w:after="100" w:line="280"/>
      </w:pPr>
      <w:r>
        <w:rPr>
          <w:sz w:val="21"/>
          <w:szCs w:val="21"/>
        </w:rPr>
        <w:t xml:space="preserve">Train downstream classifiers on synthetic vs. real data; compare test performance.</w:t>
      </w:r>
    </w:p>
    <w:p>
      <w:pPr>
        <w:pStyle w:val="ListParagraph"/>
        <w:numPr>
          <w:ilvl w:val="0"/>
          <w:numId w:val="2"/>
        </w:numPr>
        <w:spacing w:after="100" w:line="280"/>
      </w:pPr>
      <w:r>
        <w:rPr>
          <w:sz w:val="21"/>
          <w:szCs w:val="21"/>
        </w:rPr>
        <w:t xml:space="preserve">Run the risk-tier empirical validation loop (Section 3.3) and report the correlation result.</w:t>
      </w:r>
    </w:p>
    <w:p>
      <w:pPr>
        <w:pStyle w:val="ListParagraph"/>
        <w:numPr>
          <w:ilvl w:val="0"/>
          <w:numId w:val="2"/>
        </w:numPr>
        <w:spacing w:after="100" w:line="280"/>
      </w:pPr>
      <w:r>
        <w:rPr>
          <w:sz w:val="21"/>
          <w:szCs w:val="21"/>
        </w:rPr>
        <w:t xml:space="preserve">Assemble the five visualizations from actual results.</w:t>
      </w:r>
    </w:p>
    <w:p>
      <w:pPr>
        <w:pStyle w:val="Heading3"/>
        <w:spacing w:after="120" w:before="240"/>
      </w:pPr>
      <w:r>
        <w:rPr>
          <w:b/>
          <w:bCs/>
          <w:color w:val="333333"/>
          <w:sz w:val="22"/>
          <w:szCs w:val="22"/>
        </w:rPr>
        <w:t xml:space="preserve">Phase 8 — Buffer / Extra Iterations</w:t>
      </w:r>
    </w:p>
    <w:p>
      <w:pPr>
        <w:pStyle w:val="ListParagraph"/>
        <w:numPr>
          <w:ilvl w:val="0"/>
          <w:numId w:val="2"/>
        </w:numPr>
        <w:spacing w:after="100" w:line="280"/>
      </w:pPr>
      <w:r>
        <w:rPr>
          <w:sz w:val="21"/>
          <w:szCs w:val="21"/>
        </w:rPr>
        <w:t xml:space="preserve">Identify weak points or gaps in the Pareto frontier.</w:t>
      </w:r>
    </w:p>
    <w:p>
      <w:pPr>
        <w:pStyle w:val="ListParagraph"/>
        <w:numPr>
          <w:ilvl w:val="0"/>
          <w:numId w:val="2"/>
        </w:numPr>
        <w:spacing w:after="100" w:line="280"/>
      </w:pPr>
      <w:r>
        <w:rPr>
          <w:sz w:val="21"/>
          <w:szCs w:val="21"/>
        </w:rPr>
        <w:t xml:space="preserve">Re-run targeted ε values or adjust the noise schedule shape to fill gaps.</w:t>
      </w:r>
    </w:p>
    <w:p>
      <w:pPr>
        <w:pStyle w:val="ListParagraph"/>
        <w:numPr>
          <w:ilvl w:val="0"/>
          <w:numId w:val="2"/>
        </w:numPr>
        <w:spacing w:after="100" w:line="280"/>
      </w:pPr>
      <w:r>
        <w:rPr>
          <w:sz w:val="21"/>
          <w:szCs w:val="21"/>
        </w:rPr>
        <w:t xml:space="preserve">Re-validate MIA results with the strongest available attack for final reporting.</w:t>
      </w:r>
    </w:p>
    <w:p>
      <w:pPr>
        <w:pStyle w:val="Heading3"/>
        <w:spacing w:after="120" w:before="240"/>
      </w:pPr>
      <w:r>
        <w:rPr>
          <w:b/>
          <w:bCs/>
          <w:color w:val="333333"/>
          <w:sz w:val="22"/>
          <w:szCs w:val="22"/>
        </w:rPr>
        <w:t xml:space="preserve">Phase 9 — Report Writing (parallel throughout)</w:t>
      </w:r>
    </w:p>
    <w:p>
      <w:pPr>
        <w:pStyle w:val="ListParagraph"/>
        <w:numPr>
          <w:ilvl w:val="0"/>
          <w:numId w:val="2"/>
        </w:numPr>
        <w:spacing w:after="100" w:line="280"/>
      </w:pPr>
      <w:r>
        <w:rPr>
          <w:sz w:val="21"/>
          <w:szCs w:val="21"/>
        </w:rPr>
        <w:t xml:space="preserve">Draft sections as each phase completes rather than at the end.</w:t>
      </w:r>
    </w:p>
    <w:p>
      <w:pPr>
        <w:pStyle w:val="ListParagraph"/>
        <w:numPr>
          <w:ilvl w:val="0"/>
          <w:numId w:val="2"/>
        </w:numPr>
        <w:spacing w:after="100" w:line="280"/>
      </w:pPr>
      <w:r>
        <w:rPr>
          <w:sz w:val="21"/>
          <w:szCs w:val="21"/>
        </w:rPr>
        <w:t xml:space="preserve">Keep novelty claims, architecture description, and evaluation protocol consistent with what was actually run.</w:t>
      </w:r>
    </w:p>
    <w:p>
      <w:pPr>
        <w:pStyle w:val="Heading3"/>
        <w:spacing w:after="120" w:before="240"/>
      </w:pPr>
      <w:r>
        <w:rPr>
          <w:b/>
          <w:bCs/>
          <w:color w:val="333333"/>
          <w:sz w:val="22"/>
          <w:szCs w:val="22"/>
        </w:rPr>
        <w:t xml:space="preserve">Phase 10 — Final Review &amp; Submission</w:t>
      </w:r>
    </w:p>
    <w:p>
      <w:pPr>
        <w:pStyle w:val="ListParagraph"/>
        <w:numPr>
          <w:ilvl w:val="0"/>
          <w:numId w:val="2"/>
        </w:numPr>
        <w:spacing w:after="100" w:line="280"/>
      </w:pPr>
      <w:r>
        <w:rPr>
          <w:sz w:val="21"/>
          <w:szCs w:val="21"/>
        </w:rPr>
        <w:t xml:space="preserve">Verify reproducibility end-to-end from raw CSV to synthetic CSV and metrics.</w:t>
      </w:r>
    </w:p>
    <w:p>
      <w:pPr>
        <w:pStyle w:val="ListParagraph"/>
        <w:numPr>
          <w:ilvl w:val="0"/>
          <w:numId w:val="2"/>
        </w:numPr>
        <w:spacing w:after="100" w:line="280"/>
      </w:pPr>
      <w:r>
        <w:rPr>
          <w:sz w:val="21"/>
          <w:szCs w:val="21"/>
        </w:rPr>
        <w:t xml:space="preserve">Finalize figures, proofread, package deliverables.</w:t>
      </w:r>
    </w:p>
    <w:p>
      <w:pPr>
        <w:pStyle w:val="ListParagraph"/>
        <w:numPr>
          <w:ilvl w:val="0"/>
          <w:numId w:val="2"/>
        </w:numPr>
        <w:spacing w:after="100" w:line="280"/>
      </w:pPr>
      <w:r>
        <w:rPr>
          <w:sz w:val="21"/>
          <w:szCs w:val="21"/>
        </w:rPr>
        <w:t xml:space="preserve">Submit.</w:t>
      </w:r>
    </w:p>
    <w:p>
      <w:pPr>
        <w:pStyle w:val="Heading1"/>
        <w:pBdr>
          <w:bottom w:val="single" w:color="1F3864" w:sz="8" w:space="4"/>
        </w:pBdr>
        <w:spacing w:after="220" w:before="480"/>
      </w:pPr>
      <w:r>
        <w:rPr>
          <w:color w:val="1F3864"/>
        </w:rPr>
        <w:t xml:space="preserve">9.  Tooling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60"/>
        <w:gridCol w:w="22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Tool</w:t>
            </w:r>
          </w:p>
        </w:tc>
        <w:tc>
          <w:tcPr>
            <w:tcW w:type="dxa" w:w="2700"/>
            <w:shd w:fill="1F3864" w:val="clear"/>
            <w:tcMar>
              <w:top w:type="dxa" w:w="80"/>
              <w:left w:type="dxa" w:w="100"/>
              <w:bottom w:type="dxa" w:w="80"/>
              <w:right w:type="dxa" w:w="100"/>
            </w:tcMar>
            <w:vAlign w:val="center"/>
          </w:tcPr>
          <w:p>
            <w:pPr>
              <w:jc w:val="left"/>
            </w:pPr>
            <w:r>
              <w:rPr>
                <w:b/>
                <w:bCs/>
                <w:color w:val="FFFFFF"/>
                <w:sz w:val="19"/>
                <w:szCs w:val="19"/>
              </w:rPr>
              <w:t xml:space="preserve">Role</w:t>
            </w:r>
          </w:p>
        </w:tc>
        <w:tc>
          <w:tcPr>
            <w:tcW w:type="dxa" w:w="2260"/>
            <w:shd w:fill="1F3864" w:val="clear"/>
            <w:tcMar>
              <w:top w:type="dxa" w:w="80"/>
              <w:left w:type="dxa" w:w="100"/>
              <w:bottom w:type="dxa" w:w="80"/>
              <w:right w:type="dxa" w:w="100"/>
            </w:tcMar>
            <w:vAlign w:val="center"/>
          </w:tcPr>
          <w:p>
            <w:pPr>
              <w:jc w:val="left"/>
            </w:pPr>
            <w:r>
              <w:rPr>
                <w:b/>
                <w:bCs/>
                <w:color w:val="FFFFFF"/>
                <w:sz w:val="19"/>
                <w:szCs w:val="19"/>
              </w:rPr>
              <w:t xml:space="preserve">Constraint</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Kaggle (Free Tier)</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GPU training</w:t>
            </w:r>
          </w:p>
        </w:tc>
        <w:tc>
          <w:tcPr>
            <w:tcW w:type="dxa" w:w="22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~30 GPU-hrs/week, weekly reset</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Schedule heavy runs at reset; short, checkpointed runs</w:t>
            </w:r>
          </w:p>
        </w:tc>
      </w:tr>
      <w:tr>
        <w:tc>
          <w:tcPr>
            <w:tcW w:type="dxa" w:w="22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Opacus / TF-Privacy</w:t>
            </w:r>
          </w:p>
        </w:tc>
        <w:tc>
          <w:tcPr>
            <w:tcW w:type="dxa" w:w="27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Per-sample gradients, clipping, noise, accountant</w:t>
            </w:r>
          </w:p>
        </w:tc>
        <w:tc>
          <w:tcPr>
            <w:tcW w:type="dxa" w:w="22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Added memory overhead</w:t>
            </w:r>
          </w:p>
        </w:tc>
        <w:tc>
          <w:tcPr>
            <w:tcW w:type="dxa" w:w="22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Micro-batching, mixed precision</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Cline (VS Code) + LLM</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Code scaffolding, debugging, eval scripts</w:t>
            </w:r>
          </w:p>
        </w:tc>
        <w:tc>
          <w:tcPr>
            <w:tcW w:type="dxa" w:w="22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Bound by LLM context/rate limits</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Keep training itself on Kaggle GPUs</w:t>
            </w:r>
          </w:p>
        </w:tc>
      </w:tr>
      <w:tr>
        <w:tc>
          <w:tcPr>
            <w:tcW w:type="dxa" w:w="22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Antigravity ×5 accounts</w:t>
            </w:r>
          </w:p>
        </w:tc>
        <w:tc>
          <w:tcPr>
            <w:tcW w:type="dxa" w:w="27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Parallel agentic coding across workstreams</w:t>
            </w:r>
          </w:p>
        </w:tc>
        <w:tc>
          <w:tcPr>
            <w:tcW w:type="dxa" w:w="22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Per-account free-tier cap</w:t>
            </w:r>
          </w:p>
        </w:tc>
        <w:tc>
          <w:tcPr>
            <w:tcW w:type="dxa" w:w="22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Rotate accounts across data / DP / eval / report workstreams</w:t>
            </w:r>
          </w:p>
        </w:tc>
      </w:tr>
    </w:tbl>
    <w:p>
      <w:pPr>
        <w:pStyle w:val="Heading1"/>
        <w:pBdr>
          <w:bottom w:val="single" w:color="1F3864" w:sz="8" w:space="4"/>
        </w:pBdr>
        <w:spacing w:after="220" w:before="480"/>
      </w:pPr>
      <w:r>
        <w:rPr>
          <w:color w:val="1F3864"/>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shd w:fill="1F3864"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Impact</w:t>
            </w:r>
          </w:p>
        </w:tc>
        <w:tc>
          <w:tcPr>
            <w:tcW w:type="dxa" w:w="3360"/>
            <w:shd w:fill="1F3864"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3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Naive composition across noise sources</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Invalidates the formal (ε, δ) guarantee</w:t>
            </w:r>
          </w:p>
        </w:tc>
        <w:tc>
          <w:tcPr>
            <w:tcW w:type="dxa" w:w="33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Route every noise source through one accountant</w:t>
            </w:r>
          </w:p>
        </w:tc>
      </w:tr>
      <w:tr>
        <w:tc>
          <w:tcPr>
            <w:tcW w:type="dxa" w:w="3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Correlated-feature leakage across tiers</w:t>
            </w:r>
          </w:p>
        </w:tc>
        <w:tc>
          <w:tcPr>
            <w:tcW w:type="dxa" w:w="29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Tight-budget field still inferable via a correlated loose-budget field</w:t>
            </w:r>
          </w:p>
        </w:tc>
        <w:tc>
          <w:tcPr>
            <w:tcW w:type="dxa" w:w="33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Group correlated fields into the same risk tier</w:t>
            </w:r>
          </w:p>
        </w:tc>
      </w:tr>
      <w:tr>
        <w:tc>
          <w:tcPr>
            <w:tcW w:type="dxa" w:w="3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Utility collapse on high-cardinality fields</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Aggressive noise wipes out signal on rare codes</w:t>
            </w:r>
          </w:p>
        </w:tc>
        <w:tc>
          <w:tcPr>
            <w:tcW w:type="dxa" w:w="33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Reduce embedding dimensionality before DP noise</w:t>
            </w:r>
          </w:p>
        </w:tc>
      </w:tr>
      <w:tr>
        <w:tc>
          <w:tcPr>
            <w:tcW w:type="dxa" w:w="3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Per-sample gradient memory blowup</w:t>
            </w:r>
          </w:p>
        </w:tc>
        <w:tc>
          <w:tcPr>
            <w:tcW w:type="dxa" w:w="29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Exceeds available GPU memory / quota</w:t>
            </w:r>
          </w:p>
        </w:tc>
        <w:tc>
          <w:tcPr>
            <w:tcW w:type="dxa" w:w="33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Micro-batching, mixed precision</w:t>
            </w:r>
          </w:p>
        </w:tc>
      </w:tr>
      <w:tr>
        <w:tc>
          <w:tcPr>
            <w:tcW w:type="dxa" w:w="3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Weak MIA overclaiming privacy</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Reported attacker success understates real risk</w:t>
            </w:r>
          </w:p>
        </w:tc>
        <w:tc>
          <w:tcPr>
            <w:tcW w:type="dxa" w:w="33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 a calibrated, strong attack, not a toy classifier</w:t>
            </w:r>
          </w:p>
        </w:tc>
      </w:tr>
      <w:tr>
        <w:tc>
          <w:tcPr>
            <w:tcW w:type="dxa" w:w="3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Narrow compute budget vs. hyperparameter search</w:t>
            </w:r>
          </w:p>
        </w:tc>
        <w:tc>
          <w:tcPr>
            <w:tcW w:type="dxa" w:w="29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Insufficient runs to find a good ε/σ setting</w:t>
            </w:r>
          </w:p>
        </w:tc>
        <w:tc>
          <w:tcPr>
            <w:tcW w:type="dxa" w:w="33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Fix clip norm early; small targeted grid only</w:t>
            </w:r>
          </w:p>
        </w:tc>
      </w:tr>
      <w:tr>
        <w:tc>
          <w:tcPr>
            <w:tcW w:type="dxa" w:w="3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Risk-tier heuristic mismatched to real identifiability</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Central novelty claim weakened</w:t>
            </w:r>
          </w:p>
        </w:tc>
        <w:tc>
          <w:tcPr>
            <w:tcW w:type="dxa" w:w="33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HIPAA cross-reference + empirical validation loop (Section 3)</w:t>
            </w:r>
          </w:p>
        </w:tc>
      </w:tr>
      <w:tr>
        <w:tc>
          <w:tcPr>
            <w:tcW w:type="dxa" w:w="31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Adapter branch poorly matched to a novel schema</w:t>
            </w:r>
          </w:p>
        </w:tc>
        <w:tc>
          <w:tcPr>
            <w:tcW w:type="dxa" w:w="29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Small-dataset branch underperforms</w:t>
            </w:r>
          </w:p>
        </w:tc>
        <w:tc>
          <w:tcPr>
            <w:tcW w:type="dxa" w:w="33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Explicitly test both a close-match and poor-match case in evaluation</w:t>
            </w:r>
          </w:p>
        </w:tc>
      </w:tr>
    </w:tbl>
    <w:p>
      <w:pPr>
        <w:pStyle w:val="Heading1"/>
        <w:pBdr>
          <w:bottom w:val="single" w:color="1F3864" w:sz="8" w:space="4"/>
        </w:pBdr>
        <w:spacing w:after="220" w:before="480"/>
      </w:pPr>
      <w:r>
        <w:rPr>
          <w:color w:val="1F3864"/>
        </w:rPr>
        <w:t xml:space="preserve">11.  Deliverables and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val="clear"/>
            <w:tcMar>
              <w:top w:type="dxa" w:w="80"/>
              <w:left w:type="dxa" w:w="100"/>
              <w:bottom w:type="dxa" w:w="80"/>
              <w:right w:type="dxa" w:w="100"/>
            </w:tcMar>
            <w:vAlign w:val="center"/>
          </w:tcPr>
          <w:p>
            <w:pPr>
              <w:jc w:val="left"/>
            </w:pPr>
            <w:r>
              <w:rPr>
                <w:b/>
                <w:bCs/>
                <w:color w:val="FFFFFF"/>
                <w:sz w:val="19"/>
                <w:szCs w:val="19"/>
              </w:rPr>
              <w:t xml:space="preserve">Deliverable</w:t>
            </w:r>
          </w:p>
        </w:tc>
        <w:tc>
          <w:tcPr>
            <w:tcW w:type="dxa" w:w="5760"/>
            <w:shd w:fill="1F3864" w:val="clear"/>
            <w:tcMar>
              <w:top w:type="dxa" w:w="80"/>
              <w:left w:type="dxa" w:w="100"/>
              <w:bottom w:type="dxa" w:w="80"/>
              <w:right w:type="dxa" w:w="100"/>
            </w:tcMar>
            <w:vAlign w:val="center"/>
          </w:tcPr>
          <w:p>
            <w:pPr>
              <w:jc w:val="left"/>
            </w:pPr>
            <w:r>
              <w:rPr>
                <w:b/>
                <w:bCs/>
                <w:color w:val="FFFFFF"/>
                <w:sz w:val="19"/>
                <w:szCs w:val="19"/>
              </w:rPr>
              <w:t xml:space="preserve">Success Criteria</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Cleaned tensor dataset + schema registry</w:t>
            </w:r>
          </w:p>
        </w:tc>
        <w:tc>
          <w:tcPr>
            <w:tcW w:type="dxa" w:w="57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Reversible: registry + tensor row reconstructs a valid original-format record</w:t>
            </w:r>
          </w:p>
        </w:tc>
      </w:tr>
      <w:tr>
        <w:tc>
          <w:tcPr>
            <w:tcW w:type="dxa" w:w="36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Non-DP baseline diffusion model</w:t>
            </w:r>
          </w:p>
        </w:tc>
        <w:tc>
          <w:tcPr>
            <w:tcW w:type="dxa" w:w="57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Converged loss, plausible unconditional samples</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DP-trained checkpoints (per ε)</w:t>
            </w:r>
          </w:p>
        </w:tc>
        <w:tc>
          <w:tcPr>
            <w:tcW w:type="dxa" w:w="57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Accountant-reported ε matches target within tolerance</w:t>
            </w:r>
          </w:p>
        </w:tc>
      </w:tr>
      <w:tr>
        <w:tc>
          <w:tcPr>
            <w:tcW w:type="dxa" w:w="36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Small-dataset adapter branch</w:t>
            </w:r>
          </w:p>
        </w:tc>
        <w:tc>
          <w:tcPr>
            <w:tcW w:type="dxa" w:w="57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Produces a valid checkpoint with independently tracked ε for the fine-tuning step</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Synthetic dataset export</w:t>
            </w:r>
          </w:p>
        </w:tc>
        <w:tc>
          <w:tcPr>
            <w:tcW w:type="dxa" w:w="57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Exact column match, dtype match, valid category values, plausible ranges vs. real data</w:t>
            </w:r>
          </w:p>
        </w:tc>
      </w:tr>
      <w:tr>
        <w:tc>
          <w:tcPr>
            <w:tcW w:type="dxa" w:w="36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Risk-tier validation result</w:t>
            </w:r>
          </w:p>
        </w:tc>
        <w:tc>
          <w:tcPr>
            <w:tcW w:type="dxa" w:w="57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Empirical leakage ranking reported alongside heuristic tiers, with correlation stated plainly</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Evaluation report</w:t>
            </w:r>
          </w:p>
        </w:tc>
        <w:tc>
          <w:tcPr>
            <w:tcW w:type="dxa" w:w="576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All five visualizations populated with real, not placeholder, results</w:t>
            </w:r>
          </w:p>
        </w:tc>
      </w:tr>
      <w:tr>
        <w:tc>
          <w:tcPr>
            <w:tcW w:type="dxa" w:w="360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Final report</w:t>
            </w:r>
          </w:p>
        </w:tc>
        <w:tc>
          <w:tcPr>
            <w:tcW w:type="dxa" w:w="5760"/>
            <w:shd w:fill="F5F7FA" w:val="clear"/>
            <w:tcMar>
              <w:top w:type="dxa" w:w="80"/>
              <w:left w:type="dxa" w:w="100"/>
              <w:bottom w:type="dxa" w:w="80"/>
              <w:right w:type="dxa" w:w="100"/>
            </w:tcMar>
            <w:vAlign w:val="center"/>
          </w:tcPr>
          <w:p>
            <w:pPr>
              <w:jc w:val="left"/>
            </w:pPr>
            <w:r>
              <w:rPr>
                <w:b w:val="false"/>
                <w:bCs w:val="false"/>
                <w:color w:val="222222"/>
                <w:sz w:val="19"/>
                <w:szCs w:val="19"/>
              </w:rPr>
              <w:t xml:space="preserve">Novelty claim, method, and results are internally consistent and reproducible</w:t>
            </w:r>
          </w:p>
        </w:tc>
      </w:tr>
    </w:tbl>
    <w:p>
      <w:pPr>
        <w:pStyle w:val="Heading1"/>
        <w:pBdr>
          <w:bottom w:val="single" w:color="1F3864" w:sz="8" w:space="4"/>
        </w:pBdr>
        <w:spacing w:after="220" w:before="480"/>
      </w:pPr>
      <w:r>
        <w:rPr>
          <w:color w:val="1F3864"/>
        </w:rPr>
        <w:t xml:space="preserve">12.  Appendix — Key Parameters to Track</w:t>
      </w:r>
    </w:p>
    <w:p>
      <w:pPr>
        <w:pStyle w:val="ListParagraph"/>
        <w:numPr>
          <w:ilvl w:val="0"/>
          <w:numId w:val="2"/>
        </w:numPr>
        <w:spacing w:after="100" w:line="280"/>
      </w:pPr>
      <w:r>
        <w:rPr>
          <w:sz w:val="21"/>
          <w:szCs w:val="21"/>
        </w:rPr>
        <w:t xml:space="preserve">Clipping norm C (per risk tier)</w:t>
      </w:r>
    </w:p>
    <w:p>
      <w:pPr>
        <w:pStyle w:val="ListParagraph"/>
        <w:numPr>
          <w:ilvl w:val="0"/>
          <w:numId w:val="2"/>
        </w:numPr>
        <w:spacing w:after="100" w:line="280"/>
      </w:pPr>
      <w:r>
        <w:rPr>
          <w:sz w:val="21"/>
          <w:szCs w:val="21"/>
        </w:rPr>
        <w:t xml:space="preserve">Noise multiplier σ (per diffusion timestep bucket)</w:t>
      </w:r>
    </w:p>
    <w:p>
      <w:pPr>
        <w:pStyle w:val="ListParagraph"/>
        <w:numPr>
          <w:ilvl w:val="0"/>
          <w:numId w:val="2"/>
        </w:numPr>
        <w:spacing w:after="100" w:line="280"/>
      </w:pPr>
      <w:r>
        <w:rPr>
          <w:sz w:val="21"/>
          <w:szCs w:val="21"/>
        </w:rPr>
        <w:t xml:space="preserve">Target ε values swept: 0.5, 1, 2, 5, 10</w:t>
      </w:r>
    </w:p>
    <w:p>
      <w:pPr>
        <w:pStyle w:val="ListParagraph"/>
        <w:numPr>
          <w:ilvl w:val="0"/>
          <w:numId w:val="2"/>
        </w:numPr>
        <w:spacing w:after="100" w:line="280"/>
      </w:pPr>
      <w:r>
        <w:rPr>
          <w:sz w:val="21"/>
          <w:szCs w:val="21"/>
        </w:rPr>
        <w:t xml:space="preserve">δ (typically set to less than 1/N, where N = dataset size)</w:t>
      </w:r>
    </w:p>
    <w:p>
      <w:pPr>
        <w:pStyle w:val="ListParagraph"/>
        <w:numPr>
          <w:ilvl w:val="0"/>
          <w:numId w:val="2"/>
        </w:numPr>
        <w:spacing w:after="100" w:line="280"/>
      </w:pPr>
      <w:r>
        <w:rPr>
          <w:sz w:val="21"/>
          <w:szCs w:val="21"/>
        </w:rPr>
        <w:t xml:space="preserve">Diffusion timesteps T</w:t>
      </w:r>
    </w:p>
    <w:p>
      <w:pPr>
        <w:pStyle w:val="ListParagraph"/>
        <w:numPr>
          <w:ilvl w:val="0"/>
          <w:numId w:val="2"/>
        </w:numPr>
        <w:spacing w:after="100" w:line="280"/>
      </w:pPr>
      <w:r>
        <w:rPr>
          <w:sz w:val="21"/>
          <w:szCs w:val="21"/>
        </w:rPr>
        <w:t xml:space="preserve">Batch size, number of epochs, learning rate</w:t>
      </w:r>
    </w:p>
    <w:p>
      <w:pPr>
        <w:pStyle w:val="ListParagraph"/>
        <w:numPr>
          <w:ilvl w:val="0"/>
          <w:numId w:val="2"/>
        </w:numPr>
        <w:spacing w:after="100" w:line="280"/>
      </w:pPr>
      <w:r>
        <w:rPr>
          <w:sz w:val="21"/>
          <w:szCs w:val="21"/>
        </w:rPr>
        <w:t xml:space="preserve">Small-dataset size threshold (defines when Phase 5b triggers)</w:t>
      </w:r>
    </w:p>
    <w:p>
      <w:pPr>
        <w:pStyle w:val="ListParagraph"/>
        <w:numPr>
          <w:ilvl w:val="0"/>
          <w:numId w:val="2"/>
        </w:numPr>
        <w:spacing w:after="100" w:line="280"/>
      </w:pPr>
      <w:r>
        <w:rPr>
          <w:sz w:val="21"/>
          <w:szCs w:val="21"/>
        </w:rPr>
        <w:t xml:space="preserve">Model registry schema-compatibility scoring weights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Synthetic Healthcare Data Generation — Architecture &amp;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480"/>
    </w:pPr>
    <w:rPr>
      <w:rFonts w:ascii="Calibri" w:cs="Calibri" w:eastAsia="Calibri" w:hAnsi="Calibri"/>
      <w:b/>
      <w:bCs/>
      <w:color w:val="1F3864"/>
      <w:sz w:val="30"/>
      <w:szCs w:val="30"/>
    </w:rPr>
  </w:style>
  <w:style w:type="paragraph" w:styleId="Heading2">
    <w:name w:val="Heading 2"/>
    <w:basedOn w:val="Normal"/>
    <w:next w:val="Normal"/>
    <w:qFormat/>
    <w:pPr>
      <w:spacing w:after="160" w:before="320"/>
    </w:pPr>
    <w:rPr>
      <w:rFonts w:ascii="Calibri" w:cs="Calibri" w:eastAsia="Calibri" w:hAnsi="Calibri"/>
      <w:b/>
      <w:bCs/>
      <w:color w:val="2E5395"/>
      <w:sz w:val="24"/>
      <w:szCs w:val="24"/>
    </w:rPr>
  </w:style>
  <w:style w:type="paragraph" w:styleId="Heading3">
    <w:name w:val="Heading 3"/>
    <w:basedOn w:val="Normal"/>
    <w:next w:val="Normal"/>
    <w:qFormat/>
    <w:pPr>
      <w:spacing w:after="120" w:before="240"/>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Architecture &amp; Execution Plan</dc:title>
  <dc:creator>Sathya Sai S, Sudharshini Manikandan, Vishwa D</dc:creator>
  <cp:lastModifiedBy>Un-named</cp:lastModifiedBy>
  <cp:revision>1</cp:revision>
  <dcterms:created xsi:type="dcterms:W3CDTF">2026-07-25T04:57:23.546Z</dcterms:created>
  <dcterms:modified xsi:type="dcterms:W3CDTF">2026-07-25T04:57:23.546Z</dcterms:modified>
</cp:coreProperties>
</file>

<file path=docProps/custom.xml><?xml version="1.0" encoding="utf-8"?>
<Properties xmlns="http://schemas.openxmlformats.org/officeDocument/2006/custom-properties" xmlns:vt="http://schemas.openxmlformats.org/officeDocument/2006/docPropsVTypes"/>
</file>