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project introduces a fresh privacy-preserving framework aimed at generating synthetic sensitive healthcare data. Our approach combines intensive data profiling and risk-tiering with differentially private diffusion models, specifically DP-SGD. By identifying HIPAA identifiers automatically, managing data structural missingness, and adjusting cryptographic noise in response to dynamically assigned privacy levels, the system is able to produce synthetic datasets of high utility. This system effectively reduces risks of membership inference attacks while maintaining complex medical correlations across columns. It opens a safe pathway for widespread healthcare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