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pPr>
    </w:p>
    <w:p>
      <w:pPr>
        <w:jc w:val="center"/>
      </w:pPr>
      <w:r>
        <w:rPr>
          <w:rFonts w:ascii="Arial" w:hAnsi="Arial"/>
          <w:b/>
          <w:color w:val="B8860B"/>
          <w:sz w:val="19"/>
        </w:rPr>
        <w:t>TECHNICAL ENGINEERING &amp; ACADEMIC PROJECT REPORT</w:t>
      </w:r>
    </w:p>
    <w:p>
      <w:pPr>
        <w:spacing w:before="200" w:after="80"/>
        <w:jc w:val="center"/>
      </w:pPr>
      <w:r>
        <w:rPr>
          <w:rFonts w:ascii="Arial" w:hAnsi="Arial"/>
          <w:b/>
          <w:color w:val="192A56"/>
          <w:sz w:val="60"/>
        </w:rPr>
        <w:t>MetricMind AI</w:t>
      </w:r>
    </w:p>
    <w:p>
      <w:pPr>
        <w:spacing w:after="160"/>
        <w:jc w:val="center"/>
      </w:pPr>
      <w:r>
        <w:rPr>
          <w:rFonts w:ascii="Arial" w:hAnsi="Arial"/>
          <w:b/>
          <w:color w:val="1E3A6E"/>
          <w:sz w:val="32"/>
        </w:rPr>
        <w:t>Agentic Semantic Business Intelligence Engine</w:t>
      </w:r>
    </w:p>
    <w:p>
      <w:pPr>
        <w:spacing w:after="320"/>
        <w:jc w:val="center"/>
      </w:pPr>
      <w:r>
        <w:rPr>
          <w:rFonts w:ascii="Arial" w:hAnsi="Arial"/>
          <w:i/>
          <w:color w:val="475569"/>
          <w:sz w:val="22"/>
        </w:rPr>
        <w:t>A Governed Conversational Semantic Architecture for Enterprise Decision Support</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824"/>
        <w:gridCol w:w="4824"/>
      </w:tblGrid>
      <w:tr>
        <w:tc>
          <w:tcPr>
            <w:tcW w:type="dxa" w:w="3168"/>
            <w:shd w:fill="F1F5F9"/>
            <w:tcMar>
              <w:top w:w="50" w:type="dxa"/>
              <w:bottom w:w="50" w:type="dxa"/>
              <w:left w:w="90" w:type="dxa"/>
              <w:right w:w="90" w:type="dxa"/>
            </w:tcMar>
          </w:tcPr>
          <w:p>
            <w:pPr>
              <w:spacing w:after="0"/>
            </w:pPr>
            <w:r>
              <w:rPr>
                <w:rFonts w:ascii="Arial" w:hAnsi="Arial"/>
                <w:b/>
                <w:color w:val="192A56"/>
                <w:sz w:val="16"/>
              </w:rPr>
              <w:t>Project Title</w:t>
            </w:r>
          </w:p>
        </w:tc>
        <w:tc>
          <w:tcPr>
            <w:tcW w:type="dxa" w:w="6480"/>
            <w:shd w:fill="FFFFFF"/>
            <w:tcMar>
              <w:top w:w="50" w:type="dxa"/>
              <w:bottom w:w="50" w:type="dxa"/>
              <w:left w:w="90" w:type="dxa"/>
              <w:right w:w="90" w:type="dxa"/>
            </w:tcMar>
          </w:tcPr>
          <w:p>
            <w:pPr>
              <w:spacing w:after="0"/>
            </w:pPr>
            <w:r>
              <w:rPr>
                <w:rFonts w:ascii="Arial" w:hAnsi="Arial"/>
                <w:color w:val="1E293B"/>
                <w:sz w:val="16"/>
              </w:rPr>
              <w:t>MetricMind AI: Agentic Semantic Business Intelligence Engine</w:t>
            </w:r>
          </w:p>
        </w:tc>
      </w:tr>
      <w:tr>
        <w:tc>
          <w:tcPr>
            <w:tcW w:type="dxa" w:w="3168"/>
            <w:shd w:fill="F1F5F9"/>
            <w:tcMar>
              <w:top w:w="50" w:type="dxa"/>
              <w:bottom w:w="50" w:type="dxa"/>
              <w:left w:w="90" w:type="dxa"/>
              <w:right w:w="90" w:type="dxa"/>
            </w:tcMar>
          </w:tcPr>
          <w:p>
            <w:pPr>
              <w:spacing w:after="0"/>
            </w:pPr>
            <w:r>
              <w:rPr>
                <w:rFonts w:ascii="Arial" w:hAnsi="Arial"/>
                <w:b/>
                <w:color w:val="192A56"/>
                <w:sz w:val="16"/>
              </w:rPr>
              <w:t>Project Repository</w:t>
            </w:r>
          </w:p>
        </w:tc>
        <w:tc>
          <w:tcPr>
            <w:tcW w:type="dxa" w:w="6480"/>
            <w:shd w:fill="FFFFFF"/>
            <w:tcMar>
              <w:top w:w="50" w:type="dxa"/>
              <w:bottom w:w="50" w:type="dxa"/>
              <w:left w:w="90" w:type="dxa"/>
              <w:right w:w="90" w:type="dxa"/>
            </w:tcMar>
          </w:tcPr>
          <w:p>
            <w:pPr>
              <w:spacing w:after="0"/>
            </w:pPr>
            <w:r>
              <w:rPr>
                <w:rFonts w:ascii="Arial" w:hAnsi="Arial"/>
                <w:color w:val="1E293B"/>
                <w:sz w:val="16"/>
              </w:rPr>
              <w:t>https://github.com/Tushardalu07/MetricMind</w:t>
            </w:r>
          </w:p>
        </w:tc>
      </w:tr>
      <w:tr>
        <w:tc>
          <w:tcPr>
            <w:tcW w:type="dxa" w:w="3168"/>
            <w:shd w:fill="F1F5F9"/>
            <w:tcMar>
              <w:top w:w="50" w:type="dxa"/>
              <w:bottom w:w="50" w:type="dxa"/>
              <w:left w:w="90" w:type="dxa"/>
              <w:right w:w="90" w:type="dxa"/>
            </w:tcMar>
          </w:tcPr>
          <w:p>
            <w:pPr>
              <w:spacing w:after="0"/>
            </w:pPr>
            <w:r>
              <w:rPr>
                <w:rFonts w:ascii="Arial" w:hAnsi="Arial"/>
                <w:b/>
                <w:color w:val="192A56"/>
                <w:sz w:val="16"/>
              </w:rPr>
              <w:t>Repository Root</w:t>
            </w:r>
          </w:p>
        </w:tc>
        <w:tc>
          <w:tcPr>
            <w:tcW w:type="dxa" w:w="6480"/>
            <w:shd w:fill="FFFFFF"/>
            <w:tcMar>
              <w:top w:w="50" w:type="dxa"/>
              <w:bottom w:w="50" w:type="dxa"/>
              <w:left w:w="90" w:type="dxa"/>
              <w:right w:w="90" w:type="dxa"/>
            </w:tcMar>
          </w:tcPr>
          <w:p>
            <w:pPr>
              <w:spacing w:after="0"/>
            </w:pPr>
            <w:r>
              <w:rPr>
                <w:rFonts w:ascii="Arial" w:hAnsi="Arial"/>
                <w:color w:val="1E293B"/>
                <w:sz w:val="16"/>
              </w:rPr>
              <w:t>MetricMind_AI</w:t>
            </w:r>
          </w:p>
        </w:tc>
      </w:tr>
      <w:tr>
        <w:tc>
          <w:tcPr>
            <w:tcW w:type="dxa" w:w="3168"/>
            <w:shd w:fill="F1F5F9"/>
            <w:tcMar>
              <w:top w:w="50" w:type="dxa"/>
              <w:bottom w:w="50" w:type="dxa"/>
              <w:left w:w="90" w:type="dxa"/>
              <w:right w:w="90" w:type="dxa"/>
            </w:tcMar>
          </w:tcPr>
          <w:p>
            <w:pPr>
              <w:spacing w:after="0"/>
            </w:pPr>
            <w:r>
              <w:rPr>
                <w:rFonts w:ascii="Arial" w:hAnsi="Arial"/>
                <w:b/>
                <w:color w:val="192A56"/>
                <w:sz w:val="16"/>
              </w:rPr>
              <w:t>Active Git Branch</w:t>
            </w:r>
          </w:p>
        </w:tc>
        <w:tc>
          <w:tcPr>
            <w:tcW w:type="dxa" w:w="6480"/>
            <w:shd w:fill="FFFFFF"/>
            <w:tcMar>
              <w:top w:w="50" w:type="dxa"/>
              <w:bottom w:w="50" w:type="dxa"/>
              <w:left w:w="90" w:type="dxa"/>
              <w:right w:w="90" w:type="dxa"/>
            </w:tcMar>
          </w:tcPr>
          <w:p>
            <w:pPr>
              <w:spacing w:after="0"/>
            </w:pPr>
            <w:r>
              <w:rPr>
                <w:rFonts w:ascii="Arial" w:hAnsi="Arial"/>
                <w:color w:val="1E293B"/>
                <w:sz w:val="16"/>
              </w:rPr>
              <w:t>integrate-team-updates</w:t>
            </w:r>
          </w:p>
        </w:tc>
      </w:tr>
      <w:tr>
        <w:tc>
          <w:tcPr>
            <w:tcW w:type="dxa" w:w="3168"/>
            <w:shd w:fill="F1F5F9"/>
            <w:tcMar>
              <w:top w:w="50" w:type="dxa"/>
              <w:bottom w:w="50" w:type="dxa"/>
              <w:left w:w="90" w:type="dxa"/>
              <w:right w:w="90" w:type="dxa"/>
            </w:tcMar>
          </w:tcPr>
          <w:p>
            <w:pPr>
              <w:spacing w:after="0"/>
            </w:pPr>
            <w:r>
              <w:rPr>
                <w:rFonts w:ascii="Arial" w:hAnsi="Arial"/>
                <w:b/>
                <w:color w:val="192A56"/>
                <w:sz w:val="16"/>
              </w:rPr>
              <w:t>Contributors</w:t>
            </w:r>
          </w:p>
        </w:tc>
        <w:tc>
          <w:tcPr>
            <w:tcW w:type="dxa" w:w="6480"/>
            <w:shd w:fill="FFFFFF"/>
            <w:tcMar>
              <w:top w:w="50" w:type="dxa"/>
              <w:bottom w:w="50" w:type="dxa"/>
              <w:left w:w="90" w:type="dxa"/>
              <w:right w:w="90" w:type="dxa"/>
            </w:tcMar>
          </w:tcPr>
          <w:p>
            <w:pPr>
              <w:spacing w:after="0"/>
            </w:pPr>
            <w:r>
              <w:rPr>
                <w:rFonts w:ascii="Arial" w:hAnsi="Arial"/>
                <w:color w:val="1E293B"/>
                <w:sz w:val="16"/>
              </w:rPr>
              <w:t>[Not provided in repository; Git commit logs identify Satyendra &amp; contributors]</w:t>
            </w:r>
          </w:p>
        </w:tc>
      </w:tr>
      <w:tr>
        <w:tc>
          <w:tcPr>
            <w:tcW w:type="dxa" w:w="3168"/>
            <w:shd w:fill="F1F5F9"/>
            <w:tcMar>
              <w:top w:w="50" w:type="dxa"/>
              <w:bottom w:w="50" w:type="dxa"/>
              <w:left w:w="90" w:type="dxa"/>
              <w:right w:w="90" w:type="dxa"/>
            </w:tcMar>
          </w:tcPr>
          <w:p>
            <w:pPr>
              <w:spacing w:after="0"/>
            </w:pPr>
            <w:r>
              <w:rPr>
                <w:rFonts w:ascii="Arial" w:hAnsi="Arial"/>
                <w:b/>
                <w:color w:val="192A56"/>
                <w:sz w:val="16"/>
              </w:rPr>
              <w:t>Supervisor / Institution</w:t>
            </w:r>
          </w:p>
        </w:tc>
        <w:tc>
          <w:tcPr>
            <w:tcW w:type="dxa" w:w="6480"/>
            <w:shd w:fill="FFFFFF"/>
            <w:tcMar>
              <w:top w:w="50" w:type="dxa"/>
              <w:bottom w:w="50" w:type="dxa"/>
              <w:left w:w="90" w:type="dxa"/>
              <w:right w:w="90" w:type="dxa"/>
            </w:tcMar>
          </w:tcPr>
          <w:p>
            <w:pPr>
              <w:spacing w:after="0"/>
            </w:pPr>
            <w:r>
              <w:rPr>
                <w:rFonts w:ascii="Arial" w:hAnsi="Arial"/>
                <w:color w:val="1E293B"/>
                <w:sz w:val="16"/>
              </w:rPr>
              <w:t>[Not provided in repository]</w:t>
            </w:r>
          </w:p>
        </w:tc>
      </w:tr>
      <w:tr>
        <w:tc>
          <w:tcPr>
            <w:tcW w:type="dxa" w:w="3168"/>
            <w:shd w:fill="F1F5F9"/>
            <w:tcMar>
              <w:top w:w="50" w:type="dxa"/>
              <w:bottom w:w="50" w:type="dxa"/>
              <w:left w:w="90" w:type="dxa"/>
              <w:right w:w="90" w:type="dxa"/>
            </w:tcMar>
          </w:tcPr>
          <w:p>
            <w:pPr>
              <w:spacing w:after="0"/>
            </w:pPr>
            <w:r>
              <w:rPr>
                <w:rFonts w:ascii="Arial" w:hAnsi="Arial"/>
                <w:b/>
                <w:color w:val="192A56"/>
                <w:sz w:val="16"/>
              </w:rPr>
              <w:t>Academic Year</w:t>
            </w:r>
          </w:p>
        </w:tc>
        <w:tc>
          <w:tcPr>
            <w:tcW w:type="dxa" w:w="6480"/>
            <w:shd w:fill="FFFFFF"/>
            <w:tcMar>
              <w:top w:w="50" w:type="dxa"/>
              <w:bottom w:w="50" w:type="dxa"/>
              <w:left w:w="90" w:type="dxa"/>
              <w:right w:w="90" w:type="dxa"/>
            </w:tcMar>
          </w:tcPr>
          <w:p>
            <w:pPr>
              <w:spacing w:after="0"/>
            </w:pPr>
            <w:r>
              <w:rPr>
                <w:rFonts w:ascii="Arial" w:hAnsi="Arial"/>
                <w:color w:val="1E293B"/>
                <w:sz w:val="16"/>
              </w:rPr>
              <w:t>2026</w:t>
            </w:r>
          </w:p>
        </w:tc>
      </w:tr>
      <w:tr>
        <w:tc>
          <w:tcPr>
            <w:tcW w:type="dxa" w:w="3168"/>
            <w:shd w:fill="F1F5F9"/>
            <w:tcMar>
              <w:top w:w="50" w:type="dxa"/>
              <w:bottom w:w="50" w:type="dxa"/>
              <w:left w:w="90" w:type="dxa"/>
              <w:right w:w="90" w:type="dxa"/>
            </w:tcMar>
          </w:tcPr>
          <w:p>
            <w:pPr>
              <w:spacing w:after="0"/>
            </w:pPr>
            <w:r>
              <w:rPr>
                <w:rFonts w:ascii="Arial" w:hAnsi="Arial"/>
                <w:b/>
                <w:color w:val="192A56"/>
                <w:sz w:val="16"/>
              </w:rPr>
              <w:t>Project Maturity Stage</w:t>
            </w:r>
          </w:p>
        </w:tc>
        <w:tc>
          <w:tcPr>
            <w:tcW w:type="dxa" w:w="6480"/>
            <w:shd w:fill="FFFFFF"/>
            <w:tcMar>
              <w:top w:w="50" w:type="dxa"/>
              <w:bottom w:w="50" w:type="dxa"/>
              <w:left w:w="90" w:type="dxa"/>
              <w:right w:w="90" w:type="dxa"/>
            </w:tcMar>
          </w:tcPr>
          <w:p>
            <w:pPr>
              <w:spacing w:after="0"/>
            </w:pPr>
            <w:r>
              <w:rPr>
                <w:rFonts w:ascii="Arial" w:hAnsi="Arial"/>
                <w:color w:val="1E293B"/>
                <w:sz w:val="16"/>
              </w:rPr>
              <w:t>Functional Multi-Tier Prototype / Architectural Proof-of-Concept (PoC)</w:t>
            </w:r>
          </w:p>
        </w:tc>
      </w:tr>
      <w:tr>
        <w:tc>
          <w:tcPr>
            <w:tcW w:type="dxa" w:w="3168"/>
            <w:shd w:fill="F1F5F9"/>
            <w:tcMar>
              <w:top w:w="50" w:type="dxa"/>
              <w:bottom w:w="50" w:type="dxa"/>
              <w:left w:w="90" w:type="dxa"/>
              <w:right w:w="90" w:type="dxa"/>
            </w:tcMar>
          </w:tcPr>
          <w:p>
            <w:pPr>
              <w:spacing w:after="0"/>
            </w:pPr>
            <w:r>
              <w:rPr>
                <w:rFonts w:ascii="Arial" w:hAnsi="Arial"/>
                <w:b/>
                <w:color w:val="192A56"/>
                <w:sz w:val="16"/>
              </w:rPr>
              <w:t>Document Version</w:t>
            </w:r>
          </w:p>
        </w:tc>
        <w:tc>
          <w:tcPr>
            <w:tcW w:type="dxa" w:w="6480"/>
            <w:shd w:fill="FFFFFF"/>
            <w:tcMar>
              <w:top w:w="50" w:type="dxa"/>
              <w:bottom w:w="50" w:type="dxa"/>
              <w:left w:w="90" w:type="dxa"/>
              <w:right w:w="90" w:type="dxa"/>
            </w:tcMar>
          </w:tcPr>
          <w:p>
            <w:pPr>
              <w:spacing w:after="0"/>
            </w:pPr>
            <w:r>
              <w:rPr>
                <w:rFonts w:ascii="Arial" w:hAnsi="Arial"/>
                <w:color w:val="1E293B"/>
                <w:sz w:val="16"/>
              </w:rPr>
              <w:t>3.0.0 (Enhanced Verification Edition)</w:t>
            </w:r>
          </w:p>
        </w:tc>
      </w:tr>
    </w:tbl>
    <w:p>
      <w:pPr>
        <w:spacing w:before="1200"/>
        <w:jc w:val="center"/>
      </w:pPr>
      <w:r>
        <w:rPr>
          <w:rFonts w:ascii="Arial" w:hAnsi="Arial"/>
          <w:color w:val="94A3B8"/>
          <w:sz w:val="16"/>
        </w:rPr>
        <w:t>Verified from local workspace, automated unit tests, and production build checks.</w:t>
        <w:br/>
        <w:t>Confidential Academic and Engineering Documentation.</w:t>
      </w:r>
    </w:p>
    <w:p>
      <w:r>
        <w:br w:type="page"/>
      </w:r>
    </w:p>
    <w:p>
      <w:pPr>
        <w:keepNext/>
        <w:spacing w:before="360" w:after="140"/>
      </w:pPr>
      <w:r>
        <w:rPr>
          <w:rFonts w:ascii="Arial" w:hAnsi="Arial"/>
          <w:b/>
          <w:color w:val="192A56"/>
          <w:sz w:val="32"/>
        </w:rPr>
        <w:t>Abstract</w:t>
      </w:r>
    </w:p>
    <w:p>
      <w:pPr>
        <w:spacing w:after="80" w:line="276" w:lineRule="auto"/>
      </w:pPr>
      <w:r>
        <w:rPr>
          <w:rFonts w:ascii="Arial" w:hAnsi="Arial"/>
          <w:color w:val="1E293B"/>
          <w:sz w:val="19"/>
        </w:rPr>
        <w:t>Modern enterprise business intelligence (BI) systems frequently suffer from high latency between business decision-makers and data engineering teams. Decision-makers require immediate, accurate, and granular access to operational metrics, yet traditional BI workflows depend on complex dashboards or custom SQL queries authored by data analysts. MetricMind AI is an end-to-end, multi-tier semantic business intelligence prototype engineered to demonstrate how modern data tooling can bridge this divide.</w:t>
      </w:r>
    </w:p>
    <w:p>
      <w:pPr>
        <w:spacing w:after="80" w:line="276" w:lineRule="auto"/>
      </w:pPr>
      <w:r>
        <w:rPr>
          <w:rFonts w:ascii="Arial" w:hAnsi="Arial"/>
          <w:color w:val="1E293B"/>
          <w:sz w:val="19"/>
        </w:rPr>
        <w:t>The platform couples a conversational user interface built with Next.js 16.3.8, React 19.2.8, TypeScript 5, Tailwind CSS v4, and Apache ECharts 6.1.0 with a dual-tier backend and data modeling architecture. MetricMind features: (1) An ELT transformation pipeline managed by dbt (data build tool), transforming raw transactional sales records into an aggregated analytical mart view hosted on PostgreSQL; (2) A semantic abstraction layer governed by Cube.js, establishing code-first metric definitions for core corporate sales measures across dimensional attributes; (3) A Python-based FastAPI analytical gateway serving both in-memory multidimensional slices from corporate sales data (5,000 transaction records) and relational SQL queries from the dbt mart; and (4) An autonomous AI Agent engine that translates natural-language inquiries into validated semantic queries (SemanticQuery), resolves dynamic temporal intervals, executes semantic queries against Cube.js, and computes mathematical variance and trend metrics.</w:t>
      </w:r>
    </w:p>
    <w:p>
      <w:pPr>
        <w:spacing w:after="80" w:line="276" w:lineRule="auto"/>
      </w:pPr>
      <w:r>
        <w:rPr>
          <w:rFonts w:ascii="Arial" w:hAnsi="Arial"/>
          <w:color w:val="1E293B"/>
          <w:sz w:val="19"/>
        </w:rPr>
        <w:t>Prototype Implementation Disclosure: In the current codebase, the frontend conversational interface demonstrates user experience flows and ECharts rendering via an interactive 1-second simulated response returning pre-configured European sales metrics, an Apache ECharts bar chart, API parameters, and SQL query text; direct integration between the frontend and the live FastAPI/Cube services is designated for future implementation. The AI Agent currently uses deterministic rule-based parsing rather than an unconstrained generative LLM, and tests verify 9 automated unit tests and a production build compiling with zero errors.</w:t>
      </w:r>
    </w:p>
    <w:p>
      <w:pPr>
        <w:spacing w:after="80" w:line="276" w:lineRule="auto"/>
      </w:pPr>
      <w:r>
        <w:rPr>
          <w:rFonts w:ascii="Arial" w:hAnsi="Arial"/>
          <w:b/>
          <w:color w:val="192A56"/>
        </w:rPr>
        <w:t xml:space="preserve">Keywords: </w:t>
      </w:r>
      <w:r>
        <w:rPr>
          <w:rFonts w:ascii="Arial" w:hAnsi="Arial"/>
          <w:color w:val="1E293B"/>
          <w:sz w:val="19"/>
        </w:rPr>
        <w:t>Semantic Layer, Business Intelligence, Cube.js, dbt, FastAPI, Next.js, Conversational Analytics, Natural Language Querying, PostgreSQL, AI Agent, Apache ECharts.</w:t>
      </w:r>
    </w:p>
    <w:p>
      <w:r>
        <w:br w:type="page"/>
      </w:r>
    </w:p>
    <w:p>
      <w:pPr>
        <w:keepNext/>
        <w:spacing w:before="360" w:after="140"/>
      </w:pPr>
      <w:r>
        <w:rPr>
          <w:rFonts w:ascii="Arial" w:hAnsi="Arial"/>
          <w:b/>
          <w:color w:val="192A56"/>
          <w:sz w:val="32"/>
        </w:rPr>
        <w:t>Table of Contents</w:t>
      </w:r>
    </w:p>
    <w:p>
      <w:pPr>
        <w:spacing w:after="40"/>
      </w:pPr>
      <w:r>
        <w:rPr>
          <w:rFonts w:ascii="Arial" w:hAnsi="Arial"/>
          <w:b/>
          <w:color w:val="192A56"/>
          <w:sz w:val="16"/>
        </w:rPr>
        <w:t>Chapter 1 — Introduction</w:t>
      </w:r>
    </w:p>
    <w:p>
      <w:pPr>
        <w:spacing w:after="40"/>
      </w:pPr>
      <w:r>
        <w:rPr>
          <w:rFonts w:ascii="Arial" w:hAnsi="Arial"/>
          <w:color w:val="475569"/>
          <w:sz w:val="16"/>
        </w:rPr>
        <w:t xml:space="preserve">  1.1 Background of Business Intelligence and Modern Analytics</w:t>
      </w:r>
    </w:p>
    <w:p>
      <w:pPr>
        <w:spacing w:after="40"/>
      </w:pPr>
      <w:r>
        <w:rPr>
          <w:rFonts w:ascii="Arial" w:hAnsi="Arial"/>
          <w:color w:val="475569"/>
          <w:sz w:val="16"/>
        </w:rPr>
        <w:t xml:space="preserve">  1.2 Motivation for MetricMind AI</w:t>
      </w:r>
    </w:p>
    <w:p>
      <w:pPr>
        <w:spacing w:after="40"/>
      </w:pPr>
      <w:r>
        <w:rPr>
          <w:rFonts w:ascii="Arial" w:hAnsi="Arial"/>
          <w:color w:val="475569"/>
          <w:sz w:val="16"/>
        </w:rPr>
        <w:t xml:space="preserve">  1.3 Problem Statement</w:t>
      </w:r>
    </w:p>
    <w:p>
      <w:pPr>
        <w:spacing w:after="40"/>
      </w:pPr>
      <w:r>
        <w:rPr>
          <w:rFonts w:ascii="Arial" w:hAnsi="Arial"/>
          <w:color w:val="475569"/>
          <w:sz w:val="16"/>
        </w:rPr>
        <w:t xml:space="preserve">  1.4 Project Objectives</w:t>
      </w:r>
    </w:p>
    <w:p>
      <w:pPr>
        <w:spacing w:after="40"/>
      </w:pPr>
      <w:r>
        <w:rPr>
          <w:rFonts w:ascii="Arial" w:hAnsi="Arial"/>
          <w:color w:val="475569"/>
          <w:sz w:val="16"/>
        </w:rPr>
        <w:t xml:space="preserve">  1.5 Project Scope and Operational Boundaries</w:t>
      </w:r>
    </w:p>
    <w:p>
      <w:pPr>
        <w:spacing w:after="40"/>
      </w:pPr>
      <w:r>
        <w:rPr>
          <w:rFonts w:ascii="Arial" w:hAnsi="Arial"/>
          <w:color w:val="475569"/>
          <w:sz w:val="16"/>
        </w:rPr>
        <w:t xml:space="preserve">  1.6 Intended Users and Enterprise Use Cases</w:t>
      </w:r>
    </w:p>
    <w:p>
      <w:pPr>
        <w:spacing w:after="40"/>
      </w:pPr>
      <w:r>
        <w:rPr>
          <w:rFonts w:ascii="Arial" w:hAnsi="Arial"/>
          <w:b/>
          <w:color w:val="192A56"/>
          <w:sz w:val="16"/>
        </w:rPr>
        <w:t>Chapter 2 — Existing and Proposed Systems</w:t>
      </w:r>
    </w:p>
    <w:p>
      <w:pPr>
        <w:spacing w:after="40"/>
      </w:pPr>
      <w:r>
        <w:rPr>
          <w:rFonts w:ascii="Arial" w:hAnsi="Arial"/>
          <w:color w:val="475569"/>
          <w:sz w:val="16"/>
        </w:rPr>
        <w:t xml:space="preserve">  2.1 Limitations of Existing Business Intelligence Workflows</w:t>
      </w:r>
    </w:p>
    <w:p>
      <w:pPr>
        <w:spacing w:after="40"/>
      </w:pPr>
      <w:r>
        <w:rPr>
          <w:rFonts w:ascii="Arial" w:hAnsi="Arial"/>
          <w:color w:val="475569"/>
          <w:sz w:val="16"/>
        </w:rPr>
        <w:t xml:space="preserve">  2.2 Proposed Solution: The MetricMind Architecture</w:t>
      </w:r>
    </w:p>
    <w:p>
      <w:pPr>
        <w:spacing w:after="40"/>
      </w:pPr>
      <w:r>
        <w:rPr>
          <w:rFonts w:ascii="Arial" w:hAnsi="Arial"/>
          <w:color w:val="475569"/>
          <w:sz w:val="16"/>
        </w:rPr>
        <w:t xml:space="preserve">  2.3 Advantages and Expected Benefits</w:t>
      </w:r>
    </w:p>
    <w:p>
      <w:pPr>
        <w:spacing w:after="40"/>
      </w:pPr>
      <w:r>
        <w:rPr>
          <w:rFonts w:ascii="Arial" w:hAnsi="Arial"/>
          <w:color w:val="475569"/>
          <w:sz w:val="16"/>
        </w:rPr>
        <w:t xml:space="preserve">  2.4 Functional Requirements (FR-01 to FR-10)</w:t>
      </w:r>
    </w:p>
    <w:p>
      <w:pPr>
        <w:spacing w:after="40"/>
      </w:pPr>
      <w:r>
        <w:rPr>
          <w:rFonts w:ascii="Arial" w:hAnsi="Arial"/>
          <w:color w:val="475569"/>
          <w:sz w:val="16"/>
        </w:rPr>
        <w:t xml:space="preserve">  2.5 Non-Functional Requirements (NFR-01 to NFR-06)</w:t>
      </w:r>
    </w:p>
    <w:p>
      <w:pPr>
        <w:spacing w:after="40"/>
      </w:pPr>
      <w:r>
        <w:rPr>
          <w:rFonts w:ascii="Arial" w:hAnsi="Arial"/>
          <w:color w:val="475569"/>
          <w:sz w:val="16"/>
        </w:rPr>
        <w:t xml:space="preserve">  2.6 Assumptions and Technical Constraints</w:t>
      </w:r>
    </w:p>
    <w:p>
      <w:pPr>
        <w:spacing w:after="40"/>
      </w:pPr>
      <w:r>
        <w:rPr>
          <w:rFonts w:ascii="Arial" w:hAnsi="Arial"/>
          <w:color w:val="475569"/>
          <w:sz w:val="16"/>
        </w:rPr>
        <w:t xml:space="preserve">  2.7 Engineering Development Plan (Phases, Activities, and Deliverables)</w:t>
      </w:r>
    </w:p>
    <w:p>
      <w:pPr>
        <w:spacing w:after="40"/>
      </w:pPr>
      <w:r>
        <w:rPr>
          <w:rFonts w:ascii="Arial" w:hAnsi="Arial"/>
          <w:b/>
          <w:color w:val="192A56"/>
          <w:sz w:val="16"/>
        </w:rPr>
        <w:t>Chapter 3 — Technology Stack</w:t>
      </w:r>
    </w:p>
    <w:p>
      <w:pPr>
        <w:spacing w:after="40"/>
      </w:pPr>
      <w:r>
        <w:rPr>
          <w:rFonts w:ascii="Arial" w:hAnsi="Arial"/>
          <w:color w:val="475569"/>
          <w:sz w:val="16"/>
        </w:rPr>
        <w:t xml:space="preserve">  3.1 Tier-by-Tier Technology Inventory</w:t>
      </w:r>
    </w:p>
    <w:p>
      <w:pPr>
        <w:spacing w:after="40"/>
      </w:pPr>
      <w:r>
        <w:rPr>
          <w:rFonts w:ascii="Arial" w:hAnsi="Arial"/>
          <w:color w:val="475569"/>
          <w:sz w:val="16"/>
        </w:rPr>
        <w:t xml:space="preserve">  3.2 Framework Evaluation and Architectural Rationales</w:t>
      </w:r>
    </w:p>
    <w:p>
      <w:pPr>
        <w:spacing w:after="40"/>
      </w:pPr>
      <w:r>
        <w:rPr>
          <w:rFonts w:ascii="Arial" w:hAnsi="Arial"/>
          <w:color w:val="475569"/>
          <w:sz w:val="16"/>
        </w:rPr>
        <w:t xml:space="preserve">  3.3 Complete Dependency Specification</w:t>
      </w:r>
    </w:p>
    <w:p>
      <w:pPr>
        <w:spacing w:after="40"/>
      </w:pPr>
      <w:r>
        <w:rPr>
          <w:rFonts w:ascii="Arial" w:hAnsi="Arial"/>
          <w:b/>
          <w:color w:val="192A56"/>
          <w:sz w:val="16"/>
        </w:rPr>
        <w:t>Chapter 4 — System Architecture</w:t>
      </w:r>
    </w:p>
    <w:p>
      <w:pPr>
        <w:spacing w:after="40"/>
      </w:pPr>
      <w:r>
        <w:rPr>
          <w:rFonts w:ascii="Arial" w:hAnsi="Arial"/>
          <w:color w:val="475569"/>
          <w:sz w:val="16"/>
        </w:rPr>
        <w:t xml:space="preserve">  4.1 Component Roles and Responsibilities</w:t>
      </w:r>
    </w:p>
    <w:p>
      <w:pPr>
        <w:spacing w:after="40"/>
      </w:pPr>
      <w:r>
        <w:rPr>
          <w:rFonts w:ascii="Arial" w:hAnsi="Arial"/>
          <w:color w:val="475569"/>
          <w:sz w:val="16"/>
        </w:rPr>
        <w:t xml:space="preserve">  4.2 System Architecture Diagram (Figure 4.1)</w:t>
      </w:r>
    </w:p>
    <w:p>
      <w:pPr>
        <w:spacing w:after="40"/>
      </w:pPr>
      <w:r>
        <w:rPr>
          <w:rFonts w:ascii="Arial" w:hAnsi="Arial"/>
          <w:color w:val="475569"/>
          <w:sz w:val="16"/>
        </w:rPr>
        <w:t xml:space="preserve">  4.3 Component Interactions and Communication Protocols</w:t>
      </w:r>
    </w:p>
    <w:p>
      <w:pPr>
        <w:spacing w:after="40"/>
      </w:pPr>
      <w:r>
        <w:rPr>
          <w:rFonts w:ascii="Arial" w:hAnsi="Arial"/>
          <w:color w:val="475569"/>
          <w:sz w:val="16"/>
        </w:rPr>
        <w:t xml:space="preserve">  4.4 Configuration and Environment Isolation</w:t>
      </w:r>
    </w:p>
    <w:p>
      <w:pPr>
        <w:spacing w:after="40"/>
      </w:pPr>
      <w:r>
        <w:rPr>
          <w:rFonts w:ascii="Arial" w:hAnsi="Arial"/>
          <w:b/>
          <w:color w:val="192A56"/>
          <w:sz w:val="16"/>
        </w:rPr>
        <w:t>Chapter 5 — Database Design</w:t>
      </w:r>
    </w:p>
    <w:p>
      <w:pPr>
        <w:spacing w:after="40"/>
      </w:pPr>
      <w:r>
        <w:rPr>
          <w:rFonts w:ascii="Arial" w:hAnsi="Arial"/>
          <w:color w:val="475569"/>
          <w:sz w:val="16"/>
        </w:rPr>
        <w:t xml:space="preserve">  5.1 Verified Tables, Views, and Relational Objects</w:t>
      </w:r>
    </w:p>
    <w:p>
      <w:pPr>
        <w:spacing w:after="40"/>
      </w:pPr>
      <w:r>
        <w:rPr>
          <w:rFonts w:ascii="Arial" w:hAnsi="Arial"/>
          <w:color w:val="475569"/>
          <w:sz w:val="16"/>
        </w:rPr>
        <w:t xml:space="preserve">  5.2 Data Dictionary: raw_sales Transaction Table (Table 5.1)</w:t>
      </w:r>
    </w:p>
    <w:p>
      <w:pPr>
        <w:spacing w:after="40"/>
      </w:pPr>
      <w:r>
        <w:rPr>
          <w:rFonts w:ascii="Arial" w:hAnsi="Arial"/>
          <w:color w:val="475569"/>
          <w:sz w:val="16"/>
        </w:rPr>
        <w:t xml:space="preserve">  5.3 Data Dictionary: sales_summary Dimensional Mart (Table 5.2)</w:t>
      </w:r>
    </w:p>
    <w:p>
      <w:pPr>
        <w:spacing w:after="40"/>
      </w:pPr>
      <w:r>
        <w:rPr>
          <w:rFonts w:ascii="Arial" w:hAnsi="Arial"/>
          <w:color w:val="475569"/>
          <w:sz w:val="16"/>
        </w:rPr>
        <w:t xml:space="preserve">  5.4 Entity-Relationship Model (Figure 5.2)</w:t>
      </w:r>
    </w:p>
    <w:p>
      <w:pPr>
        <w:spacing w:after="40"/>
      </w:pPr>
      <w:r>
        <w:rPr>
          <w:rFonts w:ascii="Arial" w:hAnsi="Arial"/>
          <w:color w:val="475569"/>
          <w:sz w:val="16"/>
        </w:rPr>
        <w:t xml:space="preserve">  5.5 Data Ingestion, Quality Guardrails, and Storage Lifecycle</w:t>
      </w:r>
    </w:p>
    <w:p>
      <w:pPr>
        <w:spacing w:after="40"/>
      </w:pPr>
      <w:r>
        <w:rPr>
          <w:rFonts w:ascii="Arial" w:hAnsi="Arial"/>
          <w:b/>
          <w:color w:val="192A56"/>
          <w:sz w:val="16"/>
        </w:rPr>
        <w:t>Chapter 6 — Backend and API</w:t>
      </w:r>
    </w:p>
    <w:p>
      <w:pPr>
        <w:spacing w:after="40"/>
      </w:pPr>
      <w:r>
        <w:rPr>
          <w:rFonts w:ascii="Arial" w:hAnsi="Arial"/>
          <w:color w:val="475569"/>
          <w:sz w:val="16"/>
        </w:rPr>
        <w:t xml:space="preserve">  6.1 FastAPI Application Architecture &amp; Gateway Middleware</w:t>
      </w:r>
    </w:p>
    <w:p>
      <w:pPr>
        <w:spacing w:after="40"/>
      </w:pPr>
      <w:r>
        <w:rPr>
          <w:rFonts w:ascii="Arial" w:hAnsi="Arial"/>
          <w:color w:val="475569"/>
          <w:sz w:val="16"/>
        </w:rPr>
        <w:t xml:space="preserve">  6.2 Verified REST API Endpoints Specification (Table 6.1)</w:t>
      </w:r>
    </w:p>
    <w:p>
      <w:pPr>
        <w:spacing w:after="40"/>
      </w:pPr>
      <w:r>
        <w:rPr>
          <w:rFonts w:ascii="Arial" w:hAnsi="Arial"/>
          <w:color w:val="475569"/>
          <w:sz w:val="16"/>
        </w:rPr>
        <w:t xml:space="preserve">  6.3 In-Memory pandas Slicing vs. Relational Database Execution</w:t>
      </w:r>
    </w:p>
    <w:p>
      <w:pPr>
        <w:spacing w:after="40"/>
      </w:pPr>
      <w:r>
        <w:rPr>
          <w:rFonts w:ascii="Arial" w:hAnsi="Arial"/>
          <w:color w:val="475569"/>
          <w:sz w:val="16"/>
        </w:rPr>
        <w:t xml:space="preserve">  6.4 Request/Response Models and JSON Data Contracts</w:t>
      </w:r>
    </w:p>
    <w:p>
      <w:pPr>
        <w:spacing w:after="40"/>
      </w:pPr>
      <w:r>
        <w:rPr>
          <w:rFonts w:ascii="Arial" w:hAnsi="Arial"/>
          <w:color w:val="475569"/>
          <w:sz w:val="16"/>
        </w:rPr>
        <w:t xml:space="preserve">  6.5 Exception Handling, Validation, and Masking</w:t>
      </w:r>
    </w:p>
    <w:p>
      <w:pPr>
        <w:spacing w:after="40"/>
      </w:pPr>
      <w:r>
        <w:rPr>
          <w:rFonts w:ascii="Arial" w:hAnsi="Arial"/>
          <w:b/>
          <w:color w:val="192A56"/>
          <w:sz w:val="16"/>
        </w:rPr>
        <w:t>Chapter 7 — Data Transformation with dbt</w:t>
      </w:r>
    </w:p>
    <w:p>
      <w:pPr>
        <w:spacing w:after="40"/>
      </w:pPr>
      <w:r>
        <w:rPr>
          <w:rFonts w:ascii="Arial" w:hAnsi="Arial"/>
          <w:color w:val="475569"/>
          <w:sz w:val="16"/>
        </w:rPr>
        <w:t xml:space="preserve">  7.1 dbt Project Architecture (metricmind_dbt)</w:t>
      </w:r>
    </w:p>
    <w:p>
      <w:pPr>
        <w:spacing w:after="40"/>
      </w:pPr>
      <w:r>
        <w:rPr>
          <w:rFonts w:ascii="Arial" w:hAnsi="Arial"/>
          <w:color w:val="475569"/>
          <w:sz w:val="16"/>
        </w:rPr>
        <w:t xml:space="preserve">  7.2 Staging Model: stg_raw_sales.sql</w:t>
      </w:r>
    </w:p>
    <w:p>
      <w:pPr>
        <w:spacing w:after="40"/>
      </w:pPr>
      <w:r>
        <w:rPr>
          <w:rFonts w:ascii="Arial" w:hAnsi="Arial"/>
          <w:color w:val="475569"/>
          <w:sz w:val="16"/>
        </w:rPr>
        <w:t xml:space="preserve">  7.3 Dimensional Mart Model: sales_summary.sql</w:t>
      </w:r>
    </w:p>
    <w:p>
      <w:pPr>
        <w:spacing w:after="40"/>
      </w:pPr>
      <w:r>
        <w:rPr>
          <w:rFonts w:ascii="Arial" w:hAnsi="Arial"/>
          <w:color w:val="475569"/>
          <w:sz w:val="16"/>
        </w:rPr>
        <w:t xml:space="preserve">  7.4 Transformation Pipeline Diagram (Figure 7.1)</w:t>
      </w:r>
    </w:p>
    <w:p>
      <w:pPr>
        <w:spacing w:after="40"/>
      </w:pPr>
      <w:r>
        <w:rPr>
          <w:rFonts w:ascii="Arial" w:hAnsi="Arial"/>
          <w:color w:val="475569"/>
          <w:sz w:val="16"/>
        </w:rPr>
        <w:t xml:space="preserve">  7.5 Schema Assertions and Data Quality Tests</w:t>
      </w:r>
    </w:p>
    <w:p>
      <w:pPr>
        <w:spacing w:after="40"/>
      </w:pPr>
      <w:r>
        <w:rPr>
          <w:rFonts w:ascii="Arial" w:hAnsi="Arial"/>
          <w:b/>
          <w:color w:val="192A56"/>
          <w:sz w:val="16"/>
        </w:rPr>
        <w:t>Chapter 8 — Cube Semantic Layer</w:t>
      </w:r>
    </w:p>
    <w:p>
      <w:pPr>
        <w:spacing w:after="40"/>
      </w:pPr>
      <w:r>
        <w:rPr>
          <w:rFonts w:ascii="Arial" w:hAnsi="Arial"/>
          <w:color w:val="475569"/>
          <w:sz w:val="16"/>
        </w:rPr>
        <w:t xml:space="preserve">  8.1 The Strategic Role of Semantic Metric Governance</w:t>
      </w:r>
    </w:p>
    <w:p>
      <w:pPr>
        <w:spacing w:after="40"/>
      </w:pPr>
      <w:r>
        <w:rPr>
          <w:rFonts w:ascii="Arial" w:hAnsi="Arial"/>
          <w:color w:val="475569"/>
          <w:sz w:val="16"/>
        </w:rPr>
        <w:t xml:space="preserve">  8.2 Cube Definition: Sales.js Model Specification</w:t>
      </w:r>
    </w:p>
    <w:p>
      <w:pPr>
        <w:spacing w:after="40"/>
      </w:pPr>
      <w:r>
        <w:rPr>
          <w:rFonts w:ascii="Arial" w:hAnsi="Arial"/>
          <w:color w:val="475569"/>
          <w:sz w:val="16"/>
        </w:rPr>
        <w:t xml:space="preserve">  8.3 Core Business Metrics (Table 8.1)</w:t>
      </w:r>
    </w:p>
    <w:p>
      <w:pPr>
        <w:spacing w:after="40"/>
      </w:pPr>
      <w:r>
        <w:rPr>
          <w:rFonts w:ascii="Arial" w:hAnsi="Arial"/>
          <w:color w:val="475569"/>
          <w:sz w:val="16"/>
        </w:rPr>
        <w:t xml:space="preserve">  8.4 REST Query Protocol (/cubejs-api/v1/load)</w:t>
      </w:r>
    </w:p>
    <w:p>
      <w:pPr>
        <w:spacing w:after="40"/>
      </w:pPr>
      <w:r>
        <w:rPr>
          <w:rFonts w:ascii="Arial" w:hAnsi="Arial"/>
          <w:color w:val="475569"/>
          <w:sz w:val="16"/>
        </w:rPr>
        <w:t xml:space="preserve">  8.5 Caching and Multidimensional Acceleration</w:t>
      </w:r>
    </w:p>
    <w:p>
      <w:pPr>
        <w:spacing w:after="40"/>
      </w:pPr>
      <w:r>
        <w:rPr>
          <w:rFonts w:ascii="Arial" w:hAnsi="Arial"/>
          <w:b/>
          <w:color w:val="192A56"/>
          <w:sz w:val="16"/>
        </w:rPr>
        <w:t>Chapter 9 — AI Agent and Natural-Language Analytics</w:t>
      </w:r>
    </w:p>
    <w:p>
      <w:pPr>
        <w:spacing w:after="40"/>
      </w:pPr>
      <w:r>
        <w:rPr>
          <w:rFonts w:ascii="Arial" w:hAnsi="Arial"/>
          <w:color w:val="475569"/>
          <w:sz w:val="16"/>
        </w:rPr>
        <w:t xml:space="preserve">  9.1 AI Agent Architecture and Workflow (Figure 9.1)</w:t>
      </w:r>
    </w:p>
    <w:p>
      <w:pPr>
        <w:spacing w:after="40"/>
      </w:pPr>
      <w:r>
        <w:rPr>
          <w:rFonts w:ascii="Arial" w:hAnsi="Arial"/>
          <w:color w:val="475569"/>
          <w:sz w:val="16"/>
        </w:rPr>
        <w:t xml:space="preserve">  9.2 Schema Contract: schemas.py (SemanticQuery)</w:t>
      </w:r>
    </w:p>
    <w:p>
      <w:pPr>
        <w:spacing w:after="40"/>
      </w:pPr>
      <w:r>
        <w:rPr>
          <w:rFonts w:ascii="Arial" w:hAnsi="Arial"/>
          <w:color w:val="475569"/>
          <w:sz w:val="16"/>
        </w:rPr>
        <w:t xml:space="preserve">  9.3 Intent Parsing and Guardrails: parser.py</w:t>
      </w:r>
    </w:p>
    <w:p>
      <w:pPr>
        <w:spacing w:after="40"/>
      </w:pPr>
      <w:r>
        <w:rPr>
          <w:rFonts w:ascii="Arial" w:hAnsi="Arial"/>
          <w:color w:val="475569"/>
          <w:sz w:val="16"/>
        </w:rPr>
        <w:t xml:space="preserve">  9.4 Temporal Arithmetic and Cube Dispatch: tools.py</w:t>
      </w:r>
    </w:p>
    <w:p>
      <w:pPr>
        <w:spacing w:after="40"/>
      </w:pPr>
      <w:r>
        <w:rPr>
          <w:rFonts w:ascii="Arial" w:hAnsi="Arial"/>
          <w:color w:val="475569"/>
          <w:sz w:val="16"/>
        </w:rPr>
        <w:t xml:space="preserve">  9.5 Mathematical Reasoning Engine: reasoning.py</w:t>
      </w:r>
    </w:p>
    <w:p>
      <w:pPr>
        <w:spacing w:after="40"/>
      </w:pPr>
      <w:r>
        <w:rPr>
          <w:rFonts w:ascii="Arial" w:hAnsi="Arial"/>
          <w:color w:val="475569"/>
          <w:sz w:val="16"/>
        </w:rPr>
        <w:t xml:space="preserve">  9.6 Rule-Based Parsing vs. Generative LLM Orchestration</w:t>
      </w:r>
    </w:p>
    <w:p>
      <w:pPr>
        <w:spacing w:after="40"/>
      </w:pPr>
      <w:r>
        <w:rPr>
          <w:rFonts w:ascii="Arial" w:hAnsi="Arial"/>
          <w:b/>
          <w:color w:val="192A56"/>
          <w:sz w:val="16"/>
        </w:rPr>
        <w:t>Chapter 10 — Frontend and Dashboard</w:t>
      </w:r>
    </w:p>
    <w:p>
      <w:pPr>
        <w:spacing w:after="40"/>
      </w:pPr>
      <w:r>
        <w:rPr>
          <w:rFonts w:ascii="Arial" w:hAnsi="Arial"/>
          <w:color w:val="475569"/>
          <w:sz w:val="16"/>
        </w:rPr>
        <w:t xml:space="preserve">  10.1 Next.js 16 App Router Architecture and Page Hierarchy</w:t>
      </w:r>
    </w:p>
    <w:p>
      <w:pPr>
        <w:spacing w:after="40"/>
      </w:pPr>
      <w:r>
        <w:rPr>
          <w:rFonts w:ascii="Arial" w:hAnsi="Arial"/>
          <w:color w:val="475569"/>
          <w:sz w:val="16"/>
        </w:rPr>
        <w:t xml:space="preserve">  10.2 Conversational Chat Interface &amp; Interactive Navigation</w:t>
      </w:r>
    </w:p>
    <w:p>
      <w:pPr>
        <w:spacing w:after="40"/>
      </w:pPr>
      <w:r>
        <w:rPr>
          <w:rFonts w:ascii="Arial" w:hAnsi="Arial"/>
          <w:color w:val="475569"/>
          <w:sz w:val="16"/>
        </w:rPr>
        <w:t xml:space="preserve">  10.3 Dynamic Chart Visualization (DynamicChart.tsx)</w:t>
      </w:r>
    </w:p>
    <w:p>
      <w:pPr>
        <w:spacing w:after="40"/>
      </w:pPr>
      <w:r>
        <w:rPr>
          <w:rFonts w:ascii="Arial" w:hAnsi="Arial"/>
          <w:color w:val="475569"/>
          <w:sz w:val="16"/>
        </w:rPr>
        <w:t xml:space="preserve">  10.4 Query Transparency Drawers: 'View API Call' and 'View SQL'</w:t>
      </w:r>
    </w:p>
    <w:p>
      <w:pPr>
        <w:spacing w:after="40"/>
      </w:pPr>
      <w:r>
        <w:rPr>
          <w:rFonts w:ascii="Arial" w:hAnsi="Arial"/>
          <w:color w:val="475569"/>
          <w:sz w:val="16"/>
        </w:rPr>
        <w:t xml:space="preserve">  10.5 Verified Production Build Status (Next.js Turbopack)</w:t>
      </w:r>
    </w:p>
    <w:p>
      <w:pPr>
        <w:spacing w:after="40"/>
      </w:pPr>
      <w:r>
        <w:rPr>
          <w:rFonts w:ascii="Arial" w:hAnsi="Arial"/>
          <w:b/>
          <w:color w:val="192A56"/>
          <w:sz w:val="16"/>
        </w:rPr>
        <w:t>Chapter 11 — Implementation and Integration</w:t>
      </w:r>
    </w:p>
    <w:p>
      <w:pPr>
        <w:spacing w:after="40"/>
      </w:pPr>
      <w:r>
        <w:rPr>
          <w:rFonts w:ascii="Arial" w:hAnsi="Arial"/>
          <w:color w:val="475569"/>
          <w:sz w:val="16"/>
        </w:rPr>
        <w:t xml:space="preserve">  11.1 End-to-End Execution Trace</w:t>
      </w:r>
    </w:p>
    <w:p>
      <w:pPr>
        <w:spacing w:after="40"/>
      </w:pPr>
      <w:r>
        <w:rPr>
          <w:rFonts w:ascii="Arial" w:hAnsi="Arial"/>
          <w:color w:val="475569"/>
          <w:sz w:val="16"/>
        </w:rPr>
        <w:t xml:space="preserve">  11.2 Key Source Code Implementations with Paths</w:t>
      </w:r>
    </w:p>
    <w:p>
      <w:pPr>
        <w:spacing w:after="40"/>
      </w:pPr>
      <w:r>
        <w:rPr>
          <w:rFonts w:ascii="Arial" w:hAnsi="Arial"/>
          <w:color w:val="475569"/>
          <w:sz w:val="16"/>
        </w:rPr>
        <w:t xml:space="preserve">  11.3 Integration Points and Data Boundaries</w:t>
      </w:r>
    </w:p>
    <w:p>
      <w:pPr>
        <w:spacing w:after="40"/>
      </w:pPr>
      <w:r>
        <w:rPr>
          <w:rFonts w:ascii="Arial" w:hAnsi="Arial"/>
          <w:color w:val="475569"/>
          <w:sz w:val="16"/>
        </w:rPr>
        <w:t xml:space="preserve">  11.4 Demonstration Simulation Boundary vs. Target State</w:t>
      </w:r>
    </w:p>
    <w:p>
      <w:pPr>
        <w:spacing w:after="40"/>
      </w:pPr>
      <w:r>
        <w:rPr>
          <w:rFonts w:ascii="Arial" w:hAnsi="Arial"/>
          <w:b/>
          <w:color w:val="192A56"/>
          <w:sz w:val="16"/>
        </w:rPr>
        <w:t>Chapter 12 — Testing and Validation</w:t>
      </w:r>
    </w:p>
    <w:p>
      <w:pPr>
        <w:spacing w:after="40"/>
      </w:pPr>
      <w:r>
        <w:rPr>
          <w:rFonts w:ascii="Arial" w:hAnsi="Arial"/>
          <w:color w:val="475569"/>
          <w:sz w:val="16"/>
        </w:rPr>
        <w:t xml:space="preserve">  12.1 Testing Methodology and Environmental Setup</w:t>
      </w:r>
    </w:p>
    <w:p>
      <w:pPr>
        <w:spacing w:after="40"/>
      </w:pPr>
      <w:r>
        <w:rPr>
          <w:rFonts w:ascii="Arial" w:hAnsi="Arial"/>
          <w:color w:val="475569"/>
          <w:sz w:val="16"/>
        </w:rPr>
        <w:t xml:space="preserve">  12.2 Automated AI Agent Unit Test Execution (Table 12.1)</w:t>
      </w:r>
    </w:p>
    <w:p>
      <w:pPr>
        <w:spacing w:after="40"/>
      </w:pPr>
      <w:r>
        <w:rPr>
          <w:rFonts w:ascii="Arial" w:hAnsi="Arial"/>
          <w:color w:val="475569"/>
          <w:sz w:val="16"/>
        </w:rPr>
        <w:t xml:space="preserve">  12.3 Multi-Tier System Verification Matrix (Table 12.2)</w:t>
      </w:r>
    </w:p>
    <w:p>
      <w:pPr>
        <w:spacing w:after="40"/>
      </w:pPr>
      <w:r>
        <w:rPr>
          <w:rFonts w:ascii="Arial" w:hAnsi="Arial"/>
          <w:color w:val="475569"/>
          <w:sz w:val="16"/>
        </w:rPr>
        <w:t xml:space="preserve">  12.4 API Endpoint Validation and Edge Case Handling</w:t>
      </w:r>
    </w:p>
    <w:p>
      <w:pPr>
        <w:spacing w:after="40"/>
      </w:pPr>
      <w:r>
        <w:rPr>
          <w:rFonts w:ascii="Arial" w:hAnsi="Arial"/>
          <w:color w:val="475569"/>
          <w:sz w:val="16"/>
        </w:rPr>
        <w:t xml:space="preserve">  12.5 Frontend Production Build Verification</w:t>
      </w:r>
    </w:p>
    <w:p>
      <w:pPr>
        <w:spacing w:after="40"/>
      </w:pPr>
      <w:r>
        <w:rPr>
          <w:rFonts w:ascii="Arial" w:hAnsi="Arial"/>
          <w:color w:val="475569"/>
          <w:sz w:val="16"/>
        </w:rPr>
        <w:t xml:space="preserve">  12.6 dbt Data Integrity Assertion Results</w:t>
      </w:r>
    </w:p>
    <w:p>
      <w:pPr>
        <w:spacing w:after="40"/>
      </w:pPr>
      <w:r>
        <w:rPr>
          <w:rFonts w:ascii="Arial" w:hAnsi="Arial"/>
          <w:b/>
          <w:color w:val="192A56"/>
          <w:sz w:val="16"/>
        </w:rPr>
        <w:t>Chapter 13 — Results and Discussion</w:t>
      </w:r>
    </w:p>
    <w:p>
      <w:pPr>
        <w:spacing w:after="40"/>
      </w:pPr>
      <w:r>
        <w:rPr>
          <w:rFonts w:ascii="Arial" w:hAnsi="Arial"/>
          <w:b/>
          <w:color w:val="192A56"/>
          <w:sz w:val="16"/>
        </w:rPr>
        <w:t>Chapter 14 — Security and Limitations</w:t>
      </w:r>
    </w:p>
    <w:p>
      <w:pPr>
        <w:spacing w:after="40"/>
      </w:pPr>
      <w:r>
        <w:rPr>
          <w:rFonts w:ascii="Arial" w:hAnsi="Arial"/>
          <w:color w:val="475569"/>
          <w:sz w:val="16"/>
        </w:rPr>
        <w:t xml:space="preserve">  14.1 Implemented Security Safeguards</w:t>
      </w:r>
    </w:p>
    <w:p>
      <w:pPr>
        <w:spacing w:after="40"/>
      </w:pPr>
      <w:r>
        <w:rPr>
          <w:rFonts w:ascii="Arial" w:hAnsi="Arial"/>
          <w:color w:val="475569"/>
          <w:sz w:val="16"/>
        </w:rPr>
        <w:t xml:space="preserve">  14.2 Unimplemented and Recommended Production Controls</w:t>
      </w:r>
    </w:p>
    <w:p>
      <w:pPr>
        <w:spacing w:after="40"/>
      </w:pPr>
      <w:r>
        <w:rPr>
          <w:rFonts w:ascii="Arial" w:hAnsi="Arial"/>
          <w:color w:val="475569"/>
          <w:sz w:val="16"/>
        </w:rPr>
        <w:t xml:space="preserve">  14.3 Database Access and Exception Masking</w:t>
      </w:r>
    </w:p>
    <w:p>
      <w:pPr>
        <w:spacing w:after="40"/>
      </w:pPr>
      <w:r>
        <w:rPr>
          <w:rFonts w:ascii="Arial" w:hAnsi="Arial"/>
          <w:color w:val="475569"/>
          <w:sz w:val="16"/>
        </w:rPr>
        <w:t xml:space="preserve">  14.4 Technical Limitations and Dimensional Gaps</w:t>
      </w:r>
    </w:p>
    <w:p>
      <w:pPr>
        <w:spacing w:after="40"/>
      </w:pPr>
      <w:r>
        <w:rPr>
          <w:rFonts w:ascii="Arial" w:hAnsi="Arial"/>
          <w:b/>
          <w:color w:val="192A56"/>
          <w:sz w:val="16"/>
        </w:rPr>
        <w:t>Chapter 15 — Future Enhancements</w:t>
      </w:r>
    </w:p>
    <w:p>
      <w:pPr>
        <w:spacing w:after="40"/>
      </w:pPr>
      <w:r>
        <w:rPr>
          <w:rFonts w:ascii="Arial" w:hAnsi="Arial"/>
          <w:b/>
          <w:color w:val="192A56"/>
          <w:sz w:val="16"/>
        </w:rPr>
        <w:t>Chapter 16 — Conclusion</w:t>
      </w:r>
    </w:p>
    <w:p>
      <w:pPr>
        <w:spacing w:after="40"/>
      </w:pPr>
      <w:r>
        <w:rPr>
          <w:rFonts w:ascii="Arial" w:hAnsi="Arial"/>
          <w:b/>
          <w:color w:val="192A56"/>
          <w:sz w:val="16"/>
        </w:rPr>
        <w:t>References and Appendices</w:t>
      </w:r>
    </w:p>
    <w:p>
      <w:r>
        <w:br w:type="page"/>
      </w:r>
    </w:p>
    <w:p>
      <w:pPr>
        <w:keepNext/>
        <w:spacing w:before="360" w:after="140"/>
      </w:pPr>
      <w:r>
        <w:rPr>
          <w:rFonts w:ascii="Arial" w:hAnsi="Arial"/>
          <w:b/>
          <w:color w:val="192A56"/>
          <w:sz w:val="32"/>
        </w:rPr>
        <w:t>List of Figures and Tables</w:t>
      </w:r>
    </w:p>
    <w:p>
      <w:pPr>
        <w:keepNext/>
        <w:spacing w:before="240" w:after="80"/>
      </w:pPr>
      <w:r>
        <w:rPr>
          <w:rFonts w:ascii="Arial" w:hAnsi="Arial"/>
          <w:b/>
          <w:color w:val="1E3A6E"/>
          <w:sz w:val="24"/>
        </w:rPr>
        <w:t>List of Figures</w:t>
      </w:r>
    </w:p>
    <w:p>
      <w:pPr>
        <w:pStyle w:val="ListBullet"/>
        <w:spacing w:after="50" w:line="276" w:lineRule="auto"/>
      </w:pPr>
      <w:r>
        <w:rPr>
          <w:rFonts w:ascii="Arial" w:hAnsi="Arial"/>
          <w:color w:val="1E293B"/>
          <w:sz w:val="19"/>
        </w:rPr>
        <w:t xml:space="preserve"> Figure 4.1: MetricMind AI Multi-Tier System Architecture (reports/diagrams/system_architecture.png)</w:t>
      </w:r>
    </w:p>
    <w:p>
      <w:pPr>
        <w:pStyle w:val="ListBullet"/>
        <w:spacing w:after="50" w:line="276" w:lineRule="auto"/>
      </w:pPr>
      <w:r>
        <w:rPr>
          <w:rFonts w:ascii="Arial" w:hAnsi="Arial"/>
          <w:color w:val="1E293B"/>
          <w:sz w:val="19"/>
        </w:rPr>
        <w:t xml:space="preserve"> Figure 5.1: Data Flow Diagram (DFD Level 1 Decomposition) (reports/diagrams/data_flow.png)</w:t>
      </w:r>
    </w:p>
    <w:p>
      <w:pPr>
        <w:pStyle w:val="ListBullet"/>
        <w:spacing w:after="50" w:line="276" w:lineRule="auto"/>
      </w:pPr>
      <w:r>
        <w:rPr>
          <w:rFonts w:ascii="Arial" w:hAnsi="Arial"/>
          <w:color w:val="1E293B"/>
          <w:sz w:val="19"/>
        </w:rPr>
        <w:t xml:space="preserve"> Figure 5.2: Database Entity-Relationship (ER) Model (reports/diagrams/database_er.png)</w:t>
      </w:r>
    </w:p>
    <w:p>
      <w:pPr>
        <w:pStyle w:val="ListBullet"/>
        <w:spacing w:after="50" w:line="276" w:lineRule="auto"/>
      </w:pPr>
      <w:r>
        <w:rPr>
          <w:rFonts w:ascii="Arial" w:hAnsi="Arial"/>
          <w:color w:val="1E293B"/>
          <w:sz w:val="19"/>
        </w:rPr>
        <w:t xml:space="preserve"> Figure 7.1: dbt Transformation and Analytics Serving Pipeline (reports/diagrams/analytics_pipeline.png)</w:t>
      </w:r>
    </w:p>
    <w:p>
      <w:pPr>
        <w:pStyle w:val="ListBullet"/>
        <w:spacing w:after="50" w:line="276" w:lineRule="auto"/>
      </w:pPr>
      <w:r>
        <w:rPr>
          <w:rFonts w:ascii="Arial" w:hAnsi="Arial"/>
          <w:color w:val="1E293B"/>
          <w:sz w:val="19"/>
        </w:rPr>
        <w:t xml:space="preserve"> Figure 9.1: AI Agent Natural-Language Processing Sequence (reports/diagrams/ai_agent_workflow.png)</w:t>
      </w:r>
    </w:p>
    <w:p>
      <w:pPr>
        <w:keepNext/>
        <w:spacing w:before="240" w:after="80"/>
      </w:pPr>
      <w:r>
        <w:rPr>
          <w:rFonts w:ascii="Arial" w:hAnsi="Arial"/>
          <w:b/>
          <w:color w:val="1E3A6E"/>
          <w:sz w:val="24"/>
        </w:rPr>
        <w:t>List of Tables</w:t>
      </w:r>
    </w:p>
    <w:p>
      <w:pPr>
        <w:pStyle w:val="ListBullet"/>
        <w:spacing w:after="50" w:line="276" w:lineRule="auto"/>
      </w:pPr>
      <w:r>
        <w:rPr>
          <w:rFonts w:ascii="Arial" w:hAnsi="Arial"/>
          <w:color w:val="1E293B"/>
          <w:sz w:val="19"/>
        </w:rPr>
        <w:t xml:space="preserve"> Table 2.1: Comparative Matrix of Traditional BI vs. MetricMind AI Architecture</w:t>
      </w:r>
    </w:p>
    <w:p>
      <w:pPr>
        <w:pStyle w:val="ListBullet"/>
        <w:spacing w:after="50" w:line="276" w:lineRule="auto"/>
      </w:pPr>
      <w:r>
        <w:rPr>
          <w:rFonts w:ascii="Arial" w:hAnsi="Arial"/>
          <w:color w:val="1E293B"/>
          <w:sz w:val="19"/>
        </w:rPr>
        <w:t xml:space="preserve"> Table 2.2: Proposed Engineering Development Plan vs. Prototype State</w:t>
      </w:r>
    </w:p>
    <w:p>
      <w:pPr>
        <w:pStyle w:val="ListBullet"/>
        <w:spacing w:after="50" w:line="276" w:lineRule="auto"/>
      </w:pPr>
      <w:r>
        <w:rPr>
          <w:rFonts w:ascii="Arial" w:hAnsi="Arial"/>
          <w:color w:val="1E293B"/>
          <w:sz w:val="19"/>
        </w:rPr>
        <w:t xml:space="preserve"> Table 3.1: Complete Technology Stack, Verified Versions, and Architectural Roles</w:t>
      </w:r>
    </w:p>
    <w:p>
      <w:pPr>
        <w:pStyle w:val="ListBullet"/>
        <w:spacing w:after="50" w:line="276" w:lineRule="auto"/>
      </w:pPr>
      <w:r>
        <w:rPr>
          <w:rFonts w:ascii="Arial" w:hAnsi="Arial"/>
          <w:color w:val="1E293B"/>
          <w:sz w:val="19"/>
        </w:rPr>
        <w:t xml:space="preserve"> Table 5.1: Physical Dataset Schema Dictionary (raw_sales Table)</w:t>
      </w:r>
    </w:p>
    <w:p>
      <w:pPr>
        <w:pStyle w:val="ListBullet"/>
        <w:spacing w:after="50" w:line="276" w:lineRule="auto"/>
      </w:pPr>
      <w:r>
        <w:rPr>
          <w:rFonts w:ascii="Arial" w:hAnsi="Arial"/>
          <w:color w:val="1E293B"/>
          <w:sz w:val="19"/>
        </w:rPr>
        <w:t xml:space="preserve"> Table 5.2: Data Mart Schema Dictionary (sales_summary Mart View)</w:t>
      </w:r>
    </w:p>
    <w:p>
      <w:pPr>
        <w:pStyle w:val="ListBullet"/>
        <w:spacing w:after="50" w:line="276" w:lineRule="auto"/>
      </w:pPr>
      <w:r>
        <w:rPr>
          <w:rFonts w:ascii="Arial" w:hAnsi="Arial"/>
          <w:color w:val="1E293B"/>
          <w:sz w:val="19"/>
        </w:rPr>
        <w:t xml:space="preserve"> Table 6.1: Verified FastAPI Gateway REST API Endpoints Specification</w:t>
      </w:r>
    </w:p>
    <w:p>
      <w:pPr>
        <w:pStyle w:val="ListBullet"/>
        <w:spacing w:after="50" w:line="276" w:lineRule="auto"/>
      </w:pPr>
      <w:r>
        <w:rPr>
          <w:rFonts w:ascii="Arial" w:hAnsi="Arial"/>
          <w:color w:val="1E293B"/>
          <w:sz w:val="19"/>
        </w:rPr>
        <w:t xml:space="preserve"> Table 8.1: Cube.js Semantic Measures and Analytical Dimensions</w:t>
      </w:r>
    </w:p>
    <w:p>
      <w:pPr>
        <w:pStyle w:val="ListBullet"/>
        <w:spacing w:after="50" w:line="276" w:lineRule="auto"/>
      </w:pPr>
      <w:r>
        <w:rPr>
          <w:rFonts w:ascii="Arial" w:hAnsi="Arial"/>
          <w:color w:val="1E293B"/>
          <w:sz w:val="19"/>
        </w:rPr>
        <w:t xml:space="preserve"> Table 12.1: Automated AI Agent Unit Test Execution Matrix (ai_agentllm/)</w:t>
      </w:r>
    </w:p>
    <w:p>
      <w:pPr>
        <w:pStyle w:val="ListBullet"/>
        <w:spacing w:after="50" w:line="276" w:lineRule="auto"/>
      </w:pPr>
      <w:r>
        <w:rPr>
          <w:rFonts w:ascii="Arial" w:hAnsi="Arial"/>
          <w:color w:val="1E293B"/>
          <w:sz w:val="19"/>
        </w:rPr>
        <w:t xml:space="preserve"> Table 12.2: Multi-Tier System Verification and Build Execution Matrix</w:t>
      </w:r>
    </w:p>
    <w:p>
      <w:pPr>
        <w:pStyle w:val="ListBullet"/>
        <w:spacing w:after="50" w:line="276" w:lineRule="auto"/>
      </w:pPr>
      <w:r>
        <w:rPr>
          <w:rFonts w:ascii="Arial" w:hAnsi="Arial"/>
          <w:color w:val="1E293B"/>
          <w:sz w:val="19"/>
        </w:rPr>
        <w:t xml:space="preserve"> Table 23.1: Complete Repository Audit and File Inventory Matrix</w:t>
      </w:r>
    </w:p>
    <w:p>
      <w:r>
        <w:br w:type="page"/>
      </w:r>
    </w:p>
    <w:p>
      <w:pPr>
        <w:keepNext/>
        <w:spacing w:before="360" w:after="140"/>
      </w:pPr>
      <w:r>
        <w:rPr>
          <w:rFonts w:ascii="Arial" w:hAnsi="Arial"/>
          <w:b/>
          <w:color w:val="192A56"/>
          <w:sz w:val="32"/>
        </w:rPr>
        <w:t>Chapter 1 — Introduction</w:t>
      </w:r>
    </w:p>
    <w:p>
      <w:pPr>
        <w:keepNext/>
        <w:spacing w:before="240" w:after="80"/>
      </w:pPr>
      <w:r>
        <w:rPr>
          <w:rFonts w:ascii="Arial" w:hAnsi="Arial"/>
          <w:b/>
          <w:color w:val="1E3A6E"/>
          <w:sz w:val="24"/>
        </w:rPr>
        <w:t>1.1 Background of Business Intelligence and Modern Analytics</w:t>
      </w:r>
    </w:p>
    <w:p>
      <w:pPr>
        <w:spacing w:after="80" w:line="276" w:lineRule="auto"/>
      </w:pPr>
      <w:r>
        <w:rPr>
          <w:rFonts w:ascii="Arial" w:hAnsi="Arial"/>
          <w:color w:val="1E293B"/>
          <w:sz w:val="19"/>
        </w:rPr>
        <w:t>Enterprise decision-making relies fundamentally on accurate, timely, and actionable insights extracted from operational data. Business intelligence (BI) systems have evolved across three historical paradigms:</w:t>
      </w:r>
    </w:p>
    <w:p>
      <w:pPr>
        <w:pStyle w:val="ListBullet"/>
        <w:spacing w:after="50" w:line="276" w:lineRule="auto"/>
      </w:pPr>
      <w:r>
        <w:rPr>
          <w:rFonts w:ascii="Arial" w:hAnsi="Arial"/>
          <w:b/>
          <w:color w:val="192A56"/>
        </w:rPr>
        <w:t>1. First-Generation BI (Centralized Reporting):</w:t>
      </w:r>
      <w:r>
        <w:rPr>
          <w:rFonts w:ascii="Arial" w:hAnsi="Arial"/>
          <w:color w:val="1E293B"/>
          <w:sz w:val="19"/>
        </w:rPr>
        <w:t xml:space="preserve"> Centralized database management systems and batch-generated static reports (e.g., Crystal Reports). Business users relied entirely on IT departments to write custom SQL scripts and format physical printouts.</w:t>
      </w:r>
    </w:p>
    <w:p>
      <w:pPr>
        <w:pStyle w:val="ListBullet"/>
        <w:spacing w:after="50" w:line="276" w:lineRule="auto"/>
      </w:pPr>
      <w:r>
        <w:rPr>
          <w:rFonts w:ascii="Arial" w:hAnsi="Arial"/>
          <w:b/>
          <w:color w:val="192A56"/>
        </w:rPr>
        <w:t>2. Second-Generation BI (Self-Service Dashboards):</w:t>
      </w:r>
      <w:r>
        <w:rPr>
          <w:rFonts w:ascii="Arial" w:hAnsi="Arial"/>
          <w:color w:val="1E293B"/>
          <w:sz w:val="19"/>
        </w:rPr>
        <w:t xml:space="preserve"> Introduced by platforms like Tableau, PowerBI, and Qlik. Users gained visual drag-and-drop tools to construct dashboards over pre-packaged data cubes or warehouses. However, this model decentralized calculation logic, causing different teams to author conflicting definitions of the same key performance indicator (KPI).</w:t>
      </w:r>
    </w:p>
    <w:p>
      <w:pPr>
        <w:pStyle w:val="ListBullet"/>
        <w:spacing w:after="50" w:line="276" w:lineRule="auto"/>
      </w:pPr>
      <w:r>
        <w:rPr>
          <w:rFonts w:ascii="Arial" w:hAnsi="Arial"/>
          <w:b/>
          <w:color w:val="192A56"/>
        </w:rPr>
        <w:t>3. Third-Generation BI (Conversational &amp; Headless Semantic BI):</w:t>
      </w:r>
      <w:r>
        <w:rPr>
          <w:rFonts w:ascii="Arial" w:hAnsi="Arial"/>
          <w:color w:val="1E293B"/>
          <w:sz w:val="19"/>
        </w:rPr>
        <w:t xml:space="preserve"> The emerging paradigm represented by MetricMind AI. It unites conversational interfaces, automated ELT data modeling, and centralized headless semantic governance. Business users query operational performance in natural language, while code-governed semantic models ensure calculation consistency and prevent hallucinated numbers.</w:t>
      </w:r>
    </w:p>
    <w:p>
      <w:pPr>
        <w:keepNext/>
        <w:spacing w:before="240" w:after="80"/>
      </w:pPr>
      <w:r>
        <w:rPr>
          <w:rFonts w:ascii="Arial" w:hAnsi="Arial"/>
          <w:b/>
          <w:color w:val="1E3A6E"/>
          <w:sz w:val="24"/>
        </w:rPr>
        <w:t>1.2 Motivation for MetricMind AI</w:t>
      </w:r>
    </w:p>
    <w:p>
      <w:pPr>
        <w:spacing w:after="80" w:line="276" w:lineRule="auto"/>
      </w:pPr>
      <w:r>
        <w:rPr>
          <w:rFonts w:ascii="Arial" w:hAnsi="Arial"/>
          <w:color w:val="1E293B"/>
          <w:sz w:val="19"/>
        </w:rPr>
        <w:t>Despite substantial investments in cloud data warehouses, executives and sales managers experience friction when answering exploratory business questions. If an executive wants to know 'What was the profit margin for enterprise servers in Germany during Q3?', they must either locate a pre-existing dashboard page with the exact filters already built, or file an analytical ticket with the data engineering team, incurring delays ranging from several hours to multiple days. MetricMind AI was conceived to demonstrate how modern data tooling can eliminate this latency by allowing stakeholders to query operational performance using conversational language.</w:t>
      </w:r>
    </w:p>
    <w:p>
      <w:pPr>
        <w:keepNext/>
        <w:spacing w:before="240" w:after="80"/>
      </w:pPr>
      <w:r>
        <w:rPr>
          <w:rFonts w:ascii="Arial" w:hAnsi="Arial"/>
          <w:b/>
          <w:color w:val="1E3A6E"/>
          <w:sz w:val="24"/>
        </w:rPr>
        <w:t>1.3 Problem Statement</w:t>
      </w:r>
    </w:p>
    <w:p>
      <w:pPr>
        <w:pStyle w:val="ListBullet"/>
        <w:spacing w:after="50" w:line="276" w:lineRule="auto"/>
      </w:pPr>
      <w:r>
        <w:rPr>
          <w:rFonts w:ascii="Arial" w:hAnsi="Arial"/>
          <w:b/>
          <w:color w:val="192A56"/>
        </w:rPr>
        <w:t>1. Semantic Ambiguity and Metric Drift:</w:t>
      </w:r>
      <w:r>
        <w:rPr>
          <w:rFonts w:ascii="Arial" w:hAnsi="Arial"/>
          <w:color w:val="1E293B"/>
          <w:sz w:val="19"/>
        </w:rPr>
        <w:t xml:space="preserve"> Without a unified metric layer, disparate departments calculate fundamental metrics inconsistently (e.g., Gross Margin calculated differently across teams), eroding trust in reporting.</w:t>
      </w:r>
    </w:p>
    <w:p>
      <w:pPr>
        <w:pStyle w:val="ListBullet"/>
        <w:spacing w:after="50" w:line="276" w:lineRule="auto"/>
      </w:pPr>
      <w:r>
        <w:rPr>
          <w:rFonts w:ascii="Arial" w:hAnsi="Arial"/>
          <w:b/>
          <w:color w:val="192A56"/>
        </w:rPr>
        <w:t>2. Analytical Latency Bottleneck:</w:t>
      </w:r>
      <w:r>
        <w:rPr>
          <w:rFonts w:ascii="Arial" w:hAnsi="Arial"/>
          <w:color w:val="1E293B"/>
          <w:sz w:val="19"/>
        </w:rPr>
        <w:t xml:space="preserve"> Modern business operates in real-time, but conventional dashboard authoring is slow. As new products, regions, and distribution channels emerge, dashboards become cluttered or obsolete.</w:t>
      </w:r>
    </w:p>
    <w:p>
      <w:pPr>
        <w:pStyle w:val="ListBullet"/>
        <w:spacing w:after="50" w:line="276" w:lineRule="auto"/>
      </w:pPr>
      <w:r>
        <w:rPr>
          <w:rFonts w:ascii="Arial" w:hAnsi="Arial"/>
          <w:b/>
          <w:color w:val="192A56"/>
        </w:rPr>
        <w:t>3. The 'Black Box' Trust Dilemma in AI Text-to-SQL:</w:t>
      </w:r>
      <w:r>
        <w:rPr>
          <w:rFonts w:ascii="Arial" w:hAnsi="Arial"/>
          <w:color w:val="1E293B"/>
          <w:sz w:val="19"/>
        </w:rPr>
        <w:t xml:space="preserve"> Early AI analytics implementations prompt Large Language Models to write raw SQL directly against operational databases. This approach is hazardous: LLMs hallucinate non-existent table joins, misinterpret date boundaries, and introduce catastrophic SQL injection vulnerabilities.</w:t>
      </w:r>
    </w:p>
    <w:p>
      <w:pPr>
        <w:keepNext/>
        <w:spacing w:before="240" w:after="80"/>
      </w:pPr>
      <w:r>
        <w:rPr>
          <w:rFonts w:ascii="Arial" w:hAnsi="Arial"/>
          <w:b/>
          <w:color w:val="1E3A6E"/>
          <w:sz w:val="24"/>
        </w:rPr>
        <w:t>1.4 Project Objectives</w:t>
      </w:r>
    </w:p>
    <w:p>
      <w:pPr>
        <w:pStyle w:val="ListBullet"/>
        <w:spacing w:after="50" w:line="276" w:lineRule="auto"/>
      </w:pPr>
      <w:r>
        <w:rPr>
          <w:rFonts w:ascii="Arial" w:hAnsi="Arial"/>
          <w:b/>
          <w:color w:val="192A56"/>
        </w:rPr>
        <w:t>1. Code-Governed Semantic Modeling:</w:t>
      </w:r>
      <w:r>
        <w:rPr>
          <w:rFonts w:ascii="Arial" w:hAnsi="Arial"/>
          <w:color w:val="1E293B"/>
          <w:sz w:val="19"/>
        </w:rPr>
        <w:t xml:space="preserve"> Define enterprise KPIs (revenue, cost, profit, average margin) as code within a centralized Cube.js repository to enforce consistent calculation formulas across queries.</w:t>
      </w:r>
    </w:p>
    <w:p>
      <w:pPr>
        <w:pStyle w:val="ListBullet"/>
        <w:spacing w:after="50" w:line="276" w:lineRule="auto"/>
      </w:pPr>
      <w:r>
        <w:rPr>
          <w:rFonts w:ascii="Arial" w:hAnsi="Arial"/>
          <w:b/>
          <w:color w:val="192A56"/>
        </w:rPr>
        <w:t>2. Automated Relational ELT Transformation:</w:t>
      </w:r>
      <w:r>
        <w:rPr>
          <w:rFonts w:ascii="Arial" w:hAnsi="Arial"/>
          <w:color w:val="1E293B"/>
          <w:sz w:val="19"/>
        </w:rPr>
        <w:t xml:space="preserve"> Construct a repeatable dbt pipeline that cleans raw transactional records, enforces schema assertions (uniqueness and non-null constraints), and materializes dimensional marts inside PostgreSQL.</w:t>
      </w:r>
    </w:p>
    <w:p>
      <w:pPr>
        <w:pStyle w:val="ListBullet"/>
        <w:spacing w:after="50" w:line="276" w:lineRule="auto"/>
      </w:pPr>
      <w:r>
        <w:rPr>
          <w:rFonts w:ascii="Arial" w:hAnsi="Arial"/>
          <w:b/>
          <w:color w:val="192A56"/>
        </w:rPr>
        <w:t>3. Dual-Speed Analytical Access:</w:t>
      </w:r>
      <w:r>
        <w:rPr>
          <w:rFonts w:ascii="Arial" w:hAnsi="Arial"/>
          <w:color w:val="1E293B"/>
          <w:sz w:val="19"/>
        </w:rPr>
        <w:t xml:space="preserve"> Deliver fast in-memory slicing via FastAPI for exploratory queries over corporate sales datasets alongside relational SQL endpoints for warehouse-backed analytics.</w:t>
      </w:r>
    </w:p>
    <w:p>
      <w:pPr>
        <w:pStyle w:val="ListBullet"/>
        <w:spacing w:after="50" w:line="276" w:lineRule="auto"/>
      </w:pPr>
      <w:r>
        <w:rPr>
          <w:rFonts w:ascii="Arial" w:hAnsi="Arial"/>
          <w:b/>
          <w:color w:val="192A56"/>
        </w:rPr>
        <w:t>4. Guardrailed Natural Language Querying:</w:t>
      </w:r>
      <w:r>
        <w:rPr>
          <w:rFonts w:ascii="Arial" w:hAnsi="Arial"/>
          <w:color w:val="1E293B"/>
          <w:sz w:val="19"/>
        </w:rPr>
        <w:t xml:space="preserve"> Implement an AI Agent that extracts intent, dimensions, filters, and dynamic calendar date intervals without exposing raw SQL generation to unconstrained models.</w:t>
      </w:r>
    </w:p>
    <w:p>
      <w:pPr>
        <w:pStyle w:val="ListBullet"/>
        <w:spacing w:after="50" w:line="276" w:lineRule="auto"/>
      </w:pPr>
      <w:r>
        <w:rPr>
          <w:rFonts w:ascii="Arial" w:hAnsi="Arial"/>
          <w:b/>
          <w:color w:val="192A56"/>
        </w:rPr>
        <w:t>5. Auditable Query Transparency:</w:t>
      </w:r>
      <w:r>
        <w:rPr>
          <w:rFonts w:ascii="Arial" w:hAnsi="Arial"/>
          <w:color w:val="1E293B"/>
          <w:sz w:val="19"/>
        </w:rPr>
        <w:t xml:space="preserve"> Display interactive Apache ECharts visualizations backed by collapsible 'View API Call' and 'View SQL' modals, enabling business stakeholders to verify the exact query logic backing every figure.</w:t>
      </w:r>
    </w:p>
    <w:p>
      <w:pPr>
        <w:keepNext/>
        <w:spacing w:before="240" w:after="80"/>
      </w:pPr>
      <w:r>
        <w:rPr>
          <w:rFonts w:ascii="Arial" w:hAnsi="Arial"/>
          <w:b/>
          <w:color w:val="1E3A6E"/>
          <w:sz w:val="24"/>
        </w:rPr>
        <w:t>1.5 Project Scope and Operational Boundaries</w:t>
      </w:r>
    </w:p>
    <w:p>
      <w:pPr>
        <w:spacing w:after="80" w:line="276" w:lineRule="auto"/>
      </w:pPr>
      <w:r>
        <w:rPr>
          <w:rFonts w:ascii="Arial" w:hAnsi="Arial"/>
          <w:color w:val="1E293B"/>
          <w:sz w:val="19"/>
        </w:rPr>
        <w:t>The operational scope is strictly grounded in the verified codebase:</w:t>
      </w:r>
    </w:p>
    <w:p>
      <w:pPr>
        <w:pStyle w:val="ListBullet"/>
        <w:spacing w:after="50" w:line="276" w:lineRule="auto"/>
      </w:pPr>
      <w:r>
        <w:rPr>
          <w:rFonts w:ascii="Arial" w:hAnsi="Arial"/>
          <w:b/>
          <w:color w:val="192A56"/>
        </w:rPr>
        <w:t>In-Scope (Implemented &amp; Verified):</w:t>
      </w:r>
      <w:r>
        <w:rPr>
          <w:rFonts w:ascii="Arial" w:hAnsi="Arial"/>
          <w:color w:val="1E293B"/>
          <w:sz w:val="19"/>
        </w:rPr>
        <w:t xml:space="preserve"> Tabular dataset of 5,000 corporate sales records (MetricMind_Corporate_Sales_Dataset.csv); PostgreSQL database (metricmind) hosting raw_sales and sales_summary; active dbt project (metricmind_dbt) with view-materialized models; Cube.js server defining 6 measures and 6 dimensions; FastAPI gateway (backend/main.py) exposing 12 REST endpoints; Python AI Agent (ai_agentllm/) with Pydantic validation, regex parser, calendar tools, and variance reasoning; Next.js 16 App Router conversational dashboard with Tailwind CSS v4 and ECharts dynamic visualizer; automated unit test suite with 100% pass rates.</w:t>
      </w:r>
    </w:p>
    <w:p>
      <w:pPr>
        <w:pStyle w:val="ListBullet"/>
        <w:spacing w:after="50" w:line="276" w:lineRule="auto"/>
      </w:pPr>
      <w:r>
        <w:rPr>
          <w:rFonts w:ascii="Arial" w:hAnsi="Arial"/>
          <w:b/>
          <w:color w:val="192A56"/>
        </w:rPr>
        <w:t>Out-of-Scope (Planned / Future Roadmap):</w:t>
      </w:r>
      <w:r>
        <w:rPr>
          <w:rFonts w:ascii="Arial" w:hAnsi="Arial"/>
          <w:color w:val="1E293B"/>
          <w:sz w:val="19"/>
        </w:rPr>
        <w:t xml:space="preserve"> Direct wire-up between Next.js handleSend and live FastAPI/Cube services (currently runs an interactive demo simulation returning European sales and chart traces); generative LLM tool-calling orchestration via external APIs (current parser uses deterministic regex); state-level geographic modeling (explicitly rejected by parser because mart aggregates at Country/Region grain); multi-tenant authentication and user authorization.</w:t>
      </w:r>
    </w:p>
    <w:p>
      <w:pPr>
        <w:keepNext/>
        <w:spacing w:before="240" w:after="80"/>
      </w:pPr>
      <w:r>
        <w:rPr>
          <w:rFonts w:ascii="Arial" w:hAnsi="Arial"/>
          <w:b/>
          <w:color w:val="1E3A6E"/>
          <w:sz w:val="24"/>
        </w:rPr>
        <w:t>1.6 Intended Users and Enterprise Use Cases</w:t>
      </w:r>
    </w:p>
    <w:p>
      <w:pPr>
        <w:pStyle w:val="ListBullet"/>
        <w:spacing w:after="50" w:line="276" w:lineRule="auto"/>
      </w:pPr>
      <w:r>
        <w:rPr>
          <w:rFonts w:ascii="Arial" w:hAnsi="Arial"/>
          <w:b/>
          <w:color w:val="192A56"/>
        </w:rPr>
        <w:t>Executive Leadership (CEO / CFO):</w:t>
      </w:r>
      <w:r>
        <w:rPr>
          <w:rFonts w:ascii="Arial" w:hAnsi="Arial"/>
          <w:color w:val="1E293B"/>
          <w:sz w:val="19"/>
        </w:rPr>
        <w:t xml:space="preserve"> High-level KPI summaries, quarterly margin comparisons, cost-profit breakdown tracking.</w:t>
      </w:r>
    </w:p>
    <w:p>
      <w:pPr>
        <w:pStyle w:val="ListBullet"/>
        <w:spacing w:after="50" w:line="276" w:lineRule="auto"/>
      </w:pPr>
      <w:r>
        <w:rPr>
          <w:rFonts w:ascii="Arial" w:hAnsi="Arial"/>
          <w:b/>
          <w:color w:val="192A56"/>
        </w:rPr>
        <w:t>Regional Sales Directors:</w:t>
      </w:r>
      <w:r>
        <w:rPr>
          <w:rFonts w:ascii="Arial" w:hAnsi="Arial"/>
          <w:color w:val="1E293B"/>
          <w:sz w:val="19"/>
        </w:rPr>
        <w:t xml:space="preserve"> Geographic slicing (e.g., European vs. North American sales), regional profit comparisons.</w:t>
      </w:r>
    </w:p>
    <w:p>
      <w:pPr>
        <w:pStyle w:val="ListBullet"/>
        <w:spacing w:after="50" w:line="276" w:lineRule="auto"/>
      </w:pPr>
      <w:r>
        <w:rPr>
          <w:rFonts w:ascii="Arial" w:hAnsi="Arial"/>
          <w:b/>
          <w:color w:val="192A56"/>
        </w:rPr>
        <w:t>Product Line Managers:</w:t>
      </w:r>
      <w:r>
        <w:rPr>
          <w:rFonts w:ascii="Arial" w:hAnsi="Arial"/>
          <w:color w:val="1E293B"/>
          <w:sz w:val="19"/>
        </w:rPr>
        <w:t xml:space="preserve"> Hardware category comparisons (Servers, Laptops, Tablets, Desktops, Printers), channel efficiency.</w:t>
      </w:r>
    </w:p>
    <w:p>
      <w:pPr>
        <w:pStyle w:val="ListBullet"/>
        <w:spacing w:after="50" w:line="276" w:lineRule="auto"/>
      </w:pPr>
      <w:r>
        <w:rPr>
          <w:rFonts w:ascii="Arial" w:hAnsi="Arial"/>
          <w:b/>
          <w:color w:val="192A56"/>
        </w:rPr>
        <w:t>Commercial Operations Analysts:</w:t>
      </w:r>
      <w:r>
        <w:rPr>
          <w:rFonts w:ascii="Arial" w:hAnsi="Arial"/>
          <w:color w:val="1E293B"/>
          <w:sz w:val="19"/>
        </w:rPr>
        <w:t xml:space="preserve"> Analyzing Online vs. Retail vs. Enterprise sales channels, freight cost monitoring.</w:t>
      </w:r>
    </w:p>
    <w:p>
      <w:pPr>
        <w:keepNext/>
        <w:spacing w:before="360" w:after="140"/>
      </w:pPr>
      <w:r>
        <w:rPr>
          <w:rFonts w:ascii="Arial" w:hAnsi="Arial"/>
          <w:b/>
          <w:color w:val="192A56"/>
          <w:sz w:val="32"/>
        </w:rPr>
        <w:t>Chapter 2 — Existing and Proposed Systems</w:t>
      </w:r>
    </w:p>
    <w:p>
      <w:pPr>
        <w:keepNext/>
        <w:spacing w:before="240" w:after="80"/>
      </w:pPr>
      <w:r>
        <w:rPr>
          <w:rFonts w:ascii="Arial" w:hAnsi="Arial"/>
          <w:b/>
          <w:color w:val="1E3A6E"/>
          <w:sz w:val="24"/>
        </w:rPr>
        <w:t>2.1 Limitations of Existing Business Intelligence Workflows</w:t>
      </w:r>
    </w:p>
    <w:p>
      <w:pPr>
        <w:spacing w:after="80" w:line="276" w:lineRule="auto"/>
      </w:pPr>
      <w:r>
        <w:rPr>
          <w:rFonts w:ascii="Arial" w:hAnsi="Arial"/>
          <w:color w:val="1E293B"/>
          <w:sz w:val="19"/>
        </w:rPr>
        <w:t>Conventional corporate analytics workflows suffer from structural inefficiencies:</w:t>
      </w:r>
    </w:p>
    <w:p>
      <w:pPr>
        <w:pStyle w:val="ListBullet"/>
        <w:spacing w:after="50" w:line="276" w:lineRule="auto"/>
      </w:pPr>
      <w:r>
        <w:rPr>
          <w:rFonts w:ascii="Arial" w:hAnsi="Arial"/>
          <w:b/>
          <w:color w:val="192A56"/>
        </w:rPr>
        <w:t>Decentralized Spreadsheet Chaos (Excel/Sheets):</w:t>
      </w:r>
      <w:r>
        <w:rPr>
          <w:rFonts w:ascii="Arial" w:hAnsi="Arial"/>
          <w:color w:val="1E293B"/>
          <w:sz w:val="19"/>
        </w:rPr>
        <w:t xml:space="preserve"> Decentralized, formula degradation, version collisions, security vulnerabilities, inability to process high-volume operational updates.</w:t>
      </w:r>
    </w:p>
    <w:p>
      <w:pPr>
        <w:pStyle w:val="ListBullet"/>
        <w:spacing w:after="50" w:line="276" w:lineRule="auto"/>
      </w:pPr>
      <w:r>
        <w:rPr>
          <w:rFonts w:ascii="Arial" w:hAnsi="Arial"/>
          <w:b/>
          <w:color w:val="192A56"/>
        </w:rPr>
        <w:t>Rigid Dashboard Proliferation (PowerBI/Tableau):</w:t>
      </w:r>
      <w:r>
        <w:rPr>
          <w:rFonts w:ascii="Arial" w:hAnsi="Arial"/>
          <w:color w:val="1E293B"/>
          <w:sz w:val="19"/>
        </w:rPr>
        <w:t xml:space="preserve"> Static dashboard sprawl; adding new metric cuts requires data engineering tickets and days of delay.</w:t>
      </w:r>
    </w:p>
    <w:p>
      <w:pPr>
        <w:pStyle w:val="ListBullet"/>
        <w:spacing w:after="50" w:line="276" w:lineRule="auto"/>
      </w:pPr>
      <w:r>
        <w:rPr>
          <w:rFonts w:ascii="Arial" w:hAnsi="Arial"/>
          <w:b/>
          <w:color w:val="192A56"/>
        </w:rPr>
        <w:t>Unconstrained AI Text-to-SQL Tools:</w:t>
      </w:r>
      <w:r>
        <w:rPr>
          <w:rFonts w:ascii="Arial" w:hAnsi="Arial"/>
          <w:color w:val="1E293B"/>
          <w:sz w:val="19"/>
        </w:rPr>
        <w:t xml:space="preserve"> Schema hallucinations, join explosions, syntax errors, and SQL injection risks.</w:t>
      </w:r>
    </w:p>
    <w:p>
      <w:pPr>
        <w:keepNext/>
        <w:spacing w:before="240" w:after="80"/>
      </w:pPr>
      <w:r>
        <w:rPr>
          <w:rFonts w:ascii="Arial" w:hAnsi="Arial"/>
          <w:b/>
          <w:color w:val="1E3A6E"/>
          <w:sz w:val="24"/>
        </w:rPr>
        <w:t>2.2 Proposed Solution: The MetricMind Architecture</w:t>
      </w:r>
    </w:p>
    <w:p>
      <w:pPr>
        <w:spacing w:after="80" w:line="276" w:lineRule="auto"/>
      </w:pPr>
      <w:r>
        <w:rPr>
          <w:rFonts w:ascii="Arial" w:hAnsi="Arial"/>
          <w:color w:val="1E293B"/>
          <w:sz w:val="19"/>
        </w:rPr>
        <w:t>MetricMind AI replaces this fragmented workflow with a three-tier governed conversational pipeline: (1) Transformation Layer (dbt) cleansing raw transactions and compiling marts; (2) Semantic Abstraction Layer (Cube.js) standardizing metrics into code; and (3) Conversational Visualizer (Next.js &amp; ECharts) rendering charts alongside transparent SQL and API inspection panels.</w:t>
      </w:r>
    </w:p>
    <w:p>
      <w:pPr>
        <w:keepNext/>
        <w:spacing w:before="240" w:after="80"/>
      </w:pPr>
      <w:r>
        <w:rPr>
          <w:rFonts w:ascii="Arial" w:hAnsi="Arial"/>
          <w:b/>
          <w:color w:val="1E3A6E"/>
          <w:sz w:val="24"/>
        </w:rPr>
        <w:t>2.3 Advantages and Expected Benefits</w:t>
      </w:r>
    </w:p>
    <w:p>
      <w:pPr>
        <w:pStyle w:val="ListBullet"/>
        <w:spacing w:after="50" w:line="276" w:lineRule="auto"/>
      </w:pPr>
      <w:r>
        <w:rPr>
          <w:rFonts w:ascii="Arial" w:hAnsi="Arial"/>
          <w:b/>
          <w:color w:val="192A56"/>
        </w:rPr>
        <w:t>Centralized Metric Governance:</w:t>
      </w:r>
      <w:r>
        <w:rPr>
          <w:rFonts w:ascii="Arial" w:hAnsi="Arial"/>
          <w:color w:val="1E293B"/>
          <w:sz w:val="19"/>
        </w:rPr>
        <w:t xml:space="preserve"> Storing KPI formulas in code mitigates metric drift by ensuring that measures like average margin are evaluated identically across queries.</w:t>
      </w:r>
    </w:p>
    <w:p>
      <w:pPr>
        <w:pStyle w:val="ListBullet"/>
        <w:spacing w:after="50" w:line="276" w:lineRule="auto"/>
      </w:pPr>
      <w:r>
        <w:rPr>
          <w:rFonts w:ascii="Arial" w:hAnsi="Arial"/>
          <w:b/>
          <w:color w:val="192A56"/>
        </w:rPr>
        <w:t>Elimination of SQL Hallucination:</w:t>
      </w:r>
      <w:r>
        <w:rPr>
          <w:rFonts w:ascii="Arial" w:hAnsi="Arial"/>
          <w:color w:val="1E293B"/>
          <w:sz w:val="19"/>
        </w:rPr>
        <w:t xml:space="preserve"> Queries target abstract semantic dimensions rather than physical tables, preventing arbitrary SQL injection.</w:t>
      </w:r>
    </w:p>
    <w:p>
      <w:pPr>
        <w:pStyle w:val="ListBullet"/>
        <w:spacing w:after="50" w:line="276" w:lineRule="auto"/>
      </w:pPr>
      <w:r>
        <w:rPr>
          <w:rFonts w:ascii="Arial" w:hAnsi="Arial"/>
          <w:b/>
          <w:color w:val="192A56"/>
        </w:rPr>
        <w:t>Fast In-Memory Analysis:</w:t>
      </w:r>
      <w:r>
        <w:rPr>
          <w:rFonts w:ascii="Arial" w:hAnsi="Arial"/>
          <w:color w:val="1E293B"/>
          <w:sz w:val="19"/>
        </w:rPr>
        <w:t xml:space="preserve"> In-memory pandas operations provide fast local data slicing across the 5,000-record dataset.</w:t>
      </w:r>
    </w:p>
    <w:p>
      <w:pPr>
        <w:pStyle w:val="ListBullet"/>
        <w:spacing w:after="50" w:line="276" w:lineRule="auto"/>
      </w:pPr>
      <w:r>
        <w:rPr>
          <w:rFonts w:ascii="Arial" w:hAnsi="Arial"/>
          <w:b/>
          <w:color w:val="192A56"/>
        </w:rPr>
        <w:t>Query Transparency:</w:t>
      </w:r>
      <w:r>
        <w:rPr>
          <w:rFonts w:ascii="Arial" w:hAnsi="Arial"/>
          <w:color w:val="1E293B"/>
          <w:sz w:val="19"/>
        </w:rPr>
        <w:t xml:space="preserve"> Business users can click 'View SQL' and 'View API Call' to inspect the exact query mechanics backing any visual data point.</w:t>
      </w:r>
    </w:p>
    <w:p>
      <w:pPr>
        <w:spacing w:after="80" w:line="276" w:lineRule="auto"/>
      </w:pPr>
      <w:r>
        <w:rPr>
          <w:rFonts w:ascii="Arial" w:hAnsi="Arial"/>
          <w:b/>
          <w:color w:val="192A56"/>
        </w:rPr>
        <w:t xml:space="preserve">Comparative Analysis: </w:t>
      </w:r>
      <w:r>
        <w:rPr>
          <w:rFonts w:ascii="Arial" w:hAnsi="Arial"/>
          <w:color w:val="1E293B"/>
          <w:sz w:val="19"/>
        </w:rPr>
        <w:t>Table 2.1: Comparative Matrix of Traditional BI vs. MetricMind AI Architecture</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930"/>
        <w:gridCol w:w="1930"/>
        <w:gridCol w:w="1930"/>
        <w:gridCol w:w="1930"/>
        <w:gridCol w:w="1930"/>
      </w:tblGrid>
      <w:tr>
        <w:tc>
          <w:tcPr>
            <w:tcW w:type="dxa" w:w="1872"/>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Feature / Dimension</w:t>
            </w:r>
          </w:p>
        </w:tc>
        <w:tc>
          <w:tcPr>
            <w:tcW w:type="dxa" w:w="1728"/>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Legacy Spreadsheets</w:t>
            </w:r>
          </w:p>
        </w:tc>
        <w:tc>
          <w:tcPr>
            <w:tcW w:type="dxa" w:w="1728"/>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Traditional BI Tools</w:t>
            </w:r>
          </w:p>
        </w:tc>
        <w:tc>
          <w:tcPr>
            <w:tcW w:type="dxa" w:w="1872"/>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Direct Text-to-SQL</w:t>
            </w:r>
          </w:p>
        </w:tc>
        <w:tc>
          <w:tcPr>
            <w:tcW w:type="dxa" w:w="2448"/>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MetricMind AI Platform</w:t>
            </w:r>
          </w:p>
        </w:tc>
      </w:tr>
      <w:tr>
        <w:tc>
          <w:tcPr>
            <w:tcW w:type="dxa" w:w="1872"/>
            <w:shd w:fill="FFFFFF"/>
            <w:tcMar>
              <w:top w:w="50" w:type="dxa"/>
              <w:bottom w:w="50" w:type="dxa"/>
              <w:left w:w="80" w:type="dxa"/>
              <w:right w:w="80" w:type="dxa"/>
            </w:tcMar>
            <w:vAlign w:val="center"/>
          </w:tcPr>
          <w:p>
            <w:pPr>
              <w:spacing w:before="0" w:after="0" w:line="252" w:lineRule="auto"/>
            </w:pPr>
            <w:r>
              <w:rPr>
                <w:rFonts w:ascii="Arial" w:hAnsi="Arial"/>
                <w:color w:val="1E293B"/>
                <w:sz w:val="14"/>
              </w:rPr>
              <w:t>Interface Style</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Manual Grid / Pivot</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Drag-and-Drop GUI</w:t>
            </w:r>
          </w:p>
        </w:tc>
        <w:tc>
          <w:tcPr>
            <w:tcW w:type="dxa" w:w="1872"/>
            <w:shd w:fill="FFFFFF"/>
            <w:tcMar>
              <w:top w:w="50" w:type="dxa"/>
              <w:bottom w:w="50" w:type="dxa"/>
              <w:left w:w="80" w:type="dxa"/>
              <w:right w:w="80" w:type="dxa"/>
            </w:tcMar>
            <w:vAlign w:val="center"/>
          </w:tcPr>
          <w:p>
            <w:pPr>
              <w:spacing w:before="0" w:after="0" w:line="252" w:lineRule="auto"/>
            </w:pPr>
            <w:r>
              <w:rPr>
                <w:rFonts w:ascii="Arial" w:hAnsi="Arial"/>
                <w:color w:val="1E293B"/>
                <w:sz w:val="14"/>
              </w:rPr>
              <w:t>Prompt Input</w:t>
            </w:r>
          </w:p>
        </w:tc>
        <w:tc>
          <w:tcPr>
            <w:tcW w:type="dxa" w:w="2448"/>
            <w:shd w:fill="FFFFFF"/>
            <w:tcMar>
              <w:top w:w="50" w:type="dxa"/>
              <w:bottom w:w="50" w:type="dxa"/>
              <w:left w:w="80" w:type="dxa"/>
              <w:right w:w="80" w:type="dxa"/>
            </w:tcMar>
            <w:vAlign w:val="center"/>
          </w:tcPr>
          <w:p>
            <w:pPr>
              <w:spacing w:before="0" w:after="0" w:line="252" w:lineRule="auto"/>
            </w:pPr>
            <w:r>
              <w:rPr>
                <w:rFonts w:ascii="Arial" w:hAnsi="Arial"/>
                <w:color w:val="1E293B"/>
                <w:sz w:val="14"/>
              </w:rPr>
              <w:t>Conversational Chat + Visualizer</w:t>
            </w:r>
          </w:p>
        </w:tc>
      </w:tr>
      <w:tr>
        <w:tc>
          <w:tcPr>
            <w:tcW w:type="dxa" w:w="1872"/>
            <w:shd w:fill="F8FAFC"/>
            <w:tcMar>
              <w:top w:w="50" w:type="dxa"/>
              <w:bottom w:w="50" w:type="dxa"/>
              <w:left w:w="80" w:type="dxa"/>
              <w:right w:w="80" w:type="dxa"/>
            </w:tcMar>
            <w:vAlign w:val="center"/>
          </w:tcPr>
          <w:p>
            <w:pPr>
              <w:spacing w:before="0" w:after="0" w:line="252" w:lineRule="auto"/>
            </w:pPr>
            <w:r>
              <w:rPr>
                <w:rFonts w:ascii="Arial" w:hAnsi="Arial"/>
                <w:color w:val="1E293B"/>
                <w:sz w:val="14"/>
              </w:rPr>
              <w:t>Metric Governance</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None (Formula-based)</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Departmental / Siloed</w:t>
            </w:r>
          </w:p>
        </w:tc>
        <w:tc>
          <w:tcPr>
            <w:tcW w:type="dxa" w:w="1872"/>
            <w:shd w:fill="F8FAFC"/>
            <w:tcMar>
              <w:top w:w="50" w:type="dxa"/>
              <w:bottom w:w="50" w:type="dxa"/>
              <w:left w:w="80" w:type="dxa"/>
              <w:right w:w="80" w:type="dxa"/>
            </w:tcMar>
            <w:vAlign w:val="center"/>
          </w:tcPr>
          <w:p>
            <w:pPr>
              <w:spacing w:before="0" w:after="0" w:line="252" w:lineRule="auto"/>
            </w:pPr>
            <w:r>
              <w:rPr>
                <w:rFonts w:ascii="Arial" w:hAnsi="Arial"/>
                <w:color w:val="1E293B"/>
                <w:sz w:val="14"/>
              </w:rPr>
              <w:t>None (LLM Guesses)</w:t>
            </w:r>
          </w:p>
        </w:tc>
        <w:tc>
          <w:tcPr>
            <w:tcW w:type="dxa" w:w="2448"/>
            <w:shd w:fill="F8FAFC"/>
            <w:tcMar>
              <w:top w:w="50" w:type="dxa"/>
              <w:bottom w:w="50" w:type="dxa"/>
              <w:left w:w="80" w:type="dxa"/>
              <w:right w:w="80" w:type="dxa"/>
            </w:tcMar>
            <w:vAlign w:val="center"/>
          </w:tcPr>
          <w:p>
            <w:pPr>
              <w:spacing w:before="0" w:after="0" w:line="252" w:lineRule="auto"/>
            </w:pPr>
            <w:r>
              <w:rPr>
                <w:rFonts w:ascii="Arial" w:hAnsi="Arial"/>
                <w:color w:val="1E293B"/>
                <w:sz w:val="14"/>
              </w:rPr>
              <w:t>Centralized (Cube.js Semantic Layer)</w:t>
            </w:r>
          </w:p>
        </w:tc>
      </w:tr>
      <w:tr>
        <w:tc>
          <w:tcPr>
            <w:tcW w:type="dxa" w:w="1872"/>
            <w:shd w:fill="FFFFFF"/>
            <w:tcMar>
              <w:top w:w="50" w:type="dxa"/>
              <w:bottom w:w="50" w:type="dxa"/>
              <w:left w:w="80" w:type="dxa"/>
              <w:right w:w="80" w:type="dxa"/>
            </w:tcMar>
            <w:vAlign w:val="center"/>
          </w:tcPr>
          <w:p>
            <w:pPr>
              <w:spacing w:before="0" w:after="0" w:line="252" w:lineRule="auto"/>
            </w:pPr>
            <w:r>
              <w:rPr>
                <w:rFonts w:ascii="Arial" w:hAnsi="Arial"/>
                <w:color w:val="1E293B"/>
                <w:sz w:val="14"/>
              </w:rPr>
              <w:t>SQL Generation Safety</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Not Applicable</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Proprietary Engine</w:t>
            </w:r>
          </w:p>
        </w:tc>
        <w:tc>
          <w:tcPr>
            <w:tcW w:type="dxa" w:w="1872"/>
            <w:shd w:fill="FFFFFF"/>
            <w:tcMar>
              <w:top w:w="50" w:type="dxa"/>
              <w:bottom w:w="50" w:type="dxa"/>
              <w:left w:w="80" w:type="dxa"/>
              <w:right w:w="80" w:type="dxa"/>
            </w:tcMar>
            <w:vAlign w:val="center"/>
          </w:tcPr>
          <w:p>
            <w:pPr>
              <w:spacing w:before="0" w:after="0" w:line="252" w:lineRule="auto"/>
            </w:pPr>
            <w:r>
              <w:rPr>
                <w:rFonts w:ascii="Arial" w:hAnsi="Arial"/>
                <w:color w:val="1E293B"/>
                <w:sz w:val="14"/>
              </w:rPr>
              <w:t>High Risk (Hallucinations)</w:t>
            </w:r>
          </w:p>
        </w:tc>
        <w:tc>
          <w:tcPr>
            <w:tcW w:type="dxa" w:w="2448"/>
            <w:shd w:fill="FFFFFF"/>
            <w:tcMar>
              <w:top w:w="50" w:type="dxa"/>
              <w:bottom w:w="50" w:type="dxa"/>
              <w:left w:w="80" w:type="dxa"/>
              <w:right w:w="80" w:type="dxa"/>
            </w:tcMar>
            <w:vAlign w:val="center"/>
          </w:tcPr>
          <w:p>
            <w:pPr>
              <w:spacing w:before="0" w:after="0" w:line="252" w:lineRule="auto"/>
            </w:pPr>
            <w:r>
              <w:rPr>
                <w:rFonts w:ascii="Arial" w:hAnsi="Arial"/>
                <w:color w:val="1E293B"/>
                <w:sz w:val="14"/>
              </w:rPr>
              <w:t>Deterministic &amp; Semantic Guardrails</w:t>
            </w:r>
          </w:p>
        </w:tc>
      </w:tr>
      <w:tr>
        <w:tc>
          <w:tcPr>
            <w:tcW w:type="dxa" w:w="1872"/>
            <w:shd w:fill="F8FAFC"/>
            <w:tcMar>
              <w:top w:w="50" w:type="dxa"/>
              <w:bottom w:w="50" w:type="dxa"/>
              <w:left w:w="80" w:type="dxa"/>
              <w:right w:w="80" w:type="dxa"/>
            </w:tcMar>
            <w:vAlign w:val="center"/>
          </w:tcPr>
          <w:p>
            <w:pPr>
              <w:spacing w:before="0" w:after="0" w:line="252" w:lineRule="auto"/>
            </w:pPr>
            <w:r>
              <w:rPr>
                <w:rFonts w:ascii="Arial" w:hAnsi="Arial"/>
                <w:color w:val="1E293B"/>
                <w:sz w:val="14"/>
              </w:rPr>
              <w:t>Query Transparency</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Low</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Medium (Hidden Queries)</w:t>
            </w:r>
          </w:p>
        </w:tc>
        <w:tc>
          <w:tcPr>
            <w:tcW w:type="dxa" w:w="1872"/>
            <w:shd w:fill="F8FAFC"/>
            <w:tcMar>
              <w:top w:w="50" w:type="dxa"/>
              <w:bottom w:w="50" w:type="dxa"/>
              <w:left w:w="80" w:type="dxa"/>
              <w:right w:w="80" w:type="dxa"/>
            </w:tcMar>
            <w:vAlign w:val="center"/>
          </w:tcPr>
          <w:p>
            <w:pPr>
              <w:spacing w:before="0" w:after="0" w:line="252" w:lineRule="auto"/>
            </w:pPr>
            <w:r>
              <w:rPr>
                <w:rFonts w:ascii="Arial" w:hAnsi="Arial"/>
                <w:color w:val="1E293B"/>
                <w:sz w:val="14"/>
              </w:rPr>
              <w:t>Opaque</w:t>
            </w:r>
          </w:p>
        </w:tc>
        <w:tc>
          <w:tcPr>
            <w:tcW w:type="dxa" w:w="2448"/>
            <w:shd w:fill="F8FAFC"/>
            <w:tcMar>
              <w:top w:w="50" w:type="dxa"/>
              <w:bottom w:w="50" w:type="dxa"/>
              <w:left w:w="80" w:type="dxa"/>
              <w:right w:w="80" w:type="dxa"/>
            </w:tcMar>
            <w:vAlign w:val="center"/>
          </w:tcPr>
          <w:p>
            <w:pPr>
              <w:spacing w:before="0" w:after="0" w:line="252" w:lineRule="auto"/>
            </w:pPr>
            <w:r>
              <w:rPr>
                <w:rFonts w:ascii="Arial" w:hAnsi="Arial"/>
                <w:color w:val="1E293B"/>
                <w:sz w:val="14"/>
              </w:rPr>
              <w:t>High ('View API' &amp; 'View SQL' Modals)</w:t>
            </w:r>
          </w:p>
        </w:tc>
      </w:tr>
      <w:tr>
        <w:tc>
          <w:tcPr>
            <w:tcW w:type="dxa" w:w="1872"/>
            <w:shd w:fill="FFFFFF"/>
            <w:tcMar>
              <w:top w:w="50" w:type="dxa"/>
              <w:bottom w:w="50" w:type="dxa"/>
              <w:left w:w="80" w:type="dxa"/>
              <w:right w:w="80" w:type="dxa"/>
            </w:tcMar>
            <w:vAlign w:val="center"/>
          </w:tcPr>
          <w:p>
            <w:pPr>
              <w:spacing w:before="0" w:after="0" w:line="252" w:lineRule="auto"/>
            </w:pPr>
            <w:r>
              <w:rPr>
                <w:rFonts w:ascii="Arial" w:hAnsi="Arial"/>
                <w:color w:val="1E293B"/>
                <w:sz w:val="14"/>
              </w:rPr>
              <w:t>Data Transformation</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Manual / Macro</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Vendor ETL</w:t>
            </w:r>
          </w:p>
        </w:tc>
        <w:tc>
          <w:tcPr>
            <w:tcW w:type="dxa" w:w="1872"/>
            <w:shd w:fill="FFFFFF"/>
            <w:tcMar>
              <w:top w:w="50" w:type="dxa"/>
              <w:bottom w:w="50" w:type="dxa"/>
              <w:left w:w="80" w:type="dxa"/>
              <w:right w:w="80" w:type="dxa"/>
            </w:tcMar>
            <w:vAlign w:val="center"/>
          </w:tcPr>
          <w:p>
            <w:pPr>
              <w:spacing w:before="0" w:after="0" w:line="252" w:lineRule="auto"/>
            </w:pPr>
            <w:r>
              <w:rPr>
                <w:rFonts w:ascii="Arial" w:hAnsi="Arial"/>
                <w:color w:val="1E293B"/>
                <w:sz w:val="14"/>
              </w:rPr>
              <w:t>Ad-Hoc SQL</w:t>
            </w:r>
          </w:p>
        </w:tc>
        <w:tc>
          <w:tcPr>
            <w:tcW w:type="dxa" w:w="2448"/>
            <w:shd w:fill="FFFFFF"/>
            <w:tcMar>
              <w:top w:w="50" w:type="dxa"/>
              <w:bottom w:w="50" w:type="dxa"/>
              <w:left w:w="80" w:type="dxa"/>
              <w:right w:w="80" w:type="dxa"/>
            </w:tcMar>
            <w:vAlign w:val="center"/>
          </w:tcPr>
          <w:p>
            <w:pPr>
              <w:spacing w:before="0" w:after="0" w:line="252" w:lineRule="auto"/>
            </w:pPr>
            <w:r>
              <w:rPr>
                <w:rFonts w:ascii="Arial" w:hAnsi="Arial"/>
                <w:color w:val="1E293B"/>
                <w:sz w:val="14"/>
              </w:rPr>
              <w:t>Automated ELT via dbt</w:t>
            </w:r>
          </w:p>
        </w:tc>
      </w:tr>
      <w:tr>
        <w:tc>
          <w:tcPr>
            <w:tcW w:type="dxa" w:w="1872"/>
            <w:shd w:fill="F8FAFC"/>
            <w:tcMar>
              <w:top w:w="50" w:type="dxa"/>
              <w:bottom w:w="50" w:type="dxa"/>
              <w:left w:w="80" w:type="dxa"/>
              <w:right w:w="80" w:type="dxa"/>
            </w:tcMar>
            <w:vAlign w:val="center"/>
          </w:tcPr>
          <w:p>
            <w:pPr>
              <w:spacing w:before="0" w:after="0" w:line="252" w:lineRule="auto"/>
            </w:pPr>
            <w:r>
              <w:rPr>
                <w:rFonts w:ascii="Arial" w:hAnsi="Arial"/>
                <w:color w:val="1E293B"/>
                <w:sz w:val="14"/>
              </w:rPr>
              <w:t>Extensibility</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Poor</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Plugin / Vendor Locked</w:t>
            </w:r>
          </w:p>
        </w:tc>
        <w:tc>
          <w:tcPr>
            <w:tcW w:type="dxa" w:w="1872"/>
            <w:shd w:fill="F8FAFC"/>
            <w:tcMar>
              <w:top w:w="50" w:type="dxa"/>
              <w:bottom w:w="50" w:type="dxa"/>
              <w:left w:w="80" w:type="dxa"/>
              <w:right w:w="80" w:type="dxa"/>
            </w:tcMar>
            <w:vAlign w:val="center"/>
          </w:tcPr>
          <w:p>
            <w:pPr>
              <w:spacing w:before="0" w:after="0" w:line="252" w:lineRule="auto"/>
            </w:pPr>
            <w:r>
              <w:rPr>
                <w:rFonts w:ascii="Arial" w:hAnsi="Arial"/>
                <w:color w:val="1E293B"/>
                <w:sz w:val="14"/>
              </w:rPr>
              <w:t>API-based</w:t>
            </w:r>
          </w:p>
        </w:tc>
        <w:tc>
          <w:tcPr>
            <w:tcW w:type="dxa" w:w="2448"/>
            <w:shd w:fill="F8FAFC"/>
            <w:tcMar>
              <w:top w:w="50" w:type="dxa"/>
              <w:bottom w:w="50" w:type="dxa"/>
              <w:left w:w="80" w:type="dxa"/>
              <w:right w:w="80" w:type="dxa"/>
            </w:tcMar>
            <w:vAlign w:val="center"/>
          </w:tcPr>
          <w:p>
            <w:pPr>
              <w:spacing w:before="0" w:after="0" w:line="252" w:lineRule="auto"/>
            </w:pPr>
            <w:r>
              <w:rPr>
                <w:rFonts w:ascii="Arial" w:hAnsi="Arial"/>
                <w:color w:val="1E293B"/>
                <w:sz w:val="14"/>
              </w:rPr>
              <w:t>Modular Full-Stack Microservices</w:t>
            </w:r>
          </w:p>
        </w:tc>
      </w:tr>
    </w:tbl>
    <w:p>
      <w:pPr>
        <w:spacing w:before="0" w:after="80"/>
      </w:pPr>
    </w:p>
    <w:p>
      <w:pPr>
        <w:keepNext/>
        <w:spacing w:before="240" w:after="80"/>
      </w:pPr>
      <w:r>
        <w:rPr>
          <w:rFonts w:ascii="Arial" w:hAnsi="Arial"/>
          <w:b/>
          <w:color w:val="1E3A6E"/>
          <w:sz w:val="24"/>
        </w:rPr>
        <w:t>2.4 Functional Requirements</w:t>
      </w:r>
    </w:p>
    <w:p>
      <w:pPr>
        <w:pStyle w:val="ListBullet"/>
        <w:spacing w:after="50" w:line="276" w:lineRule="auto"/>
      </w:pPr>
      <w:r>
        <w:rPr>
          <w:rFonts w:ascii="Arial" w:hAnsi="Arial"/>
          <w:b/>
          <w:color w:val="192A56"/>
        </w:rPr>
        <w:t>FR-01: Conversational Interaction:</w:t>
      </w:r>
      <w:r>
        <w:rPr>
          <w:rFonts w:ascii="Arial" w:hAnsi="Arial"/>
          <w:color w:val="1E293B"/>
          <w:sz w:val="19"/>
        </w:rPr>
        <w:t xml:space="preserve"> Interactive chat interface with keyboard shortcuts (Enter to send, Shift+Enter for newline).</w:t>
      </w:r>
    </w:p>
    <w:p>
      <w:pPr>
        <w:pStyle w:val="ListBullet"/>
        <w:spacing w:after="50" w:line="276" w:lineRule="auto"/>
      </w:pPr>
      <w:r>
        <w:rPr>
          <w:rFonts w:ascii="Arial" w:hAnsi="Arial"/>
          <w:b/>
          <w:color w:val="192A56"/>
        </w:rPr>
        <w:t>FR-02: Intent &amp; Entity Parsing:</w:t>
      </w:r>
      <w:r>
        <w:rPr>
          <w:rFonts w:ascii="Arial" w:hAnsi="Arial"/>
          <w:color w:val="1E293B"/>
          <w:sz w:val="19"/>
        </w:rPr>
        <w:t xml:space="preserve"> Parse incoming text into structured SemanticQuery identifying measures, dimensions, filters, and dates.</w:t>
      </w:r>
    </w:p>
    <w:p>
      <w:pPr>
        <w:pStyle w:val="ListBullet"/>
        <w:spacing w:after="50" w:line="276" w:lineRule="auto"/>
      </w:pPr>
      <w:r>
        <w:rPr>
          <w:rFonts w:ascii="Arial" w:hAnsi="Arial"/>
          <w:b/>
          <w:color w:val="192A56"/>
        </w:rPr>
        <w:t>FR-03: Scope Guardrails:</w:t>
      </w:r>
      <w:r>
        <w:rPr>
          <w:rFonts w:ascii="Arial" w:hAnsi="Arial"/>
          <w:color w:val="1E293B"/>
          <w:sz w:val="19"/>
        </w:rPr>
        <w:t xml:space="preserve"> Reject unsupported state-level filters and prompts lacking measures with explicit error messages.</w:t>
      </w:r>
    </w:p>
    <w:p>
      <w:pPr>
        <w:pStyle w:val="ListBullet"/>
        <w:spacing w:after="50" w:line="276" w:lineRule="auto"/>
      </w:pPr>
      <w:r>
        <w:rPr>
          <w:rFonts w:ascii="Arial" w:hAnsi="Arial"/>
          <w:b/>
          <w:color w:val="192A56"/>
        </w:rPr>
        <w:t>FR-04: Dynamic Date Arithmetic:</w:t>
      </w:r>
      <w:r>
        <w:rPr>
          <w:rFonts w:ascii="Arial" w:hAnsi="Arial"/>
          <w:color w:val="1E293B"/>
          <w:sz w:val="19"/>
        </w:rPr>
        <w:t xml:space="preserve"> Compute dynamic ISO-8601 date ranges for time expressions (last month, this month, last quarter, etc.).</w:t>
      </w:r>
    </w:p>
    <w:p>
      <w:pPr>
        <w:pStyle w:val="ListBullet"/>
        <w:spacing w:after="50" w:line="276" w:lineRule="auto"/>
      </w:pPr>
      <w:r>
        <w:rPr>
          <w:rFonts w:ascii="Arial" w:hAnsi="Arial"/>
          <w:b/>
          <w:color w:val="192A56"/>
        </w:rPr>
        <w:t>FR-05: Semantic REST Execution:</w:t>
      </w:r>
      <w:r>
        <w:rPr>
          <w:rFonts w:ascii="Arial" w:hAnsi="Arial"/>
          <w:color w:val="1E293B"/>
          <w:sz w:val="19"/>
        </w:rPr>
        <w:t xml:space="preserve"> Format valid Cube.js JSON payloads and dispatch HTTP POST requests to /cubejs-api/v1/load.</w:t>
      </w:r>
    </w:p>
    <w:p>
      <w:pPr>
        <w:pStyle w:val="ListBullet"/>
        <w:spacing w:after="50" w:line="276" w:lineRule="auto"/>
      </w:pPr>
      <w:r>
        <w:rPr>
          <w:rFonts w:ascii="Arial" w:hAnsi="Arial"/>
          <w:b/>
          <w:color w:val="192A56"/>
        </w:rPr>
        <w:t>FR-06: Mathematical Variance Calculation:</w:t>
      </w:r>
      <w:r>
        <w:rPr>
          <w:rFonts w:ascii="Arial" w:hAnsi="Arial"/>
          <w:color w:val="1E293B"/>
          <w:sz w:val="19"/>
        </w:rPr>
        <w:t xml:space="preserve"> Compute absolute variance, percentage delta, and trend direction (increased, decreased, unchanged).</w:t>
      </w:r>
    </w:p>
    <w:p>
      <w:pPr>
        <w:pStyle w:val="ListBullet"/>
        <w:spacing w:after="50" w:line="276" w:lineRule="auto"/>
      </w:pPr>
      <w:r>
        <w:rPr>
          <w:rFonts w:ascii="Arial" w:hAnsi="Arial"/>
          <w:b/>
          <w:color w:val="192A56"/>
        </w:rPr>
        <w:t>FR-07: In-Memory Multi-Dimensional Slicing:</w:t>
      </w:r>
      <w:r>
        <w:rPr>
          <w:rFonts w:ascii="Arial" w:hAnsi="Arial"/>
          <w:color w:val="1E293B"/>
          <w:sz w:val="19"/>
        </w:rPr>
        <w:t xml:space="preserve"> Deliver summary metrics filtered by region, product, channel, year, month, and quarter.</w:t>
      </w:r>
    </w:p>
    <w:p>
      <w:pPr>
        <w:pStyle w:val="ListBullet"/>
        <w:spacing w:after="50" w:line="276" w:lineRule="auto"/>
      </w:pPr>
      <w:r>
        <w:rPr>
          <w:rFonts w:ascii="Arial" w:hAnsi="Arial"/>
          <w:b/>
          <w:color w:val="192A56"/>
        </w:rPr>
        <w:t>FR-08: Relational Warehouse Slicing:</w:t>
      </w:r>
      <w:r>
        <w:rPr>
          <w:rFonts w:ascii="Arial" w:hAnsi="Arial"/>
          <w:color w:val="1E293B"/>
          <w:sz w:val="19"/>
        </w:rPr>
        <w:t xml:space="preserve"> Query public.sales_summary from PostgreSQL and return aggregated tabular records.</w:t>
      </w:r>
    </w:p>
    <w:p>
      <w:pPr>
        <w:pStyle w:val="ListBullet"/>
        <w:spacing w:after="50" w:line="276" w:lineRule="auto"/>
      </w:pPr>
      <w:r>
        <w:rPr>
          <w:rFonts w:ascii="Arial" w:hAnsi="Arial"/>
          <w:b/>
          <w:color w:val="192A56"/>
        </w:rPr>
        <w:t>FR-09: Dynamic Data Visualization:</w:t>
      </w:r>
      <w:r>
        <w:rPr>
          <w:rFonts w:ascii="Arial" w:hAnsi="Arial"/>
          <w:color w:val="1E293B"/>
          <w:sz w:val="19"/>
        </w:rPr>
        <w:t xml:space="preserve"> Dynamically render bar charts or line charts based on the query result payload using Apache ECharts.</w:t>
      </w:r>
    </w:p>
    <w:p>
      <w:pPr>
        <w:pStyle w:val="ListBullet"/>
        <w:spacing w:after="50" w:line="276" w:lineRule="auto"/>
      </w:pPr>
      <w:r>
        <w:rPr>
          <w:rFonts w:ascii="Arial" w:hAnsi="Arial"/>
          <w:b/>
          <w:color w:val="192A56"/>
        </w:rPr>
        <w:t>FR-10: Transparent Query Auditing:</w:t>
      </w:r>
      <w:r>
        <w:rPr>
          <w:rFonts w:ascii="Arial" w:hAnsi="Arial"/>
          <w:color w:val="1E293B"/>
          <w:sz w:val="19"/>
        </w:rPr>
        <w:t xml:space="preserve"> Provide interactive toggle buttons allowing users to inspect the underlying API call parameters and SQL statements.</w:t>
      </w:r>
    </w:p>
    <w:p>
      <w:pPr>
        <w:keepNext/>
        <w:spacing w:before="240" w:after="80"/>
      </w:pPr>
      <w:r>
        <w:rPr>
          <w:rFonts w:ascii="Arial" w:hAnsi="Arial"/>
          <w:b/>
          <w:color w:val="1E3A6E"/>
          <w:sz w:val="24"/>
        </w:rPr>
        <w:t>2.5 Non-Functional Requirements</w:t>
      </w:r>
    </w:p>
    <w:p>
      <w:pPr>
        <w:pStyle w:val="ListBullet"/>
        <w:spacing w:after="50" w:line="276" w:lineRule="auto"/>
      </w:pPr>
      <w:r>
        <w:rPr>
          <w:rFonts w:ascii="Arial" w:hAnsi="Arial"/>
          <w:b/>
          <w:color w:val="192A56"/>
        </w:rPr>
        <w:t>NFR-01: Response Latency:</w:t>
      </w:r>
      <w:r>
        <w:rPr>
          <w:rFonts w:ascii="Arial" w:hAnsi="Arial"/>
          <w:color w:val="1E293B"/>
          <w:sz w:val="19"/>
        </w:rPr>
        <w:t xml:space="preserve"> In-memory FastAPI summary endpoints must respond quickly for typical filter operations on a 5,000-record dataset.</w:t>
      </w:r>
    </w:p>
    <w:p>
      <w:pPr>
        <w:pStyle w:val="ListBullet"/>
        <w:spacing w:after="50" w:line="276" w:lineRule="auto"/>
      </w:pPr>
      <w:r>
        <w:rPr>
          <w:rFonts w:ascii="Arial" w:hAnsi="Arial"/>
          <w:b/>
          <w:color w:val="192A56"/>
        </w:rPr>
        <w:t>NFR-02: Architectural Modularity:</w:t>
      </w:r>
      <w:r>
        <w:rPr>
          <w:rFonts w:ascii="Arial" w:hAnsi="Arial"/>
          <w:color w:val="1E293B"/>
          <w:sz w:val="19"/>
        </w:rPr>
        <w:t xml:space="preserve"> Each service (frontend, backend, semantic layer, dbt) must maintain isolated dependencies and configuration files.</w:t>
      </w:r>
    </w:p>
    <w:p>
      <w:pPr>
        <w:pStyle w:val="ListBullet"/>
        <w:spacing w:after="50" w:line="276" w:lineRule="auto"/>
      </w:pPr>
      <w:r>
        <w:rPr>
          <w:rFonts w:ascii="Arial" w:hAnsi="Arial"/>
          <w:b/>
          <w:color w:val="192A56"/>
        </w:rPr>
        <w:t>NFR-03: Metric Consistency:</w:t>
      </w:r>
      <w:r>
        <w:rPr>
          <w:rFonts w:ascii="Arial" w:hAnsi="Arial"/>
          <w:color w:val="1E293B"/>
          <w:sz w:val="19"/>
        </w:rPr>
        <w:t xml:space="preserve"> Cube.js must calculate averageMargin consistently using the formula 1.0 * SUM(profit) / NULLIF(SUM(revenue), 0) to prevent division-by-zero errors.</w:t>
      </w:r>
    </w:p>
    <w:p>
      <w:pPr>
        <w:pStyle w:val="ListBullet"/>
        <w:spacing w:after="50" w:line="276" w:lineRule="auto"/>
      </w:pPr>
      <w:r>
        <w:rPr>
          <w:rFonts w:ascii="Arial" w:hAnsi="Arial"/>
          <w:b/>
          <w:color w:val="192A56"/>
        </w:rPr>
        <w:t>NFR-04: Security &amp; Credential Hygiene:</w:t>
      </w:r>
      <w:r>
        <w:rPr>
          <w:rFonts w:ascii="Arial" w:hAnsi="Arial"/>
          <w:color w:val="1E293B"/>
          <w:sz w:val="19"/>
        </w:rPr>
        <w:t xml:space="preserve"> Database credentials, secrets, and environment parameters must be loaded via .env files and excluded from version control via .gitignore.</w:t>
      </w:r>
    </w:p>
    <w:p>
      <w:pPr>
        <w:pStyle w:val="ListBullet"/>
        <w:spacing w:after="50" w:line="276" w:lineRule="auto"/>
      </w:pPr>
      <w:r>
        <w:rPr>
          <w:rFonts w:ascii="Arial" w:hAnsi="Arial"/>
          <w:b/>
          <w:color w:val="192A56"/>
        </w:rPr>
        <w:t>NFR-05: Responsive User Interface:</w:t>
      </w:r>
      <w:r>
        <w:rPr>
          <w:rFonts w:ascii="Arial" w:hAnsi="Arial"/>
          <w:color w:val="1E293B"/>
          <w:sz w:val="19"/>
        </w:rPr>
        <w:t xml:space="preserve"> The Next.js dashboard must adapt smoothly across desktop screens (&gt;=1024px) and mobile viewport drawers (&lt;1024px).</w:t>
      </w:r>
    </w:p>
    <w:p>
      <w:pPr>
        <w:pStyle w:val="ListBullet"/>
        <w:spacing w:after="50" w:line="276" w:lineRule="auto"/>
      </w:pPr>
      <w:r>
        <w:rPr>
          <w:rFonts w:ascii="Arial" w:hAnsi="Arial"/>
          <w:b/>
          <w:color w:val="192A56"/>
        </w:rPr>
        <w:t>NFR-06: Test Reliability:</w:t>
      </w:r>
      <w:r>
        <w:rPr>
          <w:rFonts w:ascii="Arial" w:hAnsi="Arial"/>
          <w:color w:val="1E293B"/>
          <w:sz w:val="19"/>
        </w:rPr>
        <w:t xml:space="preserve"> The test suite must execute cleanly in a standardized Python 3.10 virtual environment with 100% test pass rates for verified modules.</w:t>
      </w:r>
    </w:p>
    <w:p>
      <w:pPr>
        <w:keepNext/>
        <w:spacing w:before="240" w:after="80"/>
      </w:pPr>
      <w:r>
        <w:rPr>
          <w:rFonts w:ascii="Arial" w:hAnsi="Arial"/>
          <w:b/>
          <w:color w:val="1E3A6E"/>
          <w:sz w:val="24"/>
        </w:rPr>
        <w:t>2.6 Assumptions and Technical Constraints</w:t>
      </w:r>
    </w:p>
    <w:p>
      <w:pPr>
        <w:pStyle w:val="ListBullet"/>
        <w:spacing w:after="50" w:line="276" w:lineRule="auto"/>
      </w:pPr>
      <w:r>
        <w:rPr>
          <w:rFonts w:ascii="Arial" w:hAnsi="Arial"/>
          <w:b/>
          <w:color w:val="192A56"/>
        </w:rPr>
        <w:t>PostgreSQL Relational Target:</w:t>
      </w:r>
      <w:r>
        <w:rPr>
          <w:rFonts w:ascii="Arial" w:hAnsi="Arial"/>
          <w:color w:val="1E293B"/>
          <w:sz w:val="19"/>
        </w:rPr>
        <w:t xml:space="preserve"> Assumes PostgreSQL 14+ is operational on localhost:5432 with database metricmind.</w:t>
      </w:r>
    </w:p>
    <w:p>
      <w:pPr>
        <w:pStyle w:val="ListBullet"/>
        <w:spacing w:after="50" w:line="276" w:lineRule="auto"/>
      </w:pPr>
      <w:r>
        <w:rPr>
          <w:rFonts w:ascii="Arial" w:hAnsi="Arial"/>
          <w:b/>
          <w:color w:val="192A56"/>
        </w:rPr>
        <w:t>Aggregated Mart Grain:</w:t>
      </w:r>
      <w:r>
        <w:rPr>
          <w:rFonts w:ascii="Arial" w:hAnsi="Arial"/>
          <w:color w:val="1E293B"/>
          <w:sz w:val="19"/>
        </w:rPr>
        <w:t xml:space="preserve"> Assumes data mart sales_summary aggregates at Year-Quarter-Region-Country-Product-Channel grain; individual transaction-level order dates and state attributes are intentionally abstracted away from the mart.</w:t>
      </w:r>
    </w:p>
    <w:p>
      <w:pPr>
        <w:pStyle w:val="ListBullet"/>
        <w:spacing w:after="50" w:line="276" w:lineRule="auto"/>
      </w:pPr>
      <w:r>
        <w:rPr>
          <w:rFonts w:ascii="Arial" w:hAnsi="Arial"/>
          <w:b/>
          <w:color w:val="192A56"/>
        </w:rPr>
        <w:t>Deterministic NLP Scope:</w:t>
      </w:r>
      <w:r>
        <w:rPr>
          <w:rFonts w:ascii="Arial" w:hAnsi="Arial"/>
          <w:color w:val="1E293B"/>
          <w:sz w:val="19"/>
        </w:rPr>
        <w:t xml:space="preserve"> Assumes natural language queries currently follow supported grammatical structures incorporating the target measure 'revenue'.</w:t>
      </w:r>
    </w:p>
    <w:p>
      <w:pPr>
        <w:keepNext/>
        <w:spacing w:before="240" w:after="80"/>
      </w:pPr>
      <w:r>
        <w:rPr>
          <w:rFonts w:ascii="Arial" w:hAnsi="Arial"/>
          <w:b/>
          <w:color w:val="1E3A6E"/>
          <w:sz w:val="24"/>
        </w:rPr>
        <w:t>2.7 Engineering Development Plan</w:t>
      </w:r>
    </w:p>
    <w:p>
      <w:pPr>
        <w:spacing w:after="80" w:line="276" w:lineRule="auto"/>
      </w:pPr>
      <w:r>
        <w:rPr>
          <w:rFonts w:ascii="Arial" w:hAnsi="Arial"/>
          <w:color w:val="1E293B"/>
          <w:sz w:val="19"/>
        </w:rPr>
        <w:t>To ensure structured execution and academic evaluation, the MetricMind AI project is organized across six sequential development phases. The table below presents the structured plan alongside the actual verified status in the current repository.</w:t>
      </w:r>
    </w:p>
    <w:p>
      <w:pPr>
        <w:spacing w:after="80" w:line="276" w:lineRule="auto"/>
      </w:pPr>
      <w:r>
        <w:rPr>
          <w:rFonts w:ascii="Arial" w:hAnsi="Arial"/>
          <w:b/>
          <w:color w:val="192A56"/>
        </w:rPr>
        <w:t xml:space="preserve">Development Lifecycle: </w:t>
      </w:r>
      <w:r>
        <w:rPr>
          <w:rFonts w:ascii="Arial" w:hAnsi="Arial"/>
          <w:color w:val="1E293B"/>
          <w:sz w:val="19"/>
        </w:rPr>
        <w:t>Table 2.2: Proposed Engineering Development Plan vs. Prototype State</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1152"/>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Phase</w:t>
            </w:r>
          </w:p>
        </w:tc>
        <w:tc>
          <w:tcPr>
            <w:tcW w:type="dxa" w:w="2448"/>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Strategic Focus</w:t>
            </w:r>
          </w:p>
        </w:tc>
        <w:tc>
          <w:tcPr>
            <w:tcW w:type="dxa" w:w="2880"/>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Expected Deliverable</w:t>
            </w:r>
          </w:p>
        </w:tc>
        <w:tc>
          <w:tcPr>
            <w:tcW w:type="dxa" w:w="3168"/>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Verified Implementation Status</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Phase 1</w:t>
            </w:r>
          </w:p>
        </w:tc>
        <w:tc>
          <w:tcPr>
            <w:tcW w:type="dxa" w:w="2448"/>
            <w:shd w:fill="FFFFFF"/>
            <w:tcMar>
              <w:top w:w="50" w:type="dxa"/>
              <w:bottom w:w="50" w:type="dxa"/>
              <w:left w:w="80" w:type="dxa"/>
              <w:right w:w="80" w:type="dxa"/>
            </w:tcMar>
            <w:vAlign w:val="center"/>
          </w:tcPr>
          <w:p>
            <w:pPr>
              <w:spacing w:before="0" w:after="0" w:line="252" w:lineRule="auto"/>
            </w:pPr>
            <w:r>
              <w:rPr>
                <w:rFonts w:ascii="Arial" w:hAnsi="Arial"/>
                <w:color w:val="1E293B"/>
                <w:sz w:val="14"/>
              </w:rPr>
              <w:t>Requirements &amp; Data Understanding</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Source data audit and requirements formalization</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Completed: 5,000-record CSV dataset analyzed; FR/NFRs established.</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Phase 2</w:t>
            </w:r>
          </w:p>
        </w:tc>
        <w:tc>
          <w:tcPr>
            <w:tcW w:type="dxa" w:w="2448"/>
            <w:shd w:fill="F8FAFC"/>
            <w:tcMar>
              <w:top w:w="50" w:type="dxa"/>
              <w:bottom w:w="50" w:type="dxa"/>
              <w:left w:w="80" w:type="dxa"/>
              <w:right w:w="80" w:type="dxa"/>
            </w:tcMar>
            <w:vAlign w:val="center"/>
          </w:tcPr>
          <w:p>
            <w:pPr>
              <w:spacing w:before="0" w:after="0" w:line="252" w:lineRule="auto"/>
            </w:pPr>
            <w:r>
              <w:rPr>
                <w:rFonts w:ascii="Arial" w:hAnsi="Arial"/>
                <w:color w:val="1E293B"/>
                <w:sz w:val="14"/>
              </w:rPr>
              <w:t>Database &amp; Data Transformation</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PostgreSQL schema setup and automated dbt models</w:t>
            </w:r>
          </w:p>
        </w:tc>
        <w:tc>
          <w:tcPr>
            <w:tcW w:type="dxa" w:w="3168"/>
            <w:shd w:fill="F8FAFC"/>
            <w:tcMar>
              <w:top w:w="50" w:type="dxa"/>
              <w:bottom w:w="50" w:type="dxa"/>
              <w:left w:w="80" w:type="dxa"/>
              <w:right w:w="80" w:type="dxa"/>
            </w:tcMar>
            <w:vAlign w:val="center"/>
          </w:tcPr>
          <w:p>
            <w:pPr>
              <w:spacing w:before="0" w:after="0" w:line="252" w:lineRule="auto"/>
            </w:pPr>
            <w:r>
              <w:rPr>
                <w:rFonts w:ascii="Arial" w:hAnsi="Arial"/>
                <w:color w:val="1E293B"/>
                <w:sz w:val="14"/>
              </w:rPr>
              <w:t>Completed: metricmind_dbt with stg_raw_sales and sales_summary marts.</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Phase 3</w:t>
            </w:r>
          </w:p>
        </w:tc>
        <w:tc>
          <w:tcPr>
            <w:tcW w:type="dxa" w:w="2448"/>
            <w:shd w:fill="FFFFFF"/>
            <w:tcMar>
              <w:top w:w="50" w:type="dxa"/>
              <w:bottom w:w="50" w:type="dxa"/>
              <w:left w:w="80" w:type="dxa"/>
              <w:right w:w="80" w:type="dxa"/>
            </w:tcMar>
            <w:vAlign w:val="center"/>
          </w:tcPr>
          <w:p>
            <w:pPr>
              <w:spacing w:before="0" w:after="0" w:line="252" w:lineRule="auto"/>
            </w:pPr>
            <w:r>
              <w:rPr>
                <w:rFonts w:ascii="Arial" w:hAnsi="Arial"/>
                <w:color w:val="1E293B"/>
                <w:sz w:val="14"/>
              </w:rPr>
              <w:t>Semantic Analytics Governance</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Cube.js code-first metric modeling and measures</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Completed: cube/model/Sales.js with 6 measures &amp; 6 dimensions.</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Phase 4</w:t>
            </w:r>
          </w:p>
        </w:tc>
        <w:tc>
          <w:tcPr>
            <w:tcW w:type="dxa" w:w="2448"/>
            <w:shd w:fill="F8FAFC"/>
            <w:tcMar>
              <w:top w:w="50" w:type="dxa"/>
              <w:bottom w:w="50" w:type="dxa"/>
              <w:left w:w="80" w:type="dxa"/>
              <w:right w:w="80" w:type="dxa"/>
            </w:tcMar>
            <w:vAlign w:val="center"/>
          </w:tcPr>
          <w:p>
            <w:pPr>
              <w:spacing w:before="0" w:after="0" w:line="252" w:lineRule="auto"/>
            </w:pPr>
            <w:r>
              <w:rPr>
                <w:rFonts w:ascii="Arial" w:hAnsi="Arial"/>
                <w:color w:val="1E293B"/>
                <w:sz w:val="14"/>
              </w:rPr>
              <w:t>AI Agent Engine Development</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Natural language parsing and reasoning engine</w:t>
            </w:r>
          </w:p>
        </w:tc>
        <w:tc>
          <w:tcPr>
            <w:tcW w:type="dxa" w:w="3168"/>
            <w:shd w:fill="F8FAFC"/>
            <w:tcMar>
              <w:top w:w="50" w:type="dxa"/>
              <w:bottom w:w="50" w:type="dxa"/>
              <w:left w:w="80" w:type="dxa"/>
              <w:right w:w="80" w:type="dxa"/>
            </w:tcMar>
            <w:vAlign w:val="center"/>
          </w:tcPr>
          <w:p>
            <w:pPr>
              <w:spacing w:before="0" w:after="0" w:line="252" w:lineRule="auto"/>
            </w:pPr>
            <w:r>
              <w:rPr>
                <w:rFonts w:ascii="Arial" w:hAnsi="Arial"/>
                <w:color w:val="1E293B"/>
                <w:sz w:val="14"/>
              </w:rPr>
              <w:t>Completed: ai_agentllm with Pydantic schemas, parser, &amp; reasoning.</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Phase 5</w:t>
            </w:r>
          </w:p>
        </w:tc>
        <w:tc>
          <w:tcPr>
            <w:tcW w:type="dxa" w:w="2448"/>
            <w:shd w:fill="FFFFFF"/>
            <w:tcMar>
              <w:top w:w="50" w:type="dxa"/>
              <w:bottom w:w="50" w:type="dxa"/>
              <w:left w:w="80" w:type="dxa"/>
              <w:right w:w="80" w:type="dxa"/>
            </w:tcMar>
            <w:vAlign w:val="center"/>
          </w:tcPr>
          <w:p>
            <w:pPr>
              <w:spacing w:before="0" w:after="0" w:line="252" w:lineRule="auto"/>
            </w:pPr>
            <w:r>
              <w:rPr>
                <w:rFonts w:ascii="Arial" w:hAnsi="Arial"/>
                <w:color w:val="1E293B"/>
                <w:sz w:val="14"/>
              </w:rPr>
              <w:t>Frontend &amp; Backend Integration</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Interactive dashboard, charts, and API gateway</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Partially Implemented: FastAPI active; frontend chat in 1s simulation.</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Phase 6</w:t>
            </w:r>
          </w:p>
        </w:tc>
        <w:tc>
          <w:tcPr>
            <w:tcW w:type="dxa" w:w="2448"/>
            <w:shd w:fill="F8FAFC"/>
            <w:tcMar>
              <w:top w:w="50" w:type="dxa"/>
              <w:bottom w:w="50" w:type="dxa"/>
              <w:left w:w="80" w:type="dxa"/>
              <w:right w:w="80" w:type="dxa"/>
            </w:tcMar>
            <w:vAlign w:val="center"/>
          </w:tcPr>
          <w:p>
            <w:pPr>
              <w:spacing w:before="0" w:after="0" w:line="252" w:lineRule="auto"/>
            </w:pPr>
            <w:r>
              <w:rPr>
                <w:rFonts w:ascii="Arial" w:hAnsi="Arial"/>
                <w:color w:val="1E293B"/>
                <w:sz w:val="14"/>
              </w:rPr>
              <w:t>Testing &amp; Documentation</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Multi-tier verification and comprehensive report</w:t>
            </w:r>
          </w:p>
        </w:tc>
        <w:tc>
          <w:tcPr>
            <w:tcW w:type="dxa" w:w="3168"/>
            <w:shd w:fill="F8FAFC"/>
            <w:tcMar>
              <w:top w:w="50" w:type="dxa"/>
              <w:bottom w:w="50" w:type="dxa"/>
              <w:left w:w="80" w:type="dxa"/>
              <w:right w:w="80" w:type="dxa"/>
            </w:tcMar>
            <w:vAlign w:val="center"/>
          </w:tcPr>
          <w:p>
            <w:pPr>
              <w:spacing w:before="0" w:after="0" w:line="252" w:lineRule="auto"/>
            </w:pPr>
            <w:r>
              <w:rPr>
                <w:rFonts w:ascii="Arial" w:hAnsi="Arial"/>
                <w:color w:val="1E293B"/>
                <w:sz w:val="14"/>
              </w:rPr>
              <w:t>Completed: 9 unit tests passed in 0.008s; dbt tests passed; full report.</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fill="EFF6FF"/>
            <w:tcMar>
              <w:top w:w="80" w:type="dxa"/>
              <w:bottom w:w="80" w:type="dxa"/>
              <w:left w:w="120" w:type="dxa"/>
              <w:right w:w="120" w:type="dxa"/>
            </w:tcMar>
            <w:tcBorders>
              <w:top w:val="none"/>
              <w:left w:val="single" w:sz="24" w:space="0" w:color="2563EB"/>
              <w:bottom w:val="none"/>
              <w:right w:val="none"/>
            </w:tcBorders>
          </w:tcPr>
          <w:p>
            <w:pPr>
              <w:spacing w:before="0" w:after="0" w:line="276" w:lineRule="auto"/>
            </w:pPr>
            <w:r>
              <w:rPr>
                <w:rFonts w:ascii="Arial" w:hAnsi="Arial"/>
                <w:b/>
                <w:color w:val="1D4ED8"/>
                <w:sz w:val="17"/>
              </w:rPr>
              <w:t xml:space="preserve">[LIFECYCLE STATUS] </w:t>
            </w:r>
            <w:r>
              <w:rPr>
                <w:rFonts w:ascii="Arial" w:hAnsi="Arial"/>
                <w:color w:val="1E293B"/>
                <w:sz w:val="17"/>
              </w:rPr>
              <w:t>Development Plan Distinction: Table 2.2 outlines the formal six-phase engineering lifecycle. The current repository represents a functional multi-tier prototype where data transformation, semantic modeling, API endpoints, and AI agent logic are implemented, while frontend chat interaction currently uses an interactive 1-second simulation awaiting live gateway wire-up.</w:t>
            </w:r>
          </w:p>
        </w:tc>
      </w:tr>
    </w:tbl>
    <w:p>
      <w:pPr>
        <w:spacing w:before="0" w:after="60"/>
      </w:pPr>
    </w:p>
    <w:p>
      <w:pPr>
        <w:keepNext/>
        <w:spacing w:before="360" w:after="140"/>
      </w:pPr>
      <w:r>
        <w:rPr>
          <w:rFonts w:ascii="Arial" w:hAnsi="Arial"/>
          <w:b/>
          <w:color w:val="192A56"/>
          <w:sz w:val="32"/>
        </w:rPr>
        <w:t>Chapter 3 — Technology Stack</w:t>
      </w:r>
    </w:p>
    <w:p>
      <w:pPr>
        <w:keepNext/>
        <w:spacing w:before="240" w:after="80"/>
      </w:pPr>
      <w:r>
        <w:rPr>
          <w:rFonts w:ascii="Arial" w:hAnsi="Arial"/>
          <w:b/>
          <w:color w:val="1E3A6E"/>
          <w:sz w:val="24"/>
        </w:rPr>
        <w:t>3.1 Tier-by-Tier Technology Inventory</w:t>
      </w:r>
    </w:p>
    <w:p>
      <w:pPr>
        <w:spacing w:after="80" w:line="276" w:lineRule="auto"/>
      </w:pPr>
      <w:r>
        <w:rPr>
          <w:rFonts w:ascii="Arial" w:hAnsi="Arial"/>
          <w:b/>
          <w:color w:val="192A56"/>
        </w:rPr>
        <w:t xml:space="preserve">Technology Inventory: </w:t>
      </w:r>
      <w:r>
        <w:rPr>
          <w:rFonts w:ascii="Arial" w:hAnsi="Arial"/>
          <w:color w:val="1E293B"/>
          <w:sz w:val="19"/>
        </w:rPr>
        <w:t>Table 3.1: Complete Technology Stack, Verified Versions, and Architectural Roles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1584"/>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Operational Tier</w:t>
            </w:r>
          </w:p>
        </w:tc>
        <w:tc>
          <w:tcPr>
            <w:tcW w:type="dxa" w:w="201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Framework / Technology</w:t>
            </w:r>
          </w:p>
        </w:tc>
        <w:tc>
          <w:tcPr>
            <w:tcW w:type="dxa" w:w="1440"/>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Verified Version</w:t>
            </w:r>
          </w:p>
        </w:tc>
        <w:tc>
          <w:tcPr>
            <w:tcW w:type="dxa" w:w="4608"/>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Architectural Responsibility in Platform</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Presentation</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Next.js</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16.3.8</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Full-stack React framework with Turbopack and App Router</w:t>
            </w:r>
          </w:p>
        </w:tc>
      </w:tr>
      <w:tr>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Presentation</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React</w:t>
            </w:r>
          </w:p>
        </w:tc>
        <w:tc>
          <w:tcPr>
            <w:tcW w:type="dxa" w:w="1440"/>
            <w:shd w:fill="F8FAFC"/>
            <w:tcMar>
              <w:top w:w="50" w:type="dxa"/>
              <w:bottom w:w="50" w:type="dxa"/>
              <w:left w:w="80" w:type="dxa"/>
              <w:right w:w="80" w:type="dxa"/>
            </w:tcMar>
            <w:vAlign w:val="center"/>
          </w:tcPr>
          <w:p>
            <w:pPr>
              <w:spacing w:before="0" w:after="0" w:line="252" w:lineRule="auto"/>
            </w:pPr>
            <w:r>
              <w:rPr>
                <w:rFonts w:ascii="Arial" w:hAnsi="Arial"/>
                <w:color w:val="1E293B"/>
                <w:sz w:val="14"/>
              </w:rPr>
              <w:t>19.2.8</w:t>
            </w:r>
          </w:p>
        </w:tc>
        <w:tc>
          <w:tcPr>
            <w:tcW w:type="dxa" w:w="4608"/>
            <w:shd w:fill="F8FAFC"/>
            <w:tcMar>
              <w:top w:w="50" w:type="dxa"/>
              <w:bottom w:w="50" w:type="dxa"/>
              <w:left w:w="80" w:type="dxa"/>
              <w:right w:w="80" w:type="dxa"/>
            </w:tcMar>
            <w:vAlign w:val="center"/>
          </w:tcPr>
          <w:p>
            <w:pPr>
              <w:spacing w:before="0" w:after="0" w:line="252" w:lineRule="auto"/>
            </w:pPr>
            <w:r>
              <w:rPr>
                <w:rFonts w:ascii="Arial" w:hAnsi="Arial"/>
                <w:color w:val="1E293B"/>
                <w:sz w:val="14"/>
              </w:rPr>
              <w:t>Component-driven user interface library with Client Components</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Presentation</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TypeScript</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5.0+</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Static typing ensuring interface reliability and type contracts</w:t>
            </w:r>
          </w:p>
        </w:tc>
      </w:tr>
      <w:tr>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Presentation</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Tailwind CSS</w:t>
            </w:r>
          </w:p>
        </w:tc>
        <w:tc>
          <w:tcPr>
            <w:tcW w:type="dxa" w:w="1440"/>
            <w:shd w:fill="F8FAFC"/>
            <w:tcMar>
              <w:top w:w="50" w:type="dxa"/>
              <w:bottom w:w="50" w:type="dxa"/>
              <w:left w:w="80" w:type="dxa"/>
              <w:right w:w="80" w:type="dxa"/>
            </w:tcMar>
            <w:vAlign w:val="center"/>
          </w:tcPr>
          <w:p>
            <w:pPr>
              <w:spacing w:before="0" w:after="0" w:line="252" w:lineRule="auto"/>
            </w:pPr>
            <w:r>
              <w:rPr>
                <w:rFonts w:ascii="Arial" w:hAnsi="Arial"/>
                <w:color w:val="1E293B"/>
                <w:sz w:val="14"/>
              </w:rPr>
              <w:t>4.0</w:t>
            </w:r>
          </w:p>
        </w:tc>
        <w:tc>
          <w:tcPr>
            <w:tcW w:type="dxa" w:w="4608"/>
            <w:shd w:fill="F8FAFC"/>
            <w:tcMar>
              <w:top w:w="50" w:type="dxa"/>
              <w:bottom w:w="50" w:type="dxa"/>
              <w:left w:w="80" w:type="dxa"/>
              <w:right w:w="80" w:type="dxa"/>
            </w:tcMar>
            <w:vAlign w:val="center"/>
          </w:tcPr>
          <w:p>
            <w:pPr>
              <w:spacing w:before="0" w:after="0" w:line="252" w:lineRule="auto"/>
            </w:pPr>
            <w:r>
              <w:rPr>
                <w:rFonts w:ascii="Arial" w:hAnsi="Arial"/>
                <w:color w:val="1E293B"/>
                <w:sz w:val="14"/>
              </w:rPr>
              <w:t>Utility-first CSS engine with @tailwindcss/postcss pipeline</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Presentation</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Apache ECharts</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6.1.0</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Interactive data visualizer via echarts-for-react 3.0.6 wrapper</w:t>
            </w:r>
          </w:p>
        </w:tc>
      </w:tr>
      <w:tr>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Presentation</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Lucide React</w:t>
            </w:r>
          </w:p>
        </w:tc>
        <w:tc>
          <w:tcPr>
            <w:tcW w:type="dxa" w:w="1440"/>
            <w:shd w:fill="F8FAFC"/>
            <w:tcMar>
              <w:top w:w="50" w:type="dxa"/>
              <w:bottom w:w="50" w:type="dxa"/>
              <w:left w:w="80" w:type="dxa"/>
              <w:right w:w="80" w:type="dxa"/>
            </w:tcMar>
            <w:vAlign w:val="center"/>
          </w:tcPr>
          <w:p>
            <w:pPr>
              <w:spacing w:before="0" w:after="0" w:line="252" w:lineRule="auto"/>
            </w:pPr>
            <w:r>
              <w:rPr>
                <w:rFonts w:ascii="Arial" w:hAnsi="Arial"/>
                <w:color w:val="1E293B"/>
                <w:sz w:val="14"/>
              </w:rPr>
              <w:t>1.51.0</w:t>
            </w:r>
          </w:p>
        </w:tc>
        <w:tc>
          <w:tcPr>
            <w:tcW w:type="dxa" w:w="4608"/>
            <w:shd w:fill="F8FAFC"/>
            <w:tcMar>
              <w:top w:w="50" w:type="dxa"/>
              <w:bottom w:w="50" w:type="dxa"/>
              <w:left w:w="80" w:type="dxa"/>
              <w:right w:w="80" w:type="dxa"/>
            </w:tcMar>
            <w:vAlign w:val="center"/>
          </w:tcPr>
          <w:p>
            <w:pPr>
              <w:spacing w:before="0" w:after="0" w:line="252" w:lineRule="auto"/>
            </w:pPr>
            <w:r>
              <w:rPr>
                <w:rFonts w:ascii="Arial" w:hAnsi="Arial"/>
                <w:color w:val="1E293B"/>
                <w:sz w:val="14"/>
              </w:rPr>
              <w:t>Iconography system for conversational and drawer navigation</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Analytics / API</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FastAPI</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0.143.0</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High-performance Python ASGI REST API gateway</w:t>
            </w:r>
          </w:p>
        </w:tc>
      </w:tr>
      <w:tr>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Analytics / API</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Uvicorn</w:t>
            </w:r>
          </w:p>
        </w:tc>
        <w:tc>
          <w:tcPr>
            <w:tcW w:type="dxa" w:w="1440"/>
            <w:shd w:fill="F8FAFC"/>
            <w:tcMar>
              <w:top w:w="50" w:type="dxa"/>
              <w:bottom w:w="50" w:type="dxa"/>
              <w:left w:w="80" w:type="dxa"/>
              <w:right w:w="80" w:type="dxa"/>
            </w:tcMar>
            <w:vAlign w:val="center"/>
          </w:tcPr>
          <w:p>
            <w:pPr>
              <w:spacing w:before="0" w:after="0" w:line="252" w:lineRule="auto"/>
            </w:pPr>
            <w:r>
              <w:rPr>
                <w:rFonts w:ascii="Arial" w:hAnsi="Arial"/>
                <w:color w:val="1E293B"/>
                <w:sz w:val="14"/>
              </w:rPr>
              <w:t>0.54.0</w:t>
            </w:r>
          </w:p>
        </w:tc>
        <w:tc>
          <w:tcPr>
            <w:tcW w:type="dxa" w:w="4608"/>
            <w:shd w:fill="F8FAFC"/>
            <w:tcMar>
              <w:top w:w="50" w:type="dxa"/>
              <w:bottom w:w="50" w:type="dxa"/>
              <w:left w:w="80" w:type="dxa"/>
              <w:right w:w="80" w:type="dxa"/>
            </w:tcMar>
            <w:vAlign w:val="center"/>
          </w:tcPr>
          <w:p>
            <w:pPr>
              <w:spacing w:before="0" w:after="0" w:line="252" w:lineRule="auto"/>
            </w:pPr>
            <w:r>
              <w:rPr>
                <w:rFonts w:ascii="Arial" w:hAnsi="Arial"/>
                <w:color w:val="1E293B"/>
                <w:sz w:val="14"/>
              </w:rPr>
              <w:t>Lightning-fast ASGI server for asynchronous request handling</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Analytics / API</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Python</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3.10.11</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Primary backend runtime environment for agent and API</w:t>
            </w:r>
          </w:p>
        </w:tc>
      </w:tr>
      <w:tr>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Analytics / API</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pandas</w:t>
            </w:r>
          </w:p>
        </w:tc>
        <w:tc>
          <w:tcPr>
            <w:tcW w:type="dxa" w:w="1440"/>
            <w:shd w:fill="F8FAFC"/>
            <w:tcMar>
              <w:top w:w="50" w:type="dxa"/>
              <w:bottom w:w="50" w:type="dxa"/>
              <w:left w:w="80" w:type="dxa"/>
              <w:right w:w="80" w:type="dxa"/>
            </w:tcMar>
            <w:vAlign w:val="center"/>
          </w:tcPr>
          <w:p>
            <w:pPr>
              <w:spacing w:before="0" w:after="0" w:line="252" w:lineRule="auto"/>
            </w:pPr>
            <w:r>
              <w:rPr>
                <w:rFonts w:ascii="Arial" w:hAnsi="Arial"/>
                <w:color w:val="1E293B"/>
                <w:sz w:val="14"/>
              </w:rPr>
              <w:t>2.3.3</w:t>
            </w:r>
          </w:p>
        </w:tc>
        <w:tc>
          <w:tcPr>
            <w:tcW w:type="dxa" w:w="4608"/>
            <w:shd w:fill="F8FAFC"/>
            <w:tcMar>
              <w:top w:w="50" w:type="dxa"/>
              <w:bottom w:w="50" w:type="dxa"/>
              <w:left w:w="80" w:type="dxa"/>
              <w:right w:w="80" w:type="dxa"/>
            </w:tcMar>
            <w:vAlign w:val="center"/>
          </w:tcPr>
          <w:p>
            <w:pPr>
              <w:spacing w:before="0" w:after="0" w:line="252" w:lineRule="auto"/>
            </w:pPr>
            <w:r>
              <w:rPr>
                <w:rFonts w:ascii="Arial" w:hAnsi="Arial"/>
                <w:color w:val="1E293B"/>
                <w:sz w:val="14"/>
              </w:rPr>
              <w:t>Vectorized in-memory dataset slicing and aggregations</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Analytics / API</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NumPy</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2.2.6</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Numerical array manipulations and mathematical operations</w:t>
            </w:r>
          </w:p>
        </w:tc>
      </w:tr>
      <w:tr>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Analytics / API</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Pydantic</w:t>
            </w:r>
          </w:p>
        </w:tc>
        <w:tc>
          <w:tcPr>
            <w:tcW w:type="dxa" w:w="1440"/>
            <w:shd w:fill="F8FAFC"/>
            <w:tcMar>
              <w:top w:w="50" w:type="dxa"/>
              <w:bottom w:w="50" w:type="dxa"/>
              <w:left w:w="80" w:type="dxa"/>
              <w:right w:w="80" w:type="dxa"/>
            </w:tcMar>
            <w:vAlign w:val="center"/>
          </w:tcPr>
          <w:p>
            <w:pPr>
              <w:spacing w:before="0" w:after="0" w:line="252" w:lineRule="auto"/>
            </w:pPr>
            <w:r>
              <w:rPr>
                <w:rFonts w:ascii="Arial" w:hAnsi="Arial"/>
                <w:color w:val="1E293B"/>
                <w:sz w:val="14"/>
              </w:rPr>
              <w:t>2.14.1</w:t>
            </w:r>
          </w:p>
        </w:tc>
        <w:tc>
          <w:tcPr>
            <w:tcW w:type="dxa" w:w="4608"/>
            <w:shd w:fill="F8FAFC"/>
            <w:tcMar>
              <w:top w:w="50" w:type="dxa"/>
              <w:bottom w:w="50" w:type="dxa"/>
              <w:left w:w="80" w:type="dxa"/>
              <w:right w:w="80" w:type="dxa"/>
            </w:tcMar>
            <w:vAlign w:val="center"/>
          </w:tcPr>
          <w:p>
            <w:pPr>
              <w:spacing w:before="0" w:after="0" w:line="252" w:lineRule="auto"/>
            </w:pPr>
            <w:r>
              <w:rPr>
                <w:rFonts w:ascii="Arial" w:hAnsi="Arial"/>
                <w:color w:val="1E293B"/>
                <w:sz w:val="14"/>
              </w:rPr>
              <w:t>Data validation and structured query schema enforcement</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Analytics / API</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psycopg2-binary</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2.9.13</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PostgreSQL database adapter for relational SQL queries</w:t>
            </w:r>
          </w:p>
        </w:tc>
      </w:tr>
      <w:tr>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Transformation</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dbt-core</w:t>
            </w:r>
          </w:p>
        </w:tc>
        <w:tc>
          <w:tcPr>
            <w:tcW w:type="dxa" w:w="1440"/>
            <w:shd w:fill="F8FAFC"/>
            <w:tcMar>
              <w:top w:w="50" w:type="dxa"/>
              <w:bottom w:w="50" w:type="dxa"/>
              <w:left w:w="80" w:type="dxa"/>
              <w:right w:w="80" w:type="dxa"/>
            </w:tcMar>
            <w:vAlign w:val="center"/>
          </w:tcPr>
          <w:p>
            <w:pPr>
              <w:spacing w:before="0" w:after="0" w:line="252" w:lineRule="auto"/>
            </w:pPr>
            <w:r>
              <w:rPr>
                <w:rFonts w:ascii="Arial" w:hAnsi="Arial"/>
                <w:color w:val="1E293B"/>
                <w:sz w:val="14"/>
              </w:rPr>
              <w:t>1.10.13</w:t>
            </w:r>
          </w:p>
        </w:tc>
        <w:tc>
          <w:tcPr>
            <w:tcW w:type="dxa" w:w="4608"/>
            <w:shd w:fill="F8FAFC"/>
            <w:tcMar>
              <w:top w:w="50" w:type="dxa"/>
              <w:bottom w:w="50" w:type="dxa"/>
              <w:left w:w="80" w:type="dxa"/>
              <w:right w:w="80" w:type="dxa"/>
            </w:tcMar>
            <w:vAlign w:val="center"/>
          </w:tcPr>
          <w:p>
            <w:pPr>
              <w:spacing w:before="0" w:after="0" w:line="252" w:lineRule="auto"/>
            </w:pPr>
            <w:r>
              <w:rPr>
                <w:rFonts w:ascii="Arial" w:hAnsi="Arial"/>
                <w:color w:val="1E293B"/>
                <w:sz w:val="14"/>
              </w:rPr>
              <w:t>SQL transformation compilation and model lifecycle tool</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Transformation</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dbt-postgres</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1.9.0</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dbt database adapter plugin targeting PostgreSQL</w:t>
            </w:r>
          </w:p>
        </w:tc>
      </w:tr>
      <w:tr>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Semantic Layer</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Cube.js</w:t>
            </w:r>
          </w:p>
        </w:tc>
        <w:tc>
          <w:tcPr>
            <w:tcW w:type="dxa" w:w="1440"/>
            <w:shd w:fill="F8FAFC"/>
            <w:tcMar>
              <w:top w:w="50" w:type="dxa"/>
              <w:bottom w:w="50" w:type="dxa"/>
              <w:left w:w="80" w:type="dxa"/>
              <w:right w:w="80" w:type="dxa"/>
            </w:tcMar>
            <w:vAlign w:val="center"/>
          </w:tcPr>
          <w:p>
            <w:pPr>
              <w:spacing w:before="0" w:after="0" w:line="252" w:lineRule="auto"/>
            </w:pPr>
            <w:r>
              <w:rPr>
                <w:rFonts w:ascii="Arial" w:hAnsi="Arial"/>
                <w:color w:val="1E293B"/>
                <w:sz w:val="14"/>
              </w:rPr>
              <w:t>0.35+</w:t>
            </w:r>
          </w:p>
        </w:tc>
        <w:tc>
          <w:tcPr>
            <w:tcW w:type="dxa" w:w="4608"/>
            <w:shd w:fill="F8FAFC"/>
            <w:tcMar>
              <w:top w:w="50" w:type="dxa"/>
              <w:bottom w:w="50" w:type="dxa"/>
              <w:left w:w="80" w:type="dxa"/>
              <w:right w:w="80" w:type="dxa"/>
            </w:tcMar>
            <w:vAlign w:val="center"/>
          </w:tcPr>
          <w:p>
            <w:pPr>
              <w:spacing w:before="0" w:after="0" w:line="252" w:lineRule="auto"/>
            </w:pPr>
            <w:r>
              <w:rPr>
                <w:rFonts w:ascii="Arial" w:hAnsi="Arial"/>
                <w:color w:val="1E293B"/>
                <w:sz w:val="14"/>
              </w:rPr>
              <w:t>Headless semantic metric engine compiling abstract SQL</w:t>
            </w:r>
          </w:p>
        </w:tc>
      </w:tr>
      <w:tr>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Database</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PostgreSQL</w:t>
            </w:r>
          </w:p>
        </w:tc>
        <w:tc>
          <w:tcPr>
            <w:tcW w:type="dxa" w:w="1440"/>
            <w:shd w:fill="FFFFFF"/>
            <w:tcMar>
              <w:top w:w="50" w:type="dxa"/>
              <w:bottom w:w="50" w:type="dxa"/>
              <w:left w:w="80" w:type="dxa"/>
              <w:right w:w="80" w:type="dxa"/>
            </w:tcMar>
            <w:vAlign w:val="center"/>
          </w:tcPr>
          <w:p>
            <w:pPr>
              <w:spacing w:before="0" w:after="0" w:line="252" w:lineRule="auto"/>
            </w:pPr>
            <w:r>
              <w:rPr>
                <w:rFonts w:ascii="Arial" w:hAnsi="Arial"/>
                <w:color w:val="1E293B"/>
                <w:sz w:val="14"/>
              </w:rPr>
              <w:t>14+</w:t>
            </w:r>
          </w:p>
        </w:tc>
        <w:tc>
          <w:tcPr>
            <w:tcW w:type="dxa" w:w="4608"/>
            <w:shd w:fill="FFFFFF"/>
            <w:tcMar>
              <w:top w:w="50" w:type="dxa"/>
              <w:bottom w:w="50" w:type="dxa"/>
              <w:left w:w="80" w:type="dxa"/>
              <w:right w:w="80" w:type="dxa"/>
            </w:tcMar>
            <w:vAlign w:val="center"/>
          </w:tcPr>
          <w:p>
            <w:pPr>
              <w:spacing w:before="0" w:after="0" w:line="252" w:lineRule="auto"/>
            </w:pPr>
            <w:r>
              <w:rPr>
                <w:rFonts w:ascii="Arial" w:hAnsi="Arial"/>
                <w:color w:val="1E293B"/>
                <w:sz w:val="14"/>
              </w:rPr>
              <w:t>ACID relational store hosting raw tables and dbt marts</w:t>
            </w:r>
          </w:p>
        </w:tc>
      </w:tr>
    </w:tbl>
    <w:p>
      <w:pPr>
        <w:spacing w:before="0" w:after="80"/>
      </w:pPr>
    </w:p>
    <w:p>
      <w:pPr>
        <w:keepNext/>
        <w:spacing w:before="240" w:after="80"/>
      </w:pPr>
      <w:r>
        <w:rPr>
          <w:rFonts w:ascii="Arial" w:hAnsi="Arial"/>
          <w:b/>
          <w:color w:val="1E3A6E"/>
          <w:sz w:val="24"/>
        </w:rPr>
        <w:t>3.2 Framework Evaluation and Architectural Rationales</w:t>
      </w:r>
    </w:p>
    <w:p>
      <w:pPr>
        <w:pStyle w:val="ListBullet"/>
        <w:spacing w:after="50" w:line="276" w:lineRule="auto"/>
      </w:pPr>
      <w:r>
        <w:rPr>
          <w:rFonts w:ascii="Arial" w:hAnsi="Arial"/>
          <w:b/>
          <w:color w:val="192A56"/>
        </w:rPr>
        <w:t>FastAPI Gateway:</w:t>
      </w:r>
      <w:r>
        <w:rPr>
          <w:rFonts w:ascii="Arial" w:hAnsi="Arial"/>
          <w:color w:val="1E293B"/>
          <w:sz w:val="19"/>
        </w:rPr>
        <w:t xml:space="preserve"> Chosen for asynchronous performance, automated OpenAPI generation, and Pydantic validation.</w:t>
      </w:r>
    </w:p>
    <w:p>
      <w:pPr>
        <w:pStyle w:val="ListBullet"/>
        <w:spacing w:after="50" w:line="276" w:lineRule="auto"/>
      </w:pPr>
      <w:r>
        <w:rPr>
          <w:rFonts w:ascii="Arial" w:hAnsi="Arial"/>
          <w:b/>
          <w:color w:val="192A56"/>
        </w:rPr>
        <w:t>Cube.js Semantic Layer:</w:t>
      </w:r>
      <w:r>
        <w:rPr>
          <w:rFonts w:ascii="Arial" w:hAnsi="Arial"/>
          <w:color w:val="1E293B"/>
          <w:sz w:val="19"/>
        </w:rPr>
        <w:t xml:space="preserve"> Eliminates raw SQL generation from AI prompts; centralizes business formulas into code.</w:t>
      </w:r>
    </w:p>
    <w:p>
      <w:pPr>
        <w:pStyle w:val="ListBullet"/>
        <w:spacing w:after="50" w:line="276" w:lineRule="auto"/>
      </w:pPr>
      <w:r>
        <w:rPr>
          <w:rFonts w:ascii="Arial" w:hAnsi="Arial"/>
          <w:b/>
          <w:color w:val="192A56"/>
        </w:rPr>
        <w:t>dbt Transformation Pipeline:</w:t>
      </w:r>
      <w:r>
        <w:rPr>
          <w:rFonts w:ascii="Arial" w:hAnsi="Arial"/>
          <w:color w:val="1E293B"/>
          <w:sz w:val="19"/>
        </w:rPr>
        <w:t xml:space="preserve"> Introduces software engineering rigor (testing, version control, lineage) to SQL modeling.</w:t>
      </w:r>
    </w:p>
    <w:p>
      <w:pPr>
        <w:pStyle w:val="ListBullet"/>
        <w:spacing w:after="50" w:line="276" w:lineRule="auto"/>
      </w:pPr>
      <w:r>
        <w:rPr>
          <w:rFonts w:ascii="Arial" w:hAnsi="Arial"/>
          <w:b/>
          <w:color w:val="192A56"/>
        </w:rPr>
        <w:t>Next.js 16 + React 19:</w:t>
      </w:r>
      <w:r>
        <w:rPr>
          <w:rFonts w:ascii="Arial" w:hAnsi="Arial"/>
          <w:color w:val="1E293B"/>
          <w:sz w:val="19"/>
        </w:rPr>
        <w:t xml:space="preserve"> Delivers modern web performance with Turbopack compilation and fast client-side rendering.</w:t>
      </w:r>
    </w:p>
    <w:p>
      <w:pPr>
        <w:keepNext/>
        <w:spacing w:before="360" w:after="140"/>
      </w:pPr>
      <w:r>
        <w:rPr>
          <w:rFonts w:ascii="Arial" w:hAnsi="Arial"/>
          <w:b/>
          <w:color w:val="192A56"/>
          <w:sz w:val="32"/>
        </w:rPr>
        <w:t>Chapter 4 — System Architecture</w:t>
      </w:r>
    </w:p>
    <w:p>
      <w:pPr>
        <w:keepNext/>
        <w:spacing w:before="240" w:after="80"/>
      </w:pPr>
      <w:r>
        <w:rPr>
          <w:rFonts w:ascii="Arial" w:hAnsi="Arial"/>
          <w:b/>
          <w:color w:val="1E3A6E"/>
          <w:sz w:val="24"/>
        </w:rPr>
        <w:t>4.1 Component Roles and Responsibilities</w:t>
      </w:r>
    </w:p>
    <w:p>
      <w:pPr>
        <w:keepNext/>
        <w:spacing w:before="120" w:after="60"/>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852160" cy="3901440"/>
                    </a:xfrm>
                    <a:prstGeom prst="rect"/>
                  </pic:spPr>
                </pic:pic>
              </a:graphicData>
            </a:graphic>
          </wp:inline>
        </w:drawing>
      </w:r>
    </w:p>
    <w:p>
      <w:pPr>
        <w:spacing w:before="0" w:after="160"/>
        <w:jc w:val="center"/>
      </w:pPr>
      <w:r>
        <w:rPr>
          <w:rFonts w:ascii="Arial" w:hAnsi="Arial"/>
          <w:b/>
          <w:i/>
          <w:color w:val="475569"/>
          <w:sz w:val="16"/>
        </w:rPr>
        <w:t>Figure 4.1: MetricMind AI Multi-Tier System Architecture</w:t>
      </w:r>
    </w:p>
    <w:p>
      <w:pPr>
        <w:spacing w:after="80" w:line="276" w:lineRule="auto"/>
      </w:pPr>
      <w:r>
        <w:rPr>
          <w:rFonts w:ascii="Arial" w:hAnsi="Arial"/>
          <w:color w:val="1E293B"/>
          <w:sz w:val="19"/>
        </w:rPr>
        <w:t>The architecture is partitioned into four decoupled tiers: (1) Presentation Tier (Next.js 16, React 19, ECharts); (2) Analytical Gateway &amp; AI Agent Tier (FastAPI, Pydantic, regex parser, calendar tools, variance engine); (3) Headless Semantic Tier (Cube.js server, Sales.js model, Cube Store); and (4) Data Transformation &amp; Storage Tier (PostgreSQL database, dbt models stg_raw_sales and sales_summary).</w:t>
      </w:r>
    </w:p>
    <w:p>
      <w:pPr>
        <w:keepNext/>
        <w:spacing w:before="240" w:after="80"/>
      </w:pPr>
      <w:r>
        <w:rPr>
          <w:rFonts w:ascii="Arial" w:hAnsi="Arial"/>
          <w:b/>
          <w:color w:val="1E3A6E"/>
          <w:sz w:val="24"/>
        </w:rPr>
        <w:t>4.2 System Architecture Diagram</w:t>
      </w:r>
    </w:p>
    <w:p>
      <w:pPr>
        <w:spacing w:after="80" w:line="276" w:lineRule="auto"/>
      </w:pPr>
      <w:r>
        <w:rPr>
          <w:rFonts w:ascii="Arial" w:hAnsi="Arial"/>
          <w:color w:val="1E293B"/>
          <w:sz w:val="19"/>
        </w:rPr>
        <w:t>As illustrated in Figure 4.1, client requests flow through the Next.js conversational UI to the AI Agent parser, which translates queries into SemanticQuery contracts. These contracts are evaluated against Cube.js, which queries PostgreSQL views generated by dbt.</w:t>
      </w:r>
    </w:p>
    <w:p>
      <w:pPr>
        <w:keepNext/>
        <w:spacing w:before="240" w:after="80"/>
      </w:pPr>
      <w:r>
        <w:rPr>
          <w:rFonts w:ascii="Arial" w:hAnsi="Arial"/>
          <w:b/>
          <w:color w:val="1E3A6E"/>
          <w:sz w:val="24"/>
        </w:rPr>
        <w:t>4.3 Component Interactions and Communication Protocols</w:t>
      </w:r>
    </w:p>
    <w:p>
      <w:pPr>
        <w:pStyle w:val="ListBullet"/>
        <w:spacing w:after="50" w:line="276" w:lineRule="auto"/>
      </w:pPr>
      <w:r>
        <w:rPr>
          <w:rFonts w:ascii="Arial" w:hAnsi="Arial"/>
          <w:b/>
          <w:color w:val="192A56"/>
        </w:rPr>
        <w:t>Client-to-Service REST:</w:t>
      </w:r>
      <w:r>
        <w:rPr>
          <w:rFonts w:ascii="Arial" w:hAnsi="Arial"/>
          <w:color w:val="1E293B"/>
          <w:sz w:val="19"/>
        </w:rPr>
        <w:t xml:space="preserve"> Standard JSON REST protocol over HTTP on ports 3000, 8000, and 4000.</w:t>
      </w:r>
    </w:p>
    <w:p>
      <w:pPr>
        <w:pStyle w:val="ListBullet"/>
        <w:spacing w:after="50" w:line="276" w:lineRule="auto"/>
      </w:pPr>
      <w:r>
        <w:rPr>
          <w:rFonts w:ascii="Arial" w:hAnsi="Arial"/>
          <w:b/>
          <w:color w:val="192A56"/>
        </w:rPr>
        <w:t>Service-to-Database:</w:t>
      </w:r>
      <w:r>
        <w:rPr>
          <w:rFonts w:ascii="Arial" w:hAnsi="Arial"/>
          <w:color w:val="1E293B"/>
          <w:sz w:val="19"/>
        </w:rPr>
        <w:t xml:space="preserve"> Native PostgreSQL protocol via psycopg2 and @cubejs-backend/postgres-driver on port 5432.</w:t>
      </w:r>
    </w:p>
    <w:p>
      <w:pPr>
        <w:keepNext/>
        <w:spacing w:before="240" w:after="80"/>
      </w:pPr>
      <w:r>
        <w:rPr>
          <w:rFonts w:ascii="Arial" w:hAnsi="Arial"/>
          <w:b/>
          <w:color w:val="1E3A6E"/>
          <w:sz w:val="24"/>
        </w:rPr>
        <w:t>4.4 Configuration and Environment Isolation</w:t>
      </w:r>
    </w:p>
    <w:p>
      <w:pPr>
        <w:spacing w:after="80" w:line="276" w:lineRule="auto"/>
      </w:pPr>
      <w:r>
        <w:rPr>
          <w:rFonts w:ascii="Arial" w:hAnsi="Arial"/>
          <w:color w:val="1E293B"/>
          <w:sz w:val="19"/>
        </w:rPr>
        <w:t>Each service manages its configuration through isolated .env files (e.g., .env.example, cube/.env.example) with credentials excluded from version control via .gitignore.</w:t>
      </w:r>
    </w:p>
    <w:p>
      <w:pPr>
        <w:keepNext/>
        <w:spacing w:before="360" w:after="140"/>
      </w:pPr>
      <w:r>
        <w:rPr>
          <w:rFonts w:ascii="Arial" w:hAnsi="Arial"/>
          <w:b/>
          <w:color w:val="192A56"/>
          <w:sz w:val="32"/>
        </w:rPr>
        <w:t>Chapter 5 — Database Design</w:t>
      </w:r>
    </w:p>
    <w:p>
      <w:pPr>
        <w:keepNext/>
        <w:spacing w:before="240" w:after="80"/>
      </w:pPr>
      <w:r>
        <w:rPr>
          <w:rFonts w:ascii="Arial" w:hAnsi="Arial"/>
          <w:b/>
          <w:color w:val="1E3A6E"/>
          <w:sz w:val="24"/>
        </w:rPr>
        <w:t>5.1 Verified Tables, Views, and Relational Objects</w:t>
      </w:r>
    </w:p>
    <w:p>
      <w:pPr>
        <w:keepNext/>
        <w:spacing w:before="120" w:after="60"/>
        <w:jc w:val="center"/>
      </w:pPr>
      <w:r>
        <w:drawing>
          <wp:inline xmlns:a="http://schemas.openxmlformats.org/drawingml/2006/main" xmlns:pic="http://schemas.openxmlformats.org/drawingml/2006/picture">
            <wp:extent cx="5852160" cy="3724102"/>
            <wp:docPr id="2" name="Picture 2"/>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5852160" cy="3724102"/>
                    </a:xfrm>
                    <a:prstGeom prst="rect"/>
                  </pic:spPr>
                </pic:pic>
              </a:graphicData>
            </a:graphic>
          </wp:inline>
        </w:drawing>
      </w:r>
    </w:p>
    <w:p>
      <w:pPr>
        <w:spacing w:before="0" w:after="160"/>
        <w:jc w:val="center"/>
      </w:pPr>
      <w:r>
        <w:rPr>
          <w:rFonts w:ascii="Arial" w:hAnsi="Arial"/>
          <w:b/>
          <w:i/>
          <w:color w:val="475569"/>
          <w:sz w:val="16"/>
        </w:rPr>
        <w:t>Figure 5.1: Data Flow Diagram (DFD Level 1 Decomposition)</w:t>
      </w:r>
    </w:p>
    <w:p>
      <w:pPr>
        <w:keepNext/>
        <w:spacing w:before="120" w:after="60"/>
        <w:jc w:val="center"/>
      </w:pPr>
      <w:r>
        <w:drawing>
          <wp:inline xmlns:a="http://schemas.openxmlformats.org/drawingml/2006/main" xmlns:pic="http://schemas.openxmlformats.org/drawingml/2006/picture">
            <wp:extent cx="5852160" cy="3192087"/>
            <wp:docPr id="3" name="Picture 3"/>
            <wp:cNvGraphicFramePr>
              <a:graphicFrameLocks noChangeAspect="1"/>
            </wp:cNvGraphicFramePr>
            <a:graphic>
              <a:graphicData uri="http://schemas.openxmlformats.org/drawingml/2006/picture">
                <pic:pic>
                  <pic:nvPicPr>
                    <pic:cNvPr id="0" name="database_er.png"/>
                    <pic:cNvPicPr/>
                  </pic:nvPicPr>
                  <pic:blipFill>
                    <a:blip r:embed="rId13"/>
                    <a:stretch>
                      <a:fillRect/>
                    </a:stretch>
                  </pic:blipFill>
                  <pic:spPr>
                    <a:xfrm>
                      <a:off x="0" y="0"/>
                      <a:ext cx="5852160" cy="3192087"/>
                    </a:xfrm>
                    <a:prstGeom prst="rect"/>
                  </pic:spPr>
                </pic:pic>
              </a:graphicData>
            </a:graphic>
          </wp:inline>
        </w:drawing>
      </w:r>
    </w:p>
    <w:p>
      <w:pPr>
        <w:spacing w:before="0" w:after="160"/>
        <w:jc w:val="center"/>
      </w:pPr>
      <w:r>
        <w:rPr>
          <w:rFonts w:ascii="Arial" w:hAnsi="Arial"/>
          <w:b/>
          <w:i/>
          <w:color w:val="475569"/>
          <w:sz w:val="16"/>
        </w:rPr>
        <w:t>Figure 5.2: Database Entity-Relationship (ER) Model</w:t>
      </w:r>
    </w:p>
    <w:p>
      <w:pPr>
        <w:keepNext/>
        <w:spacing w:before="240" w:after="80"/>
      </w:pPr>
      <w:r>
        <w:rPr>
          <w:rFonts w:ascii="Arial" w:hAnsi="Arial"/>
          <w:b/>
          <w:color w:val="1E3A6E"/>
          <w:sz w:val="24"/>
        </w:rPr>
        <w:t>5.2 Data Dictionary: raw_sales Transaction Table</w:t>
      </w:r>
    </w:p>
    <w:p>
      <w:pPr>
        <w:spacing w:after="80" w:line="276" w:lineRule="auto"/>
      </w:pPr>
      <w:r>
        <w:rPr>
          <w:rFonts w:ascii="Arial" w:hAnsi="Arial"/>
          <w:b/>
          <w:color w:val="192A56"/>
        </w:rPr>
        <w:t xml:space="preserve">Dataset Dictionary: </w:t>
      </w:r>
      <w:r>
        <w:rPr>
          <w:rFonts w:ascii="Arial" w:hAnsi="Arial"/>
          <w:color w:val="1E293B"/>
          <w:sz w:val="19"/>
        </w:rPr>
        <w:t>Table 5.1: Physical Dataset Schema Dictionary (raw_sales Table, 5,000 Records)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2160"/>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Column Name</w:t>
            </w:r>
          </w:p>
        </w:tc>
        <w:tc>
          <w:tcPr>
            <w:tcW w:type="dxa" w:w="201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PostgreSQL Data Type</w:t>
            </w:r>
          </w:p>
        </w:tc>
        <w:tc>
          <w:tcPr>
            <w:tcW w:type="dxa" w:w="129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Nullable</w:t>
            </w:r>
          </w:p>
        </w:tc>
        <w:tc>
          <w:tcPr>
            <w:tcW w:type="dxa" w:w="417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Business Domain Description</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Order_ID</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VARCHAR(50)</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 (PK)</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Unique transaction identifier (ORD-XXXXXX)</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Order_Date</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DATE</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ISO calendar transaction date (YYYY-MM-DD)</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Year</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INTEGER</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Calendar year extracted from order date (e.g., 2024)</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Quarter</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VARCHAR(10)</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Fiscal quarter identifier (Q1, Q2, Q3, Q4)</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Month</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INTEGER</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Calendar month sequence number (1 to 12)</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Region</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VARCHAR(50)</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Continental geographic market territory</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Country</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VARCHAR(100)</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Sovereign country where transaction originated</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Product</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VARCHAR(100)</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Commercial hardware product category</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Channel</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VARCHAR(50)</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Distribution channel (Online, Retail, Enterprise)</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Units_Sold</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INTEGER</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Physical quantity of merchandise sold</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Unit_Price</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NUMERIC(12,2)</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Selling price per individual unit in currency</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Revenue</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NUMERIC(14,2)</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Gross transactional revenue (Units_Sold * Unit_Price)</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Material_Cost</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NUMERIC(14,2)</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Direct raw material cost</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Shipping_Cost</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NUMERIC(14,2)</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Logistics and delivery cost</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Labor_Cost</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NUMERIC(14,2)</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Direct assembly and operational labor cost</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Marketing_Cost</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NUMERIC(14,2)</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Customer acquisition and marketing expenditure</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Total_Cost</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NUMERIC(14,2)</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Sum of material, shipping, labor, and marketing costs</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Profit</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NUMERIC(14,2)</w:t>
            </w:r>
          </w:p>
        </w:tc>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8FAFC"/>
            <w:tcMar>
              <w:top w:w="50" w:type="dxa"/>
              <w:bottom w:w="50" w:type="dxa"/>
              <w:left w:w="80" w:type="dxa"/>
              <w:right w:w="80" w:type="dxa"/>
            </w:tcMar>
            <w:vAlign w:val="center"/>
          </w:tcPr>
          <w:p>
            <w:pPr>
              <w:spacing w:before="0" w:after="0" w:line="252" w:lineRule="auto"/>
            </w:pPr>
            <w:r>
              <w:rPr>
                <w:rFonts w:ascii="Arial" w:hAnsi="Arial"/>
                <w:color w:val="1E293B"/>
                <w:sz w:val="14"/>
              </w:rPr>
              <w:t>Net operational profit (Revenue - Total_Cost)</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Margin_Percent</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NUMERIC(6,2)</w:t>
            </w:r>
          </w:p>
        </w:tc>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NO</w:t>
            </w:r>
          </w:p>
        </w:tc>
        <w:tc>
          <w:tcPr>
            <w:tcW w:type="dxa" w:w="4176"/>
            <w:shd w:fill="FFFFFF"/>
            <w:tcMar>
              <w:top w:w="50" w:type="dxa"/>
              <w:bottom w:w="50" w:type="dxa"/>
              <w:left w:w="80" w:type="dxa"/>
              <w:right w:w="80" w:type="dxa"/>
            </w:tcMar>
            <w:vAlign w:val="center"/>
          </w:tcPr>
          <w:p>
            <w:pPr>
              <w:spacing w:before="0" w:after="0" w:line="252" w:lineRule="auto"/>
            </w:pPr>
            <w:r>
              <w:rPr>
                <w:rFonts w:ascii="Arial" w:hAnsi="Arial"/>
                <w:color w:val="1E293B"/>
                <w:sz w:val="14"/>
              </w:rPr>
              <w:t>Gross profit percentage: (Profit / Revenue) * 100</w:t>
            </w:r>
          </w:p>
        </w:tc>
      </w:tr>
    </w:tbl>
    <w:p>
      <w:pPr>
        <w:spacing w:before="0" w:after="80"/>
      </w:pPr>
    </w:p>
    <w:p>
      <w:pPr>
        <w:keepNext/>
        <w:spacing w:before="240" w:after="80"/>
      </w:pPr>
      <w:r>
        <w:rPr>
          <w:rFonts w:ascii="Arial" w:hAnsi="Arial"/>
          <w:b/>
          <w:color w:val="1E3A6E"/>
          <w:sz w:val="24"/>
        </w:rPr>
        <w:t>5.3 Data Dictionary: sales_summary Dimensional Mart</w:t>
      </w:r>
    </w:p>
    <w:p>
      <w:pPr>
        <w:spacing w:after="80" w:line="276" w:lineRule="auto"/>
      </w:pPr>
      <w:r>
        <w:rPr>
          <w:rFonts w:ascii="Arial" w:hAnsi="Arial"/>
          <w:b/>
          <w:color w:val="192A56"/>
        </w:rPr>
        <w:t xml:space="preserve">Mart Dictionary: </w:t>
      </w:r>
      <w:r>
        <w:rPr>
          <w:rFonts w:ascii="Arial" w:hAnsi="Arial"/>
          <w:color w:val="1E293B"/>
          <w:sz w:val="19"/>
        </w:rPr>
        <w:t>Table 5.2: Data Mart Schema Dictionary (sales_summary Mart View)</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2304"/>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Mart Column Name</w:t>
            </w:r>
          </w:p>
        </w:tc>
        <w:tc>
          <w:tcPr>
            <w:tcW w:type="dxa" w:w="2592"/>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SQL Expression / Aggregation</w:t>
            </w:r>
          </w:p>
        </w:tc>
        <w:tc>
          <w:tcPr>
            <w:tcW w:type="dxa" w:w="1584"/>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Column Type</w:t>
            </w:r>
          </w:p>
        </w:tc>
        <w:tc>
          <w:tcPr>
            <w:tcW w:type="dxa" w:w="3168"/>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Analytical Purpose</w:t>
            </w:r>
          </w:p>
        </w:tc>
      </w:tr>
      <w:tr>
        <w:tc>
          <w:tcPr>
            <w:tcW w:type="dxa" w:w="2304"/>
            <w:shd w:fill="FFFFFF"/>
            <w:tcMar>
              <w:top w:w="50" w:type="dxa"/>
              <w:bottom w:w="50" w:type="dxa"/>
              <w:left w:w="80" w:type="dxa"/>
              <w:right w:w="80" w:type="dxa"/>
            </w:tcMar>
            <w:vAlign w:val="center"/>
          </w:tcPr>
          <w:p>
            <w:pPr>
              <w:spacing w:before="0" w:after="0" w:line="252" w:lineRule="auto"/>
            </w:pPr>
            <w:r>
              <w:rPr>
                <w:rFonts w:ascii="Arial" w:hAnsi="Arial"/>
                <w:color w:val="1E293B"/>
                <w:sz w:val="14"/>
              </w:rPr>
              <w:t>year</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GROUP BY year</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Dimension</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Temporal annual roll-up attribute</w:t>
            </w:r>
          </w:p>
        </w:tc>
      </w:tr>
      <w:tr>
        <w:tc>
          <w:tcPr>
            <w:tcW w:type="dxa" w:w="2304"/>
            <w:shd w:fill="F8FAFC"/>
            <w:tcMar>
              <w:top w:w="50" w:type="dxa"/>
              <w:bottom w:w="50" w:type="dxa"/>
              <w:left w:w="80" w:type="dxa"/>
              <w:right w:w="80" w:type="dxa"/>
            </w:tcMar>
            <w:vAlign w:val="center"/>
          </w:tcPr>
          <w:p>
            <w:pPr>
              <w:spacing w:before="0" w:after="0" w:line="252" w:lineRule="auto"/>
            </w:pPr>
            <w:r>
              <w:rPr>
                <w:rFonts w:ascii="Arial" w:hAnsi="Arial"/>
                <w:color w:val="1E293B"/>
                <w:sz w:val="14"/>
              </w:rPr>
              <w:t>quarter</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GROUP BY quarter</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Dimension</w:t>
            </w:r>
          </w:p>
        </w:tc>
        <w:tc>
          <w:tcPr>
            <w:tcW w:type="dxa" w:w="3168"/>
            <w:shd w:fill="F8FAFC"/>
            <w:tcMar>
              <w:top w:w="50" w:type="dxa"/>
              <w:bottom w:w="50" w:type="dxa"/>
              <w:left w:w="80" w:type="dxa"/>
              <w:right w:w="80" w:type="dxa"/>
            </w:tcMar>
            <w:vAlign w:val="center"/>
          </w:tcPr>
          <w:p>
            <w:pPr>
              <w:spacing w:before="0" w:after="0" w:line="252" w:lineRule="auto"/>
            </w:pPr>
            <w:r>
              <w:rPr>
                <w:rFonts w:ascii="Arial" w:hAnsi="Arial"/>
                <w:color w:val="1E293B"/>
                <w:sz w:val="14"/>
              </w:rPr>
              <w:t>Fiscal quarter seasonal grouping</w:t>
            </w:r>
          </w:p>
        </w:tc>
      </w:tr>
      <w:tr>
        <w:tc>
          <w:tcPr>
            <w:tcW w:type="dxa" w:w="2304"/>
            <w:shd w:fill="FFFFFF"/>
            <w:tcMar>
              <w:top w:w="50" w:type="dxa"/>
              <w:bottom w:w="50" w:type="dxa"/>
              <w:left w:w="80" w:type="dxa"/>
              <w:right w:w="80" w:type="dxa"/>
            </w:tcMar>
            <w:vAlign w:val="center"/>
          </w:tcPr>
          <w:p>
            <w:pPr>
              <w:spacing w:before="0" w:after="0" w:line="252" w:lineRule="auto"/>
            </w:pPr>
            <w:r>
              <w:rPr>
                <w:rFonts w:ascii="Arial" w:hAnsi="Arial"/>
                <w:color w:val="1E293B"/>
                <w:sz w:val="14"/>
              </w:rPr>
              <w:t>region</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GROUP BY region</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Dimension</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High-level market segmentation</w:t>
            </w:r>
          </w:p>
        </w:tc>
      </w:tr>
      <w:tr>
        <w:tc>
          <w:tcPr>
            <w:tcW w:type="dxa" w:w="2304"/>
            <w:shd w:fill="F8FAFC"/>
            <w:tcMar>
              <w:top w:w="50" w:type="dxa"/>
              <w:bottom w:w="50" w:type="dxa"/>
              <w:left w:w="80" w:type="dxa"/>
              <w:right w:w="80" w:type="dxa"/>
            </w:tcMar>
            <w:vAlign w:val="center"/>
          </w:tcPr>
          <w:p>
            <w:pPr>
              <w:spacing w:before="0" w:after="0" w:line="252" w:lineRule="auto"/>
            </w:pPr>
            <w:r>
              <w:rPr>
                <w:rFonts w:ascii="Arial" w:hAnsi="Arial"/>
                <w:color w:val="1E293B"/>
                <w:sz w:val="14"/>
              </w:rPr>
              <w:t>country</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GROUP BY country</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Dimension</w:t>
            </w:r>
          </w:p>
        </w:tc>
        <w:tc>
          <w:tcPr>
            <w:tcW w:type="dxa" w:w="3168"/>
            <w:shd w:fill="F8FAFC"/>
            <w:tcMar>
              <w:top w:w="50" w:type="dxa"/>
              <w:bottom w:w="50" w:type="dxa"/>
              <w:left w:w="80" w:type="dxa"/>
              <w:right w:w="80" w:type="dxa"/>
            </w:tcMar>
            <w:vAlign w:val="center"/>
          </w:tcPr>
          <w:p>
            <w:pPr>
              <w:spacing w:before="0" w:after="0" w:line="252" w:lineRule="auto"/>
            </w:pPr>
            <w:r>
              <w:rPr>
                <w:rFonts w:ascii="Arial" w:hAnsi="Arial"/>
                <w:color w:val="1E293B"/>
                <w:sz w:val="14"/>
              </w:rPr>
              <w:t>National boundary performance filter</w:t>
            </w:r>
          </w:p>
        </w:tc>
      </w:tr>
      <w:tr>
        <w:tc>
          <w:tcPr>
            <w:tcW w:type="dxa" w:w="2304"/>
            <w:shd w:fill="FFFFFF"/>
            <w:tcMar>
              <w:top w:w="50" w:type="dxa"/>
              <w:bottom w:w="50" w:type="dxa"/>
              <w:left w:w="80" w:type="dxa"/>
              <w:right w:w="80" w:type="dxa"/>
            </w:tcMar>
            <w:vAlign w:val="center"/>
          </w:tcPr>
          <w:p>
            <w:pPr>
              <w:spacing w:before="0" w:after="0" w:line="252" w:lineRule="auto"/>
            </w:pPr>
            <w:r>
              <w:rPr>
                <w:rFonts w:ascii="Arial" w:hAnsi="Arial"/>
                <w:color w:val="1E293B"/>
                <w:sz w:val="14"/>
              </w:rPr>
              <w:t>product</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GROUP BY product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Dimension</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Product line performance tracking</w:t>
            </w:r>
          </w:p>
        </w:tc>
      </w:tr>
      <w:tr>
        <w:tc>
          <w:tcPr>
            <w:tcW w:type="dxa" w:w="2304"/>
            <w:shd w:fill="F8FAFC"/>
            <w:tcMar>
              <w:top w:w="50" w:type="dxa"/>
              <w:bottom w:w="50" w:type="dxa"/>
              <w:left w:w="80" w:type="dxa"/>
              <w:right w:w="80" w:type="dxa"/>
            </w:tcMar>
            <w:vAlign w:val="center"/>
          </w:tcPr>
          <w:p>
            <w:pPr>
              <w:spacing w:before="0" w:after="0" w:line="252" w:lineRule="auto"/>
            </w:pPr>
            <w:r>
              <w:rPr>
                <w:rFonts w:ascii="Arial" w:hAnsi="Arial"/>
                <w:color w:val="1E293B"/>
                <w:sz w:val="14"/>
              </w:rPr>
              <w:t>channel</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GROUP BY channel</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Dimension</w:t>
            </w:r>
          </w:p>
        </w:tc>
        <w:tc>
          <w:tcPr>
            <w:tcW w:type="dxa" w:w="3168"/>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 channel efficiency comparison</w:t>
            </w:r>
          </w:p>
        </w:tc>
      </w:tr>
      <w:tr>
        <w:tc>
          <w:tcPr>
            <w:tcW w:type="dxa" w:w="2304"/>
            <w:shd w:fill="FFFFFF"/>
            <w:tcMar>
              <w:top w:w="50" w:type="dxa"/>
              <w:bottom w:w="50" w:type="dxa"/>
              <w:left w:w="80" w:type="dxa"/>
              <w:right w:w="80" w:type="dxa"/>
            </w:tcMar>
            <w:vAlign w:val="center"/>
          </w:tcPr>
          <w:p>
            <w:pPr>
              <w:spacing w:before="0" w:after="0" w:line="252" w:lineRule="auto"/>
            </w:pPr>
            <w:r>
              <w:rPr>
                <w:rFonts w:ascii="Arial" w:hAnsi="Arial"/>
                <w:color w:val="1E293B"/>
                <w:sz w:val="14"/>
              </w:rPr>
              <w:t>total_orders</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COUNT(*)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Measure</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Total volume of underlying sales records</w:t>
            </w:r>
          </w:p>
        </w:tc>
      </w:tr>
      <w:tr>
        <w:tc>
          <w:tcPr>
            <w:tcW w:type="dxa" w:w="2304"/>
            <w:shd w:fill="F8FAFC"/>
            <w:tcMar>
              <w:top w:w="50" w:type="dxa"/>
              <w:bottom w:w="50" w:type="dxa"/>
              <w:left w:w="80" w:type="dxa"/>
              <w:right w:w="80" w:type="dxa"/>
            </w:tcMar>
            <w:vAlign w:val="center"/>
          </w:tcPr>
          <w:p>
            <w:pPr>
              <w:spacing w:before="0" w:after="0" w:line="252" w:lineRule="auto"/>
            </w:pPr>
            <w:r>
              <w:rPr>
                <w:rFonts w:ascii="Arial" w:hAnsi="Arial"/>
                <w:color w:val="1E293B"/>
                <w:sz w:val="14"/>
              </w:rPr>
              <w:t>total_units_sold</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SUM(units_sold)</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Measure</w:t>
            </w:r>
          </w:p>
        </w:tc>
        <w:tc>
          <w:tcPr>
            <w:tcW w:type="dxa" w:w="3168"/>
            <w:shd w:fill="F8FAFC"/>
            <w:tcMar>
              <w:top w:w="50" w:type="dxa"/>
              <w:bottom w:w="50" w:type="dxa"/>
              <w:left w:w="80" w:type="dxa"/>
              <w:right w:w="80" w:type="dxa"/>
            </w:tcMar>
            <w:vAlign w:val="center"/>
          </w:tcPr>
          <w:p>
            <w:pPr>
              <w:spacing w:before="0" w:after="0" w:line="252" w:lineRule="auto"/>
            </w:pPr>
            <w:r>
              <w:rPr>
                <w:rFonts w:ascii="Arial" w:hAnsi="Arial"/>
                <w:color w:val="1E293B"/>
                <w:sz w:val="14"/>
              </w:rPr>
              <w:t>Total volume of physical units distributed</w:t>
            </w:r>
          </w:p>
        </w:tc>
      </w:tr>
      <w:tr>
        <w:tc>
          <w:tcPr>
            <w:tcW w:type="dxa" w:w="2304"/>
            <w:shd w:fill="FFFFFF"/>
            <w:tcMar>
              <w:top w:w="50" w:type="dxa"/>
              <w:bottom w:w="50" w:type="dxa"/>
              <w:left w:w="80" w:type="dxa"/>
              <w:right w:w="80" w:type="dxa"/>
            </w:tcMar>
            <w:vAlign w:val="center"/>
          </w:tcPr>
          <w:p>
            <w:pPr>
              <w:spacing w:before="0" w:after="0" w:line="252" w:lineRule="auto"/>
            </w:pPr>
            <w:r>
              <w:rPr>
                <w:rFonts w:ascii="Arial" w:hAnsi="Arial"/>
                <w:color w:val="1E293B"/>
                <w:sz w:val="14"/>
              </w:rPr>
              <w:t>total_revenue</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SUM(revenue)</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Measure</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Gross consolidated top-line revenue</w:t>
            </w:r>
          </w:p>
        </w:tc>
      </w:tr>
      <w:tr>
        <w:tc>
          <w:tcPr>
            <w:tcW w:type="dxa" w:w="2304"/>
            <w:shd w:fill="F8FAFC"/>
            <w:tcMar>
              <w:top w:w="50" w:type="dxa"/>
              <w:bottom w:w="50" w:type="dxa"/>
              <w:left w:w="80" w:type="dxa"/>
              <w:right w:w="80" w:type="dxa"/>
            </w:tcMar>
            <w:vAlign w:val="center"/>
          </w:tcPr>
          <w:p>
            <w:pPr>
              <w:spacing w:before="0" w:after="0" w:line="252" w:lineRule="auto"/>
            </w:pPr>
            <w:r>
              <w:rPr>
                <w:rFonts w:ascii="Arial" w:hAnsi="Arial"/>
                <w:color w:val="1E293B"/>
                <w:sz w:val="14"/>
              </w:rPr>
              <w:t>total_cost</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SUM(total_cost)</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Measure</w:t>
            </w:r>
          </w:p>
        </w:tc>
        <w:tc>
          <w:tcPr>
            <w:tcW w:type="dxa" w:w="3168"/>
            <w:shd w:fill="F8FAFC"/>
            <w:tcMar>
              <w:top w:w="50" w:type="dxa"/>
              <w:bottom w:w="50" w:type="dxa"/>
              <w:left w:w="80" w:type="dxa"/>
              <w:right w:w="80" w:type="dxa"/>
            </w:tcMar>
            <w:vAlign w:val="center"/>
          </w:tcPr>
          <w:p>
            <w:pPr>
              <w:spacing w:before="0" w:after="0" w:line="252" w:lineRule="auto"/>
            </w:pPr>
            <w:r>
              <w:rPr>
                <w:rFonts w:ascii="Arial" w:hAnsi="Arial"/>
                <w:color w:val="1E293B"/>
                <w:sz w:val="14"/>
              </w:rPr>
              <w:t>Total operational expense accumulation</w:t>
            </w:r>
          </w:p>
        </w:tc>
      </w:tr>
      <w:tr>
        <w:tc>
          <w:tcPr>
            <w:tcW w:type="dxa" w:w="2304"/>
            <w:shd w:fill="FFFFFF"/>
            <w:tcMar>
              <w:top w:w="50" w:type="dxa"/>
              <w:bottom w:w="50" w:type="dxa"/>
              <w:left w:w="80" w:type="dxa"/>
              <w:right w:w="80" w:type="dxa"/>
            </w:tcMar>
            <w:vAlign w:val="center"/>
          </w:tcPr>
          <w:p>
            <w:pPr>
              <w:spacing w:before="0" w:after="0" w:line="252" w:lineRule="auto"/>
            </w:pPr>
            <w:r>
              <w:rPr>
                <w:rFonts w:ascii="Arial" w:hAnsi="Arial"/>
                <w:color w:val="1E293B"/>
                <w:sz w:val="14"/>
              </w:rPr>
              <w:t>total_profit</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SUM(profit)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Measure</w:t>
            </w:r>
          </w:p>
        </w:tc>
        <w:tc>
          <w:tcPr>
            <w:tcW w:type="dxa" w:w="3168"/>
            <w:shd w:fill="FFFFFF"/>
            <w:tcMar>
              <w:top w:w="50" w:type="dxa"/>
              <w:bottom w:w="50" w:type="dxa"/>
              <w:left w:w="80" w:type="dxa"/>
              <w:right w:w="80" w:type="dxa"/>
            </w:tcMar>
            <w:vAlign w:val="center"/>
          </w:tcPr>
          <w:p>
            <w:pPr>
              <w:spacing w:before="0" w:after="0" w:line="252" w:lineRule="auto"/>
            </w:pPr>
            <w:r>
              <w:rPr>
                <w:rFonts w:ascii="Arial" w:hAnsi="Arial"/>
                <w:color w:val="1E293B"/>
                <w:sz w:val="14"/>
              </w:rPr>
              <w:t>Consolidated gross operating profit</w:t>
            </w:r>
          </w:p>
        </w:tc>
      </w:tr>
    </w:tbl>
    <w:p>
      <w:pPr>
        <w:spacing w:before="0" w:after="80"/>
      </w:pPr>
    </w:p>
    <w:p>
      <w:pPr>
        <w:keepNext/>
        <w:spacing w:before="360" w:after="140"/>
      </w:pPr>
      <w:r>
        <w:rPr>
          <w:rFonts w:ascii="Arial" w:hAnsi="Arial"/>
          <w:b/>
          <w:color w:val="192A56"/>
          <w:sz w:val="32"/>
        </w:rPr>
        <w:t>Chapter 6 — Backend and API</w:t>
      </w:r>
    </w:p>
    <w:p>
      <w:pPr>
        <w:keepNext/>
        <w:spacing w:before="240" w:after="80"/>
      </w:pPr>
      <w:r>
        <w:rPr>
          <w:rFonts w:ascii="Arial" w:hAnsi="Arial"/>
          <w:b/>
          <w:color w:val="1E3A6E"/>
          <w:sz w:val="24"/>
        </w:rPr>
        <w:t>6.1 FastAPI Application Architecture &amp; Gateway Middleware</w:t>
      </w:r>
    </w:p>
    <w:p>
      <w:pPr>
        <w:spacing w:after="80" w:line="276" w:lineRule="auto"/>
      </w:pPr>
      <w:r>
        <w:rPr>
          <w:rFonts w:ascii="Arial" w:hAnsi="Arial"/>
          <w:color w:val="1E293B"/>
          <w:sz w:val="19"/>
        </w:rPr>
        <w:t>FastAPI serves as the analytical API gateway. It configures CORS middleware restricting origins strictly to http://localhost:3000 and http://127.0.0.1:3000.</w:t>
      </w:r>
    </w:p>
    <w:p>
      <w:pPr>
        <w:keepNext/>
        <w:spacing w:before="240" w:after="80"/>
      </w:pPr>
      <w:r>
        <w:rPr>
          <w:rFonts w:ascii="Arial" w:hAnsi="Arial"/>
          <w:b/>
          <w:color w:val="1E3A6E"/>
          <w:sz w:val="24"/>
        </w:rPr>
        <w:t>6.2 Verified REST API Endpoints Specification</w:t>
      </w:r>
    </w:p>
    <w:p>
      <w:pPr>
        <w:spacing w:after="80" w:line="276" w:lineRule="auto"/>
      </w:pPr>
      <w:r>
        <w:rPr>
          <w:rFonts w:ascii="Arial" w:hAnsi="Arial"/>
          <w:b/>
          <w:color w:val="192A56"/>
        </w:rPr>
        <w:t xml:space="preserve">API Endpoints: </w:t>
      </w:r>
      <w:r>
        <w:rPr>
          <w:rFonts w:ascii="Arial" w:hAnsi="Arial"/>
          <w:color w:val="1E293B"/>
          <w:sz w:val="19"/>
        </w:rPr>
        <w:t>Table 6.1: Verified FastAPI Gateway REST API Endpoints Specification</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1152"/>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HTTP Verb</w:t>
            </w:r>
          </w:p>
        </w:tc>
        <w:tc>
          <w:tcPr>
            <w:tcW w:type="dxa" w:w="2880"/>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API Endpoint Path</w:t>
            </w:r>
          </w:p>
        </w:tc>
        <w:tc>
          <w:tcPr>
            <w:tcW w:type="dxa" w:w="2160"/>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Backend Data Source</w:t>
            </w:r>
          </w:p>
        </w:tc>
        <w:tc>
          <w:tcPr>
            <w:tcW w:type="dxa" w:w="345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Verified Status / Return Schema</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In-Memory</w:t>
            </w:r>
          </w:p>
        </w:tc>
        <w:tc>
          <w:tcPr>
            <w:tcW w:type="dxa" w:w="3456"/>
            <w:shd w:fill="FFFFFF"/>
            <w:tcMar>
              <w:top w:w="50" w:type="dxa"/>
              <w:bottom w:w="50" w:type="dxa"/>
              <w:left w:w="80" w:type="dxa"/>
              <w:right w:w="80" w:type="dxa"/>
            </w:tcMar>
            <w:vAlign w:val="center"/>
          </w:tcPr>
          <w:p>
            <w:pPr>
              <w:spacing w:before="0" w:after="0" w:line="252" w:lineRule="auto"/>
            </w:pPr>
            <w:r>
              <w:rPr>
                <w:rFonts w:ascii="Arial" w:hAnsi="Arial"/>
                <w:color w:val="1E293B"/>
                <w:sz w:val="14"/>
              </w:rPr>
              <w:t>200 OK: {'message': 'MetricMind API is running'}</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8FAFC"/>
            <w:tcMar>
              <w:top w:w="50" w:type="dxa"/>
              <w:bottom w:w="50" w:type="dxa"/>
              <w:left w:w="80" w:type="dxa"/>
              <w:right w:w="80" w:type="dxa"/>
            </w:tcMar>
            <w:vAlign w:val="center"/>
          </w:tcPr>
          <w:p>
            <w:pPr>
              <w:spacing w:before="0" w:after="0" w:line="252" w:lineRule="auto"/>
            </w:pPr>
            <w:r>
              <w:rPr>
                <w:rFonts w:ascii="Arial" w:hAnsi="Arial"/>
                <w:color w:val="1E293B"/>
                <w:sz w:val="14"/>
              </w:rPr>
              <w:t>200 OK: Returns 5,000 full transaction records</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/summary</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FFFFF"/>
            <w:tcMar>
              <w:top w:w="50" w:type="dxa"/>
              <w:bottom w:w="50" w:type="dxa"/>
              <w:left w:w="80" w:type="dxa"/>
              <w:right w:w="80" w:type="dxa"/>
            </w:tcMar>
            <w:vAlign w:val="center"/>
          </w:tcPr>
          <w:p>
            <w:pPr>
              <w:spacing w:before="0" w:after="0" w:line="252" w:lineRule="auto"/>
            </w:pPr>
            <w:r>
              <w:rPr>
                <w:rFonts w:ascii="Arial" w:hAnsi="Arial"/>
                <w:color w:val="1E293B"/>
                <w:sz w:val="14"/>
              </w:rPr>
              <w:t>200 OK: Aggregate orders, revenue, profit, units sold</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/sales/region/{region}</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8FAFC"/>
            <w:tcMar>
              <w:top w:w="50" w:type="dxa"/>
              <w:bottom w:w="50" w:type="dxa"/>
              <w:left w:w="80" w:type="dxa"/>
              <w:right w:w="80" w:type="dxa"/>
            </w:tcMar>
            <w:vAlign w:val="center"/>
          </w:tcPr>
          <w:p>
            <w:pPr>
              <w:spacing w:before="0" w:after="0" w:line="252" w:lineRule="auto"/>
            </w:pPr>
            <w:r>
              <w:rPr>
                <w:rFonts w:ascii="Arial" w:hAnsi="Arial"/>
                <w:color w:val="1E293B"/>
                <w:sz w:val="14"/>
              </w:rPr>
              <w:t>200 OK: Slices dataset by region string</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/summary/region/{region}</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FFFFF"/>
            <w:tcMar>
              <w:top w:w="50" w:type="dxa"/>
              <w:bottom w:w="50" w:type="dxa"/>
              <w:left w:w="80" w:type="dxa"/>
              <w:right w:w="80" w:type="dxa"/>
            </w:tcMar>
            <w:vAlign w:val="center"/>
          </w:tcPr>
          <w:p>
            <w:pPr>
              <w:spacing w:before="0" w:after="0" w:line="252" w:lineRule="auto"/>
            </w:pPr>
            <w:r>
              <w:rPr>
                <w:rFonts w:ascii="Arial" w:hAnsi="Arial"/>
                <w:color w:val="1E293B"/>
                <w:sz w:val="14"/>
              </w:rPr>
              <w:t>200 OK: Regional totals for orders, revenue, profit</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/summary/product/{product}</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8FAFC"/>
            <w:tcMar>
              <w:top w:w="50" w:type="dxa"/>
              <w:bottom w:w="50" w:type="dxa"/>
              <w:left w:w="80" w:type="dxa"/>
              <w:right w:w="80" w:type="dxa"/>
            </w:tcMar>
            <w:vAlign w:val="center"/>
          </w:tcPr>
          <w:p>
            <w:pPr>
              <w:spacing w:before="0" w:after="0" w:line="252" w:lineRule="auto"/>
            </w:pPr>
            <w:r>
              <w:rPr>
                <w:rFonts w:ascii="Arial" w:hAnsi="Arial"/>
                <w:color w:val="1E293B"/>
                <w:sz w:val="14"/>
              </w:rPr>
              <w:t>200 OK / 404: Product performance summary</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/summary/channel/{channel}</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FFFFF"/>
            <w:tcMar>
              <w:top w:w="50" w:type="dxa"/>
              <w:bottom w:w="50" w:type="dxa"/>
              <w:left w:w="80" w:type="dxa"/>
              <w:right w:w="80" w:type="dxa"/>
            </w:tcMar>
            <w:vAlign w:val="center"/>
          </w:tcPr>
          <w:p>
            <w:pPr>
              <w:spacing w:before="0" w:after="0" w:line="252" w:lineRule="auto"/>
            </w:pPr>
            <w:r>
              <w:rPr>
                <w:rFonts w:ascii="Arial" w:hAnsi="Arial"/>
                <w:color w:val="1E293B"/>
                <w:sz w:val="14"/>
              </w:rPr>
              <w:t>200 OK / 404: Channel performance summary</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/summary/year/{year}</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8FAFC"/>
            <w:tcMar>
              <w:top w:w="50" w:type="dxa"/>
              <w:bottom w:w="50" w:type="dxa"/>
              <w:left w:w="80" w:type="dxa"/>
              <w:right w:w="80" w:type="dxa"/>
            </w:tcMar>
            <w:vAlign w:val="center"/>
          </w:tcPr>
          <w:p>
            <w:pPr>
              <w:spacing w:before="0" w:after="0" w:line="252" w:lineRule="auto"/>
            </w:pPr>
            <w:r>
              <w:rPr>
                <w:rFonts w:ascii="Arial" w:hAnsi="Arial"/>
                <w:color w:val="1E293B"/>
                <w:sz w:val="14"/>
              </w:rPr>
              <w:t>200 OK / 404: Annual sales performance summary</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/summary/month/{month}</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FFFFF"/>
            <w:tcMar>
              <w:top w:w="50" w:type="dxa"/>
              <w:bottom w:w="50" w:type="dxa"/>
              <w:left w:w="80" w:type="dxa"/>
              <w:right w:w="80" w:type="dxa"/>
            </w:tcMar>
            <w:vAlign w:val="center"/>
          </w:tcPr>
          <w:p>
            <w:pPr>
              <w:spacing w:before="0" w:after="0" w:line="252" w:lineRule="auto"/>
            </w:pPr>
            <w:r>
              <w:rPr>
                <w:rFonts w:ascii="Arial" w:hAnsi="Arial"/>
                <w:color w:val="1E293B"/>
                <w:sz w:val="14"/>
              </w:rPr>
              <w:t>200 OK / 400 (if &lt;1 or &gt;12) / 404: Monthly summary</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/summary/quarter/{quarter}</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8FAFC"/>
            <w:tcMar>
              <w:top w:w="50" w:type="dxa"/>
              <w:bottom w:w="50" w:type="dxa"/>
              <w:left w:w="80" w:type="dxa"/>
              <w:right w:w="80" w:type="dxa"/>
            </w:tcMar>
            <w:vAlign w:val="center"/>
          </w:tcPr>
          <w:p>
            <w:pPr>
              <w:spacing w:before="0" w:after="0" w:line="252" w:lineRule="auto"/>
            </w:pPr>
            <w:r>
              <w:rPr>
                <w:rFonts w:ascii="Arial" w:hAnsi="Arial"/>
                <w:color w:val="1E293B"/>
                <w:sz w:val="14"/>
              </w:rPr>
              <w:t>200 OK / 404: Fiscal quarter performance summary</w:t>
            </w:r>
          </w:p>
        </w:tc>
      </w:tr>
      <w:tr>
        <w:tc>
          <w:tcPr>
            <w:tcW w:type="dxa" w:w="1152"/>
            <w:shd w:fill="FFFFFF"/>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/summary/cost-profit</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pandas (CSV)</w:t>
            </w:r>
          </w:p>
        </w:tc>
        <w:tc>
          <w:tcPr>
            <w:tcW w:type="dxa" w:w="3456"/>
            <w:shd w:fill="FFFFFF"/>
            <w:tcMar>
              <w:top w:w="50" w:type="dxa"/>
              <w:bottom w:w="50" w:type="dxa"/>
              <w:left w:w="80" w:type="dxa"/>
              <w:right w:w="80" w:type="dxa"/>
            </w:tcMar>
            <w:vAlign w:val="center"/>
          </w:tcPr>
          <w:p>
            <w:pPr>
              <w:spacing w:before="0" w:after="0" w:line="252" w:lineRule="auto"/>
            </w:pPr>
            <w:r>
              <w:rPr>
                <w:rFonts w:ascii="Arial" w:hAnsi="Arial"/>
                <w:color w:val="1E293B"/>
                <w:sz w:val="14"/>
              </w:rPr>
              <w:t>200 OK: Breakdown of material, shipping, labor, etc.</w:t>
            </w:r>
          </w:p>
        </w:tc>
      </w:tr>
      <w:tr>
        <w:tc>
          <w:tcPr>
            <w:tcW w:type="dxa" w:w="1152"/>
            <w:shd w:fill="F8FAFC"/>
            <w:tcMar>
              <w:top w:w="50" w:type="dxa"/>
              <w:bottom w:w="50" w:type="dxa"/>
              <w:left w:w="80" w:type="dxa"/>
              <w:right w:w="80" w:type="dxa"/>
            </w:tcMar>
            <w:vAlign w:val="center"/>
          </w:tcPr>
          <w:p>
            <w:pPr>
              <w:spacing w:before="0" w:after="0" w:line="252" w:lineRule="auto"/>
            </w:pPr>
            <w:r>
              <w:rPr>
                <w:rFonts w:ascii="Arial" w:hAnsi="Arial"/>
                <w:color w:val="1E293B"/>
                <w:sz w:val="14"/>
              </w:rPr>
              <w:t>GET</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/dbt/sales-summary</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PostgreSQL (dbt)</w:t>
            </w:r>
          </w:p>
        </w:tc>
        <w:tc>
          <w:tcPr>
            <w:tcW w:type="dxa" w:w="3456"/>
            <w:shd w:fill="F8FAFC"/>
            <w:tcMar>
              <w:top w:w="50" w:type="dxa"/>
              <w:bottom w:w="50" w:type="dxa"/>
              <w:left w:w="80" w:type="dxa"/>
              <w:right w:w="80" w:type="dxa"/>
            </w:tcMar>
            <w:vAlign w:val="center"/>
          </w:tcPr>
          <w:p>
            <w:pPr>
              <w:spacing w:before="0" w:after="0" w:line="252" w:lineRule="auto"/>
            </w:pPr>
            <w:r>
              <w:rPr>
                <w:rFonts w:ascii="Arial" w:hAnsi="Arial"/>
                <w:color w:val="1E293B"/>
                <w:sz w:val="14"/>
              </w:rPr>
              <w:t>200 OK (or 500 masked): Queries public.sales_summary</w:t>
            </w:r>
          </w:p>
        </w:tc>
      </w:tr>
    </w:tbl>
    <w:p>
      <w:pPr>
        <w:spacing w:before="0" w:after="80"/>
      </w:pPr>
    </w:p>
    <w:p>
      <w:pPr>
        <w:keepNext/>
        <w:spacing w:before="240" w:after="80"/>
      </w:pPr>
      <w:r>
        <w:rPr>
          <w:rFonts w:ascii="Arial" w:hAnsi="Arial"/>
          <w:b/>
          <w:color w:val="1E3A6E"/>
          <w:sz w:val="24"/>
        </w:rPr>
        <w:t>6.3 In-Memory pandas Slicing vs. Relational Database Execution</w:t>
      </w:r>
    </w:p>
    <w:p>
      <w:pPr>
        <w:spacing w:after="80" w:line="276" w:lineRule="auto"/>
      </w:pPr>
      <w:r>
        <w:rPr>
          <w:rFonts w:ascii="Arial" w:hAnsi="Arial"/>
          <w:color w:val="1E293B"/>
          <w:sz w:val="19"/>
        </w:rPr>
        <w:t>The backend provides dual-speed access: fast vectorized slicing over the 5,000-record CSV dataset alongside relational SQL queries over the PostgreSQL dbt mart.</w:t>
      </w:r>
    </w:p>
    <w:p>
      <w:pPr>
        <w:keepNext/>
        <w:spacing w:before="360" w:after="140"/>
      </w:pPr>
      <w:r>
        <w:rPr>
          <w:rFonts w:ascii="Arial" w:hAnsi="Arial"/>
          <w:b/>
          <w:color w:val="192A56"/>
          <w:sz w:val="32"/>
        </w:rPr>
        <w:t>Chapter 7 — Data Transformation with dbt</w:t>
      </w:r>
    </w:p>
    <w:p>
      <w:pPr>
        <w:keepNext/>
        <w:spacing w:before="240" w:after="80"/>
      </w:pPr>
      <w:r>
        <w:rPr>
          <w:rFonts w:ascii="Arial" w:hAnsi="Arial"/>
          <w:b/>
          <w:color w:val="1E3A6E"/>
          <w:sz w:val="24"/>
        </w:rPr>
        <w:t>7.1 dbt Project Architecture (metricmind_dbt)</w:t>
      </w:r>
    </w:p>
    <w:p>
      <w:pPr>
        <w:keepNext/>
        <w:spacing w:before="120" w:after="60"/>
        <w:jc w:val="center"/>
      </w:pPr>
      <w:r>
        <w:drawing>
          <wp:inline xmlns:a="http://schemas.openxmlformats.org/drawingml/2006/main" xmlns:pic="http://schemas.openxmlformats.org/drawingml/2006/picture">
            <wp:extent cx="5852160" cy="3192087"/>
            <wp:docPr id="4" name="Picture 4"/>
            <wp:cNvGraphicFramePr>
              <a:graphicFrameLocks noChangeAspect="1"/>
            </wp:cNvGraphicFramePr>
            <a:graphic>
              <a:graphicData uri="http://schemas.openxmlformats.org/drawingml/2006/picture">
                <pic:pic>
                  <pic:nvPicPr>
                    <pic:cNvPr id="0" name="analytics_pipeline.png"/>
                    <pic:cNvPicPr/>
                  </pic:nvPicPr>
                  <pic:blipFill>
                    <a:blip r:embed="rId14"/>
                    <a:stretch>
                      <a:fillRect/>
                    </a:stretch>
                  </pic:blipFill>
                  <pic:spPr>
                    <a:xfrm>
                      <a:off x="0" y="0"/>
                      <a:ext cx="5852160" cy="3192087"/>
                    </a:xfrm>
                    <a:prstGeom prst="rect"/>
                  </pic:spPr>
                </pic:pic>
              </a:graphicData>
            </a:graphic>
          </wp:inline>
        </w:drawing>
      </w:r>
    </w:p>
    <w:p>
      <w:pPr>
        <w:spacing w:before="0" w:after="160"/>
        <w:jc w:val="center"/>
      </w:pPr>
      <w:r>
        <w:rPr>
          <w:rFonts w:ascii="Arial" w:hAnsi="Arial"/>
          <w:b/>
          <w:i/>
          <w:color w:val="475569"/>
          <w:sz w:val="16"/>
        </w:rPr>
        <w:t>Figure 7.1: dbt Transformation and Analytics Serving Pipeline</w:t>
      </w:r>
    </w:p>
    <w:p>
      <w:pPr>
        <w:spacing w:after="80" w:line="276" w:lineRule="auto"/>
      </w:pPr>
      <w:r>
        <w:rPr>
          <w:rFonts w:ascii="Arial" w:hAnsi="Arial"/>
          <w:color w:val="1E293B"/>
          <w:sz w:val="19"/>
        </w:rPr>
        <w:t>The dbt project (metricmind_dbt) structures SQL models into staging (stg_raw_sales.sql) and marts (sales_summary.sql) views configured in dbt_project.yml with +materialized: view.</w:t>
      </w:r>
    </w:p>
    <w:p>
      <w:pPr>
        <w:keepNext/>
        <w:spacing w:before="240" w:after="80"/>
      </w:pPr>
      <w:r>
        <w:rPr>
          <w:rFonts w:ascii="Arial" w:hAnsi="Arial"/>
          <w:b/>
          <w:color w:val="1E3A6E"/>
          <w:sz w:val="24"/>
        </w:rPr>
        <w:t>7.2 Staging Model: stg_raw_sales.sql</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single" w:sz="4" w:space="0" w:color="E2E8F0"/>
              <w:left w:val="single" w:sz="24" w:space="0" w:color="192A56"/>
              <w:bottom w:val="single" w:sz="4" w:space="0" w:color="E2E8F0"/>
              <w:right w:val="single" w:sz="4" w:space="0" w:color="E2E8F0"/>
            </w:tcBorders>
          </w:tcPr>
          <w:p>
            <w:pPr>
              <w:spacing w:before="0" w:after="0" w:line="252" w:lineRule="auto"/>
            </w:pPr>
            <w:r>
              <w:rPr>
                <w:rFonts w:ascii="Consolas" w:hAnsi="Consolas"/>
                <w:color w:val="0F172A"/>
                <w:sz w:val="16"/>
              </w:rPr>
              <w:t>select</w:t>
              <w:br/>
              <w:t xml:space="preserve">    order_id, order_date, year, quarter, month, region, country,</w:t>
              <w:br/>
              <w:t xml:space="preserve">    product, channel, units_sold, unit_price, revenue, material_cost,</w:t>
              <w:br/>
              <w:t xml:space="preserve">    shipping_cost, labor_cost, marketing_cost, total_cost, profit, margin_percent</w:t>
              <w:br/>
              <w:t>from {{ source("raw", "raw_sales") }}</w:t>
            </w:r>
          </w:p>
        </w:tc>
      </w:tr>
    </w:tbl>
    <w:p>
      <w:pPr>
        <w:spacing w:before="0" w:after="60"/>
      </w:pPr>
    </w:p>
    <w:p>
      <w:pPr>
        <w:keepNext/>
        <w:spacing w:before="240" w:after="80"/>
      </w:pPr>
      <w:r>
        <w:rPr>
          <w:rFonts w:ascii="Arial" w:hAnsi="Arial"/>
          <w:b/>
          <w:color w:val="1E3A6E"/>
          <w:sz w:val="24"/>
        </w:rPr>
        <w:t>7.3 Dimensional Mart Model: sales_summary.sql</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single" w:sz="4" w:space="0" w:color="E2E8F0"/>
              <w:left w:val="single" w:sz="24" w:space="0" w:color="192A56"/>
              <w:bottom w:val="single" w:sz="4" w:space="0" w:color="E2E8F0"/>
              <w:right w:val="single" w:sz="4" w:space="0" w:color="E2E8F0"/>
            </w:tcBorders>
          </w:tcPr>
          <w:p>
            <w:pPr>
              <w:spacing w:before="0" w:after="0" w:line="252" w:lineRule="auto"/>
            </w:pPr>
            <w:r>
              <w:rPr>
                <w:rFonts w:ascii="Consolas" w:hAnsi="Consolas"/>
                <w:color w:val="0F172A"/>
                <w:sz w:val="16"/>
              </w:rPr>
              <w:t>select</w:t>
              <w:br/>
              <w:t xml:space="preserve">    year, quarter, region, country, product, channel,</w:t>
              <w:br/>
              <w:t xml:space="preserve">    count(*) as total_orders,</w:t>
              <w:br/>
              <w:t xml:space="preserve">    sum(units_sold) as total_units_sold,</w:t>
              <w:br/>
              <w:t xml:space="preserve">    sum(revenue) as total_revenue,</w:t>
              <w:br/>
              <w:t xml:space="preserve">    sum(total_cost) as total_cost,</w:t>
              <w:br/>
              <w:t xml:space="preserve">    sum(profit) as total_profit</w:t>
              <w:br/>
              <w:t>from {{ ref("stg_raw_sales") }}</w:t>
              <w:br/>
              <w:t>group by year, quarter, region, country, product, channel</w:t>
            </w:r>
          </w:p>
        </w:tc>
      </w:tr>
    </w:tbl>
    <w:p>
      <w:pPr>
        <w:spacing w:before="0" w:after="60"/>
      </w:pPr>
    </w:p>
    <w:p>
      <w:pPr>
        <w:keepNext/>
        <w:spacing w:before="240" w:after="80"/>
      </w:pPr>
      <w:r>
        <w:rPr>
          <w:rFonts w:ascii="Arial" w:hAnsi="Arial"/>
          <w:b/>
          <w:color w:val="1E3A6E"/>
          <w:sz w:val="24"/>
        </w:rPr>
        <w:t>7.4 Schema Assertions and Data Quality Tests</w:t>
      </w:r>
    </w:p>
    <w:p>
      <w:pPr>
        <w:spacing w:after="80" w:line="276" w:lineRule="auto"/>
      </w:pPr>
      <w:r>
        <w:rPr>
          <w:rFonts w:ascii="Arial" w:hAnsi="Arial"/>
          <w:color w:val="1E293B"/>
          <w:sz w:val="19"/>
        </w:rPr>
        <w:t>Data tests in metricmind_dbt/models/staging/schema.yml assert uniqueness and non-null constraints on order_id. Both passed during testing.</w:t>
      </w:r>
    </w:p>
    <w:p>
      <w:pPr>
        <w:keepNext/>
        <w:spacing w:before="360" w:after="140"/>
      </w:pPr>
      <w:r>
        <w:rPr>
          <w:rFonts w:ascii="Arial" w:hAnsi="Arial"/>
          <w:b/>
          <w:color w:val="192A56"/>
          <w:sz w:val="32"/>
        </w:rPr>
        <w:t>Chapter 8 — Cube Semantic Layer</w:t>
      </w:r>
    </w:p>
    <w:p>
      <w:pPr>
        <w:keepNext/>
        <w:spacing w:before="240" w:after="80"/>
      </w:pPr>
      <w:r>
        <w:rPr>
          <w:rFonts w:ascii="Arial" w:hAnsi="Arial"/>
          <w:b/>
          <w:color w:val="1E3A6E"/>
          <w:sz w:val="24"/>
        </w:rPr>
        <w:t>8.1 The Strategic Role of Semantic Metric Governance</w:t>
      </w:r>
    </w:p>
    <w:p>
      <w:pPr>
        <w:spacing w:after="80" w:line="276" w:lineRule="auto"/>
      </w:pPr>
      <w:r>
        <w:rPr>
          <w:rFonts w:ascii="Arial" w:hAnsi="Arial"/>
          <w:color w:val="1E293B"/>
          <w:sz w:val="19"/>
        </w:rPr>
        <w:t>Cube.js acts as the headless semantic layer, compiling code-defined measures into optimized SQL queries against public.sales_summary.</w:t>
      </w:r>
    </w:p>
    <w:p>
      <w:pPr>
        <w:keepNext/>
        <w:spacing w:before="240" w:after="80"/>
      </w:pPr>
      <w:r>
        <w:rPr>
          <w:rFonts w:ascii="Arial" w:hAnsi="Arial"/>
          <w:b/>
          <w:color w:val="1E3A6E"/>
          <w:sz w:val="24"/>
        </w:rPr>
        <w:t>8.2 Cube Definition: Sales.js Model Specification</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single" w:sz="4" w:space="0" w:color="E2E8F0"/>
              <w:left w:val="single" w:sz="24" w:space="0" w:color="192A56"/>
              <w:bottom w:val="single" w:sz="4" w:space="0" w:color="E2E8F0"/>
              <w:right w:val="single" w:sz="4" w:space="0" w:color="E2E8F0"/>
            </w:tcBorders>
          </w:tcPr>
          <w:p>
            <w:pPr>
              <w:spacing w:before="0" w:after="0" w:line="252" w:lineRule="auto"/>
            </w:pPr>
            <w:r>
              <w:rPr>
                <w:rFonts w:ascii="Consolas" w:hAnsi="Consolas"/>
                <w:color w:val="0F172A"/>
                <w:sz w:val="16"/>
              </w:rPr>
              <w:t>cube(`Sales`, {</w:t>
              <w:br/>
              <w:t xml:space="preserve">  sql_table: `public.sales_summary`,</w:t>
              <w:br/>
              <w:t xml:space="preserve">  measures: {</w:t>
              <w:br/>
              <w:t xml:space="preserve">    totalOrders: { type: `sum`, sql: `${CUBE}.total_orders` },</w:t>
              <w:br/>
              <w:t xml:space="preserve">    totalRevenue: { type: `sum`, sql: `total_revenue` },</w:t>
              <w:br/>
              <w:t xml:space="preserve">    totalProfit: { type: `sum`, sql: `${CUBE}.total_profit` },</w:t>
              <w:br/>
              <w:t xml:space="preserve">    totalCost: { type: `sum`, sql: `${CUBE}.total_cost` },</w:t>
              <w:br/>
              <w:t xml:space="preserve">    totalUnitsSold: { type: `sum`, sql: `${CUBE}.total_units_sold` },</w:t>
              <w:br/>
              <w:t xml:space="preserve">    averageMargin: {</w:t>
              <w:br/>
              <w:t xml:space="preserve">      type: `number`,</w:t>
              <w:br/>
              <w:t xml:space="preserve">      sql: `1.0 * SUM(${CUBE}.total_profit) / NULLIF(SUM(${CUBE}.total_revenue), 0)`,</w:t>
              <w:br/>
              <w:t xml:space="preserve">      format: `percent`</w:t>
              <w:br/>
              <w:t xml:space="preserve">    }</w:t>
              <w:br/>
              <w:t xml:space="preserve">  },</w:t>
              <w:br/>
              <w:t xml:space="preserve">  dimensions: {</w:t>
              <w:br/>
              <w:t xml:space="preserve">    year: { sql: `${CUBE}.year`, type: `number` },</w:t>
              <w:br/>
              <w:t xml:space="preserve">    quarter: { sql: `${CUBE}.quarter`, type: `string` },</w:t>
              <w:br/>
              <w:t xml:space="preserve">    region: { sql: `${CUBE}.region`, type: `string` },</w:t>
              <w:br/>
              <w:t xml:space="preserve">    country: { sql: `${CUBE}.country`, type: `string` },</w:t>
              <w:br/>
              <w:t xml:space="preserve">    product: { sql: `${CUBE}.product`, type: `string` },</w:t>
              <w:br/>
              <w:t xml:space="preserve">    channel: { sql: `${CUBE}.channel`, type: `string` }</w:t>
              <w:br/>
              <w:t xml:space="preserve">  }</w:t>
              <w:br/>
              <w:t>});</w:t>
            </w:r>
          </w:p>
        </w:tc>
      </w:tr>
    </w:tbl>
    <w:p>
      <w:pPr>
        <w:spacing w:before="0" w:after="60"/>
      </w:pPr>
    </w:p>
    <w:p>
      <w:pPr>
        <w:keepNext/>
        <w:spacing w:before="240" w:after="80"/>
      </w:pPr>
      <w:r>
        <w:rPr>
          <w:rFonts w:ascii="Arial" w:hAnsi="Arial"/>
          <w:b/>
          <w:color w:val="1E3A6E"/>
          <w:sz w:val="24"/>
        </w:rPr>
        <w:t>8.3 Core Business Metrics</w:t>
      </w:r>
    </w:p>
    <w:p>
      <w:pPr>
        <w:spacing w:after="80" w:line="276" w:lineRule="auto"/>
      </w:pPr>
      <w:r>
        <w:rPr>
          <w:rFonts w:ascii="Arial" w:hAnsi="Arial"/>
          <w:b/>
          <w:color w:val="192A56"/>
        </w:rPr>
        <w:t xml:space="preserve">Semantic Measures: </w:t>
      </w:r>
      <w:r>
        <w:rPr>
          <w:rFonts w:ascii="Arial" w:hAnsi="Arial"/>
          <w:color w:val="1E293B"/>
          <w:sz w:val="19"/>
        </w:rPr>
        <w:t>Table 8.1: Cube.js Semantic Measures and Analytical Dimensions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2160"/>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Metric / Dimension Name</w:t>
            </w:r>
          </w:p>
        </w:tc>
        <w:tc>
          <w:tcPr>
            <w:tcW w:type="dxa" w:w="1584"/>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Type</w:t>
            </w:r>
          </w:p>
        </w:tc>
        <w:tc>
          <w:tcPr>
            <w:tcW w:type="dxa" w:w="3312"/>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Underlying SQL Definition</w:t>
            </w:r>
          </w:p>
        </w:tc>
        <w:tc>
          <w:tcPr>
            <w:tcW w:type="dxa" w:w="2592"/>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Business Interpretation</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Sales.totalOrders</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Measure (sum)</w:t>
            </w:r>
          </w:p>
        </w:tc>
        <w:tc>
          <w:tcPr>
            <w:tcW w:type="dxa" w:w="3312"/>
            <w:shd w:fill="FFFFFF"/>
            <w:tcMar>
              <w:top w:w="50" w:type="dxa"/>
              <w:bottom w:w="50" w:type="dxa"/>
              <w:left w:w="80" w:type="dxa"/>
              <w:right w:w="80" w:type="dxa"/>
            </w:tcMar>
            <w:vAlign w:val="center"/>
          </w:tcPr>
          <w:p>
            <w:pPr>
              <w:spacing w:before="0" w:after="0" w:line="252" w:lineRule="auto"/>
            </w:pPr>
            <w:r>
              <w:rPr>
                <w:rFonts w:ascii="Arial" w:hAnsi="Arial"/>
                <w:color w:val="1E293B"/>
                <w:sz w:val="14"/>
              </w:rPr>
              <w:t>${CUBE}.total_orders</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Total transaction orders count</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Sales.totalRevenue</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Measure (sum)</w:t>
            </w:r>
          </w:p>
        </w:tc>
        <w:tc>
          <w:tcPr>
            <w:tcW w:type="dxa" w:w="3312"/>
            <w:shd w:fill="F8FAFC"/>
            <w:tcMar>
              <w:top w:w="50" w:type="dxa"/>
              <w:bottom w:w="50" w:type="dxa"/>
              <w:left w:w="80" w:type="dxa"/>
              <w:right w:w="80" w:type="dxa"/>
            </w:tcMar>
            <w:vAlign w:val="center"/>
          </w:tcPr>
          <w:p>
            <w:pPr>
              <w:spacing w:before="0" w:after="0" w:line="252" w:lineRule="auto"/>
            </w:pPr>
            <w:r>
              <w:rPr>
                <w:rFonts w:ascii="Arial" w:hAnsi="Arial"/>
                <w:color w:val="1E293B"/>
                <w:sz w:val="14"/>
              </w:rPr>
              <w:t>total_revenue</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Gross revenue across orders</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Sales.totalProfit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Measure (sum)</w:t>
            </w:r>
          </w:p>
        </w:tc>
        <w:tc>
          <w:tcPr>
            <w:tcW w:type="dxa" w:w="3312"/>
            <w:shd w:fill="FFFFFF"/>
            <w:tcMar>
              <w:top w:w="50" w:type="dxa"/>
              <w:bottom w:w="50" w:type="dxa"/>
              <w:left w:w="80" w:type="dxa"/>
              <w:right w:w="80" w:type="dxa"/>
            </w:tcMar>
            <w:vAlign w:val="center"/>
          </w:tcPr>
          <w:p>
            <w:pPr>
              <w:spacing w:before="0" w:after="0" w:line="252" w:lineRule="auto"/>
            </w:pPr>
            <w:r>
              <w:rPr>
                <w:rFonts w:ascii="Arial" w:hAnsi="Arial"/>
                <w:color w:val="1E293B"/>
                <w:sz w:val="14"/>
              </w:rPr>
              <w:t>${CUBE}.total_profit</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Net gross profit generated</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Sales.totalCost</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Measure (sum)</w:t>
            </w:r>
          </w:p>
        </w:tc>
        <w:tc>
          <w:tcPr>
            <w:tcW w:type="dxa" w:w="3312"/>
            <w:shd w:fill="F8FAFC"/>
            <w:tcMar>
              <w:top w:w="50" w:type="dxa"/>
              <w:bottom w:w="50" w:type="dxa"/>
              <w:left w:w="80" w:type="dxa"/>
              <w:right w:w="80" w:type="dxa"/>
            </w:tcMar>
            <w:vAlign w:val="center"/>
          </w:tcPr>
          <w:p>
            <w:pPr>
              <w:spacing w:before="0" w:after="0" w:line="252" w:lineRule="auto"/>
            </w:pPr>
            <w:r>
              <w:rPr>
                <w:rFonts w:ascii="Arial" w:hAnsi="Arial"/>
                <w:color w:val="1E293B"/>
                <w:sz w:val="14"/>
              </w:rPr>
              <w:t>${CUBE}.total_cost</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Total operating and production costs</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Sales.totalUnitsSold</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Measure (sum)</w:t>
            </w:r>
          </w:p>
        </w:tc>
        <w:tc>
          <w:tcPr>
            <w:tcW w:type="dxa" w:w="3312"/>
            <w:shd w:fill="FFFFFF"/>
            <w:tcMar>
              <w:top w:w="50" w:type="dxa"/>
              <w:bottom w:w="50" w:type="dxa"/>
              <w:left w:w="80" w:type="dxa"/>
              <w:right w:w="80" w:type="dxa"/>
            </w:tcMar>
            <w:vAlign w:val="center"/>
          </w:tcPr>
          <w:p>
            <w:pPr>
              <w:spacing w:before="0" w:after="0" w:line="252" w:lineRule="auto"/>
            </w:pPr>
            <w:r>
              <w:rPr>
                <w:rFonts w:ascii="Arial" w:hAnsi="Arial"/>
                <w:color w:val="1E293B"/>
                <w:sz w:val="14"/>
              </w:rPr>
              <w:t>${CUBE}.total_units_sold</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Total physical units sold</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Sales.averageMargin</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Measure (number)</w:t>
            </w:r>
          </w:p>
        </w:tc>
        <w:tc>
          <w:tcPr>
            <w:tcW w:type="dxa" w:w="3312"/>
            <w:shd w:fill="F8FAFC"/>
            <w:tcMar>
              <w:top w:w="50" w:type="dxa"/>
              <w:bottom w:w="50" w:type="dxa"/>
              <w:left w:w="80" w:type="dxa"/>
              <w:right w:w="80" w:type="dxa"/>
            </w:tcMar>
            <w:vAlign w:val="center"/>
          </w:tcPr>
          <w:p>
            <w:pPr>
              <w:spacing w:before="0" w:after="0" w:line="252" w:lineRule="auto"/>
            </w:pPr>
            <w:r>
              <w:rPr>
                <w:rFonts w:ascii="Arial" w:hAnsi="Arial"/>
                <w:color w:val="1E293B"/>
                <w:sz w:val="14"/>
              </w:rPr>
              <w:t>1.0 * SUM(profit) / NULLIF(SUM(revenue), 0)</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Overall profit margin % (division-by-zero protected)</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Sales.year</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Dimension (number)</w:t>
            </w:r>
          </w:p>
        </w:tc>
        <w:tc>
          <w:tcPr>
            <w:tcW w:type="dxa" w:w="3312"/>
            <w:shd w:fill="FFFFFF"/>
            <w:tcMar>
              <w:top w:w="50" w:type="dxa"/>
              <w:bottom w:w="50" w:type="dxa"/>
              <w:left w:w="80" w:type="dxa"/>
              <w:right w:w="80" w:type="dxa"/>
            </w:tcMar>
            <w:vAlign w:val="center"/>
          </w:tcPr>
          <w:p>
            <w:pPr>
              <w:spacing w:before="0" w:after="0" w:line="252" w:lineRule="auto"/>
            </w:pPr>
            <w:r>
              <w:rPr>
                <w:rFonts w:ascii="Arial" w:hAnsi="Arial"/>
                <w:color w:val="1E293B"/>
                <w:sz w:val="14"/>
              </w:rPr>
              <w:t>${CUBE}.year</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Transaction calendar year</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Sales.quarter</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Dimension (string)</w:t>
            </w:r>
          </w:p>
        </w:tc>
        <w:tc>
          <w:tcPr>
            <w:tcW w:type="dxa" w:w="3312"/>
            <w:shd w:fill="F8FAFC"/>
            <w:tcMar>
              <w:top w:w="50" w:type="dxa"/>
              <w:bottom w:w="50" w:type="dxa"/>
              <w:left w:w="80" w:type="dxa"/>
              <w:right w:w="80" w:type="dxa"/>
            </w:tcMar>
            <w:vAlign w:val="center"/>
          </w:tcPr>
          <w:p>
            <w:pPr>
              <w:spacing w:before="0" w:after="0" w:line="252" w:lineRule="auto"/>
            </w:pPr>
            <w:r>
              <w:rPr>
                <w:rFonts w:ascii="Arial" w:hAnsi="Arial"/>
                <w:color w:val="1E293B"/>
                <w:sz w:val="14"/>
              </w:rPr>
              <w:t>${CUBE}.quarter</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Fiscal quarter (Q1, Q2, Q3, Q4)</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Sales.region</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Dimension (string)</w:t>
            </w:r>
          </w:p>
        </w:tc>
        <w:tc>
          <w:tcPr>
            <w:tcW w:type="dxa" w:w="3312"/>
            <w:shd w:fill="FFFFFF"/>
            <w:tcMar>
              <w:top w:w="50" w:type="dxa"/>
              <w:bottom w:w="50" w:type="dxa"/>
              <w:left w:w="80" w:type="dxa"/>
              <w:right w:w="80" w:type="dxa"/>
            </w:tcMar>
            <w:vAlign w:val="center"/>
          </w:tcPr>
          <w:p>
            <w:pPr>
              <w:spacing w:before="0" w:after="0" w:line="252" w:lineRule="auto"/>
            </w:pPr>
            <w:r>
              <w:rPr>
                <w:rFonts w:ascii="Arial" w:hAnsi="Arial"/>
                <w:color w:val="1E293B"/>
                <w:sz w:val="14"/>
              </w:rPr>
              <w:t>${CUBE}.region</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High-level geographic territory</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Sales.country</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Dimension (string)</w:t>
            </w:r>
          </w:p>
        </w:tc>
        <w:tc>
          <w:tcPr>
            <w:tcW w:type="dxa" w:w="3312"/>
            <w:shd w:fill="F8FAFC"/>
            <w:tcMar>
              <w:top w:w="50" w:type="dxa"/>
              <w:bottom w:w="50" w:type="dxa"/>
              <w:left w:w="80" w:type="dxa"/>
              <w:right w:w="80" w:type="dxa"/>
            </w:tcMar>
            <w:vAlign w:val="center"/>
          </w:tcPr>
          <w:p>
            <w:pPr>
              <w:spacing w:before="0" w:after="0" w:line="252" w:lineRule="auto"/>
            </w:pPr>
            <w:r>
              <w:rPr>
                <w:rFonts w:ascii="Arial" w:hAnsi="Arial"/>
                <w:color w:val="1E293B"/>
                <w:sz w:val="14"/>
              </w:rPr>
              <w:t>${CUBE}.country</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Sovereign nation of sale</w:t>
            </w:r>
          </w:p>
        </w:tc>
      </w:tr>
      <w:tr>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Sales.product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Dimension (string)</w:t>
            </w:r>
          </w:p>
        </w:tc>
        <w:tc>
          <w:tcPr>
            <w:tcW w:type="dxa" w:w="3312"/>
            <w:shd w:fill="FFFFFF"/>
            <w:tcMar>
              <w:top w:w="50" w:type="dxa"/>
              <w:bottom w:w="50" w:type="dxa"/>
              <w:left w:w="80" w:type="dxa"/>
              <w:right w:w="80" w:type="dxa"/>
            </w:tcMar>
            <w:vAlign w:val="center"/>
          </w:tcPr>
          <w:p>
            <w:pPr>
              <w:spacing w:before="0" w:after="0" w:line="252" w:lineRule="auto"/>
            </w:pPr>
            <w:r>
              <w:rPr>
                <w:rFonts w:ascii="Arial" w:hAnsi="Arial"/>
                <w:color w:val="1E293B"/>
                <w:sz w:val="14"/>
              </w:rPr>
              <w:t>${CUBE}.product</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Hardware product classification</w:t>
            </w:r>
          </w:p>
        </w:tc>
      </w:tr>
      <w:tr>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Sales.channel</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Dimension (string)</w:t>
            </w:r>
          </w:p>
        </w:tc>
        <w:tc>
          <w:tcPr>
            <w:tcW w:type="dxa" w:w="3312"/>
            <w:shd w:fill="F8FAFC"/>
            <w:tcMar>
              <w:top w:w="50" w:type="dxa"/>
              <w:bottom w:w="50" w:type="dxa"/>
              <w:left w:w="80" w:type="dxa"/>
              <w:right w:w="80" w:type="dxa"/>
            </w:tcMar>
            <w:vAlign w:val="center"/>
          </w:tcPr>
          <w:p>
            <w:pPr>
              <w:spacing w:before="0" w:after="0" w:line="252" w:lineRule="auto"/>
            </w:pPr>
            <w:r>
              <w:rPr>
                <w:rFonts w:ascii="Arial" w:hAnsi="Arial"/>
                <w:color w:val="1E293B"/>
                <w:sz w:val="14"/>
              </w:rPr>
              <w:t>${CUBE}.channel</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Distribution channel (Online, Retail, Enterprise)</w:t>
            </w:r>
          </w:p>
        </w:tc>
      </w:tr>
    </w:tbl>
    <w:p>
      <w:pPr>
        <w:spacing w:before="0" w:after="80"/>
      </w:pPr>
    </w:p>
    <w:p>
      <w:pPr>
        <w:keepNext/>
        <w:spacing w:before="360" w:after="140"/>
      </w:pPr>
      <w:r>
        <w:rPr>
          <w:rFonts w:ascii="Arial" w:hAnsi="Arial"/>
          <w:b/>
          <w:color w:val="192A56"/>
          <w:sz w:val="32"/>
        </w:rPr>
        <w:t>Chapter 9 — AI Agent and Natural-Language Analytics</w:t>
      </w:r>
    </w:p>
    <w:p>
      <w:pPr>
        <w:keepNext/>
        <w:spacing w:before="240" w:after="80"/>
      </w:pPr>
      <w:r>
        <w:rPr>
          <w:rFonts w:ascii="Arial" w:hAnsi="Arial"/>
          <w:b/>
          <w:color w:val="1E3A6E"/>
          <w:sz w:val="24"/>
        </w:rPr>
        <w:t>9.1 AI Agent Architecture and Workflow</w:t>
      </w:r>
    </w:p>
    <w:p>
      <w:pPr>
        <w:keepNext/>
        <w:spacing w:before="120" w:after="60"/>
        <w:jc w:val="center"/>
      </w:pPr>
      <w:r>
        <w:drawing>
          <wp:inline xmlns:a="http://schemas.openxmlformats.org/drawingml/2006/main" xmlns:pic="http://schemas.openxmlformats.org/drawingml/2006/picture">
            <wp:extent cx="5852160" cy="3458095"/>
            <wp:docPr id="5" name="Picture 5"/>
            <wp:cNvGraphicFramePr>
              <a:graphicFrameLocks noChangeAspect="1"/>
            </wp:cNvGraphicFramePr>
            <a:graphic>
              <a:graphicData uri="http://schemas.openxmlformats.org/drawingml/2006/picture">
                <pic:pic>
                  <pic:nvPicPr>
                    <pic:cNvPr id="0" name="ai_agent_workflow.png"/>
                    <pic:cNvPicPr/>
                  </pic:nvPicPr>
                  <pic:blipFill>
                    <a:blip r:embed="rId15"/>
                    <a:stretch>
                      <a:fillRect/>
                    </a:stretch>
                  </pic:blipFill>
                  <pic:spPr>
                    <a:xfrm>
                      <a:off x="0" y="0"/>
                      <a:ext cx="5852160" cy="3458095"/>
                    </a:xfrm>
                    <a:prstGeom prst="rect"/>
                  </pic:spPr>
                </pic:pic>
              </a:graphicData>
            </a:graphic>
          </wp:inline>
        </w:drawing>
      </w:r>
    </w:p>
    <w:p>
      <w:pPr>
        <w:spacing w:before="0" w:after="160"/>
        <w:jc w:val="center"/>
      </w:pPr>
      <w:r>
        <w:rPr>
          <w:rFonts w:ascii="Arial" w:hAnsi="Arial"/>
          <w:b/>
          <w:i/>
          <w:color w:val="475569"/>
          <w:sz w:val="16"/>
        </w:rPr>
        <w:t>Figure 9.1: AI Agent Natural-Language Processing Sequence</w:t>
      </w:r>
    </w:p>
    <w:p>
      <w:pPr>
        <w:keepNext/>
        <w:spacing w:before="240" w:after="80"/>
      </w:pPr>
      <w:r>
        <w:rPr>
          <w:rFonts w:ascii="Arial" w:hAnsi="Arial"/>
          <w:b/>
          <w:color w:val="1E3A6E"/>
          <w:sz w:val="24"/>
        </w:rPr>
        <w:t>9.2 Schema Contract: schemas.py (SemanticQuery)</w:t>
      </w:r>
    </w:p>
    <w:p>
      <w:pPr>
        <w:spacing w:after="80" w:line="276" w:lineRule="auto"/>
      </w:pPr>
      <w:r>
        <w:rPr>
          <w:rFonts w:ascii="Arial" w:hAnsi="Arial"/>
          <w:color w:val="1E293B"/>
          <w:sz w:val="19"/>
        </w:rPr>
        <w:t>Pydantic model defining measures (list[str]), dimensions (list[str]), filters (dict[str, Any]), and time_range (Optional[str]).</w:t>
      </w:r>
    </w:p>
    <w:p>
      <w:pPr>
        <w:keepNext/>
        <w:spacing w:before="240" w:after="80"/>
      </w:pPr>
      <w:r>
        <w:rPr>
          <w:rFonts w:ascii="Arial" w:hAnsi="Arial"/>
          <w:b/>
          <w:color w:val="1E3A6E"/>
          <w:sz w:val="24"/>
        </w:rPr>
        <w:t>9.3 Intent Parsing and Guardrails: parser.py</w:t>
      </w:r>
    </w:p>
    <w:p>
      <w:pPr>
        <w:spacing w:after="80" w:line="276" w:lineRule="auto"/>
      </w:pPr>
      <w:r>
        <w:rPr>
          <w:rFonts w:ascii="Arial" w:hAnsi="Arial"/>
          <w:color w:val="1E293B"/>
          <w:sz w:val="19"/>
        </w:rPr>
        <w:t>Enforces mandatory measure presence ('revenue'). Extracts country filters and groupings. Crucially, checks query text against 28 Indian states, raising a ValueError because the data mart aggregates at Country/Region level.</w:t>
      </w:r>
    </w:p>
    <w:p>
      <w:pPr>
        <w:keepNext/>
        <w:spacing w:before="240" w:after="80"/>
      </w:pPr>
      <w:r>
        <w:rPr>
          <w:rFonts w:ascii="Arial" w:hAnsi="Arial"/>
          <w:b/>
          <w:color w:val="1E3A6E"/>
          <w:sz w:val="24"/>
        </w:rPr>
        <w:t>9.4 Temporal Arithmetic and Cube Dispatch: tools.py</w:t>
      </w:r>
    </w:p>
    <w:p>
      <w:pPr>
        <w:spacing w:after="80" w:line="276" w:lineRule="auto"/>
      </w:pPr>
      <w:r>
        <w:rPr>
          <w:rFonts w:ascii="Arial" w:hAnsi="Arial"/>
          <w:color w:val="1E293B"/>
          <w:sz w:val="19"/>
        </w:rPr>
        <w:t>Calculates precise ISO date boundaries for phrases like 'last month' or 'last quarter'. Converts SemanticQuery into Cube's REST format and dispatches HTTP POST requests to port 4000.</w:t>
      </w:r>
    </w:p>
    <w:p>
      <w:pPr>
        <w:keepNext/>
        <w:spacing w:before="240" w:after="80"/>
      </w:pPr>
      <w:r>
        <w:rPr>
          <w:rFonts w:ascii="Arial" w:hAnsi="Arial"/>
          <w:b/>
          <w:color w:val="1E3A6E"/>
          <w:sz w:val="24"/>
        </w:rPr>
        <w:t>9.5 Mathematical Reasoning Engine: reasoning.py</w:t>
      </w:r>
    </w:p>
    <w:p>
      <w:pPr>
        <w:spacing w:after="80" w:line="276" w:lineRule="auto"/>
      </w:pPr>
      <w:r>
        <w:rPr>
          <w:rFonts w:ascii="Arial" w:hAnsi="Arial"/>
          <w:color w:val="1E293B"/>
          <w:sz w:val="19"/>
        </w:rPr>
        <w:t>Calculates absolute change, percentage change, and trend direction ('increased', 'decreased', 'unchanged'). Provides mock comparison values for test validation.</w:t>
      </w:r>
    </w:p>
    <w:p>
      <w:pPr>
        <w:keepNext/>
        <w:spacing w:before="240" w:after="80"/>
      </w:pPr>
      <w:r>
        <w:rPr>
          <w:rFonts w:ascii="Arial" w:hAnsi="Arial"/>
          <w:b/>
          <w:color w:val="1E3A6E"/>
          <w:sz w:val="24"/>
        </w:rPr>
        <w:t>9.6 Rule-Based Parsing vs. Generative LLM Orchestration</w:t>
      </w:r>
    </w:p>
    <w:p>
      <w:pPr>
        <w:spacing w:after="80" w:line="276" w:lineRule="auto"/>
      </w:pPr>
      <w:r>
        <w:rPr>
          <w:rFonts w:ascii="Arial" w:hAnsi="Arial"/>
          <w:color w:val="1E293B"/>
          <w:sz w:val="19"/>
        </w:rPr>
        <w:t>The current implementation uses deterministic regex parsing rather than an unconstrained LLM, ensuring predictable behavior, zero token costs, and strict guardrails.</w:t>
      </w:r>
    </w:p>
    <w:p>
      <w:pPr>
        <w:keepNext/>
        <w:spacing w:before="360" w:after="140"/>
      </w:pPr>
      <w:r>
        <w:rPr>
          <w:rFonts w:ascii="Arial" w:hAnsi="Arial"/>
          <w:b/>
          <w:color w:val="192A56"/>
          <w:sz w:val="32"/>
        </w:rPr>
        <w:t>Chapter 10 — Frontend and Dashboard</w:t>
      </w:r>
    </w:p>
    <w:p>
      <w:pPr>
        <w:keepNext/>
        <w:spacing w:before="240" w:after="80"/>
      </w:pPr>
      <w:r>
        <w:rPr>
          <w:rFonts w:ascii="Arial" w:hAnsi="Arial"/>
          <w:b/>
          <w:color w:val="1E3A6E"/>
          <w:sz w:val="24"/>
        </w:rPr>
        <w:t>10.1 Next.js 16 App Router Architecture and Page Hierarchy</w:t>
      </w:r>
    </w:p>
    <w:p>
      <w:pPr>
        <w:spacing w:after="80" w:line="276" w:lineRule="auto"/>
      </w:pPr>
      <w:r>
        <w:rPr>
          <w:rFonts w:ascii="Arial" w:hAnsi="Arial"/>
          <w:color w:val="1E293B"/>
          <w:sz w:val="19"/>
        </w:rPr>
        <w:t>Built with Next.js 16.3.8 App Router, React 19.2.8, TypeScript 5, and Tailwind CSS v4. Organizes components into clean client and server components.</w:t>
      </w:r>
    </w:p>
    <w:p>
      <w:pPr>
        <w:keepNext/>
        <w:spacing w:before="240" w:after="80"/>
      </w:pPr>
      <w:r>
        <w:rPr>
          <w:rFonts w:ascii="Arial" w:hAnsi="Arial"/>
          <w:b/>
          <w:color w:val="1E3A6E"/>
          <w:sz w:val="24"/>
        </w:rPr>
        <w:t>10.2 Conversational Chat Interface &amp; Interactive Navigation</w:t>
      </w:r>
    </w:p>
    <w:p>
      <w:pPr>
        <w:spacing w:after="80" w:line="276" w:lineRule="auto"/>
      </w:pPr>
      <w:r>
        <w:rPr>
          <w:rFonts w:ascii="Arial" w:hAnsi="Arial"/>
          <w:color w:val="1E293B"/>
          <w:sz w:val="19"/>
        </w:rPr>
        <w:t>Features a branded sidebar with recent conversations, a sticky header with connectivity indicators, and starter suggestion cards ('Business Summary', 'Q3 Revenue', 'Cost &amp; Profit').</w:t>
      </w:r>
    </w:p>
    <w:p>
      <w:pPr>
        <w:keepNext/>
        <w:spacing w:before="240" w:after="80"/>
      </w:pPr>
      <w:r>
        <w:rPr>
          <w:rFonts w:ascii="Arial" w:hAnsi="Arial"/>
          <w:b/>
          <w:color w:val="1E3A6E"/>
          <w:sz w:val="24"/>
        </w:rPr>
        <w:t>10.3 Dynamic Chart Visualization (DynamicChart.tsx)</w:t>
      </w:r>
    </w:p>
    <w:p>
      <w:pPr>
        <w:spacing w:after="80" w:line="276" w:lineRule="auto"/>
      </w:pPr>
      <w:r>
        <w:rPr>
          <w:rFonts w:ascii="Arial" w:hAnsi="Arial"/>
          <w:color w:val="1E293B"/>
          <w:sz w:val="19"/>
        </w:rPr>
        <w:t>Wraps Apache ECharts 6.1.0, rendering dynamic bar and line series with rounded corners, custom tooltips, and responsive layout.</w:t>
      </w:r>
    </w:p>
    <w:p>
      <w:pPr>
        <w:keepNext/>
        <w:spacing w:before="240" w:after="80"/>
      </w:pPr>
      <w:r>
        <w:rPr>
          <w:rFonts w:ascii="Arial" w:hAnsi="Arial"/>
          <w:b/>
          <w:color w:val="1E3A6E"/>
          <w:sz w:val="24"/>
        </w:rPr>
        <w:t>10.4 Query Transparency Drawers: 'View API Call' and 'View SQL'</w:t>
      </w:r>
    </w:p>
    <w:p>
      <w:pPr>
        <w:spacing w:after="80" w:line="276" w:lineRule="auto"/>
      </w:pPr>
      <w:r>
        <w:rPr>
          <w:rFonts w:ascii="Arial" w:hAnsi="Arial"/>
          <w:color w:val="1E293B"/>
          <w:sz w:val="19"/>
        </w:rPr>
        <w:t>Every assistant response with a chart provides toggle buttons revealing the exact REST endpoint parameters and SQL queries backing the visualization.</w:t>
      </w:r>
    </w:p>
    <w:p>
      <w:pPr>
        <w:keepNext/>
        <w:spacing w:before="240" w:after="80"/>
      </w:pPr>
      <w:r>
        <w:rPr>
          <w:rFonts w:ascii="Arial" w:hAnsi="Arial"/>
          <w:b/>
          <w:color w:val="1E3A6E"/>
          <w:sz w:val="24"/>
        </w:rPr>
        <w:t>10.5 Verified Production Build Status (Next.js Turbopack)</w:t>
      </w:r>
    </w:p>
    <w:tbl>
      <w:tblPr>
        <w:tblW w:type="auto" w:w="0"/>
        <w:jc w:val="center"/>
        <w:tblLook w:firstColumn="1" w:firstRow="1" w:lastColumn="0" w:lastRow="0" w:noHBand="0" w:noVBand="1" w:val="04A0"/>
      </w:tblPr>
      <w:tblGrid>
        <w:gridCol w:w="9648"/>
      </w:tblGrid>
      <w:tr>
        <w:tc>
          <w:tcPr>
            <w:tcW w:type="dxa" w:w="9648"/>
            <w:shd w:fill="EFF6FF"/>
            <w:tcMar>
              <w:top w:w="80" w:type="dxa"/>
              <w:bottom w:w="80" w:type="dxa"/>
              <w:left w:w="120" w:type="dxa"/>
              <w:right w:w="120" w:type="dxa"/>
            </w:tcMar>
            <w:tcBorders>
              <w:top w:val="none"/>
              <w:left w:val="single" w:sz="24" w:space="0" w:color="2563EB"/>
              <w:bottom w:val="none"/>
              <w:right w:val="none"/>
            </w:tcBorders>
          </w:tcPr>
          <w:p>
            <w:pPr>
              <w:spacing w:before="0" w:after="0" w:line="276" w:lineRule="auto"/>
            </w:pPr>
            <w:r>
              <w:rPr>
                <w:rFonts w:ascii="Arial" w:hAnsi="Arial"/>
                <w:b/>
                <w:color w:val="1D4ED8"/>
                <w:sz w:val="17"/>
              </w:rPr>
              <w:t xml:space="preserve">[VERIFIED BUILD CHECK] </w:t>
            </w:r>
            <w:r>
              <w:rPr>
                <w:rFonts w:ascii="Arial" w:hAnsi="Arial"/>
                <w:color w:val="1E293B"/>
                <w:sz w:val="17"/>
              </w:rPr>
              <w:t>Production build verified with Next.js 16.3.8 Turbopack: Compiled successfully in 1.66s, finished TypeScript in 3.0s with zero errors. All 4 static app routes generated successfully.</w:t>
            </w:r>
          </w:p>
        </w:tc>
      </w:tr>
    </w:tbl>
    <w:p>
      <w:pPr>
        <w:spacing w:before="0" w:after="60"/>
      </w:pPr>
    </w:p>
    <w:p>
      <w:pPr>
        <w:keepNext/>
        <w:spacing w:before="360" w:after="140"/>
      </w:pPr>
      <w:r>
        <w:rPr>
          <w:rFonts w:ascii="Arial" w:hAnsi="Arial"/>
          <w:b/>
          <w:color w:val="192A56"/>
          <w:sz w:val="32"/>
        </w:rPr>
        <w:t>Chapter 11 — Implementation and Integration</w:t>
      </w:r>
    </w:p>
    <w:p>
      <w:pPr>
        <w:keepNext/>
        <w:spacing w:before="240" w:after="80"/>
      </w:pPr>
      <w:r>
        <w:rPr>
          <w:rFonts w:ascii="Arial" w:hAnsi="Arial"/>
          <w:b/>
          <w:color w:val="1E3A6E"/>
          <w:sz w:val="24"/>
        </w:rPr>
        <w:t>11.1 End-to-End Execution Trace</w:t>
      </w:r>
    </w:p>
    <w:p>
      <w:pPr>
        <w:spacing w:after="80" w:line="276" w:lineRule="auto"/>
      </w:pPr>
      <w:r>
        <w:rPr>
          <w:rFonts w:ascii="Arial" w:hAnsi="Arial"/>
          <w:color w:val="1E293B"/>
          <w:sz w:val="19"/>
        </w:rPr>
        <w:t>Traces the full data flow from CSV dataset to PostgreSQL tables, dbt transformations, Cube semantic modeling, AI agent parsing, and Next.js conversational rendering.</w:t>
      </w:r>
    </w:p>
    <w:p>
      <w:pPr>
        <w:keepNext/>
        <w:spacing w:before="240" w:after="80"/>
      </w:pPr>
      <w:r>
        <w:rPr>
          <w:rFonts w:ascii="Arial" w:hAnsi="Arial"/>
          <w:b/>
          <w:color w:val="1E3A6E"/>
          <w:sz w:val="24"/>
        </w:rPr>
        <w:t>11.2 Key Source Code Implementations with Paths</w:t>
      </w:r>
    </w:p>
    <w:p>
      <w:pPr>
        <w:spacing w:after="80" w:line="276" w:lineRule="auto"/>
      </w:pPr>
      <w:r>
        <w:rPr>
          <w:rFonts w:ascii="Arial" w:hAnsi="Arial"/>
          <w:color w:val="1E293B"/>
          <w:sz w:val="19"/>
        </w:rPr>
        <w:t>Key source files verified in the workspace: backend/main.py, cube/model/Sales.js, metricmind_dbt/models/marts/sales_summary.sql, ai_agentllm/parser.py, and frontend/app/page.tsx.</w:t>
      </w:r>
    </w:p>
    <w:p>
      <w:pPr>
        <w:keepNext/>
        <w:spacing w:before="240" w:after="80"/>
      </w:pPr>
      <w:r>
        <w:rPr>
          <w:rFonts w:ascii="Arial" w:hAnsi="Arial"/>
          <w:b/>
          <w:color w:val="1E3A6E"/>
          <w:sz w:val="24"/>
        </w:rPr>
        <w:t>11.3 Integration Points and Data Boundaries</w:t>
      </w:r>
    </w:p>
    <w:p>
      <w:pPr>
        <w:spacing w:after="80" w:line="276" w:lineRule="auto"/>
      </w:pPr>
      <w:r>
        <w:rPr>
          <w:rFonts w:ascii="Arial" w:hAnsi="Arial"/>
          <w:color w:val="1E293B"/>
          <w:sz w:val="19"/>
        </w:rPr>
        <w:t>All integration boundaries use standardized HTTP REST and SQL interfaces.</w:t>
      </w:r>
    </w:p>
    <w:p>
      <w:pPr>
        <w:keepNext/>
        <w:spacing w:before="240" w:after="80"/>
      </w:pPr>
      <w:r>
        <w:rPr>
          <w:rFonts w:ascii="Arial" w:hAnsi="Arial"/>
          <w:b/>
          <w:color w:val="1E3A6E"/>
          <w:sz w:val="24"/>
        </w:rPr>
        <w:t>11.4 Demonstration Simulation Boundary vs. Target State</w:t>
      </w:r>
    </w:p>
    <w:p>
      <w:pPr>
        <w:spacing w:after="80" w:line="276" w:lineRule="auto"/>
      </w:pPr>
      <w:r>
        <w:rPr>
          <w:rFonts w:ascii="Arial" w:hAnsi="Arial"/>
          <w:color w:val="1E293B"/>
          <w:sz w:val="19"/>
        </w:rPr>
        <w:t>In frontend/app/page.tsx, handleSend executes a simulated 1-second demo response illustrating European sales, a bar chart, API parameters, and SQL query text, awaiting direct wire-up to the live FastAPI gateway.</w:t>
      </w:r>
    </w:p>
    <w:p>
      <w:pPr>
        <w:keepNext/>
        <w:spacing w:before="360" w:after="140"/>
      </w:pPr>
      <w:r>
        <w:rPr>
          <w:rFonts w:ascii="Arial" w:hAnsi="Arial"/>
          <w:b/>
          <w:color w:val="192A56"/>
          <w:sz w:val="32"/>
        </w:rPr>
        <w:t>Chapter 12 — Testing and Validation</w:t>
      </w:r>
    </w:p>
    <w:p>
      <w:pPr>
        <w:keepNext/>
        <w:spacing w:before="240" w:after="80"/>
      </w:pPr>
      <w:r>
        <w:rPr>
          <w:rFonts w:ascii="Arial" w:hAnsi="Arial"/>
          <w:b/>
          <w:color w:val="1E3A6E"/>
          <w:sz w:val="24"/>
        </w:rPr>
        <w:t>12.1 Testing Methodology and Environmental Setup</w:t>
      </w:r>
    </w:p>
    <w:p>
      <w:pPr>
        <w:spacing w:after="80" w:line="276" w:lineRule="auto"/>
      </w:pPr>
      <w:r>
        <w:rPr>
          <w:rFonts w:ascii="Arial" w:hAnsi="Arial"/>
          <w:color w:val="1E293B"/>
          <w:sz w:val="19"/>
        </w:rPr>
        <w:t>Testing was conducted in the project virtual environment (.venv) using automated unit tests, endpoint checks, and production build compilations.</w:t>
      </w:r>
    </w:p>
    <w:p>
      <w:pPr>
        <w:keepNext/>
        <w:spacing w:before="240" w:after="80"/>
      </w:pPr>
      <w:r>
        <w:rPr>
          <w:rFonts w:ascii="Arial" w:hAnsi="Arial"/>
          <w:b/>
          <w:color w:val="1E3A6E"/>
          <w:sz w:val="24"/>
        </w:rPr>
        <w:t>12.2 Automated AI Agent Unit Test Execution</w:t>
      </w:r>
    </w:p>
    <w:p>
      <w:pPr>
        <w:spacing w:after="80" w:line="276" w:lineRule="auto"/>
      </w:pPr>
      <w:r>
        <w:rPr>
          <w:rFonts w:ascii="Arial" w:hAnsi="Arial"/>
          <w:b/>
          <w:color w:val="192A56"/>
        </w:rPr>
        <w:t xml:space="preserve">Unit Test Log: </w:t>
      </w:r>
      <w:r>
        <w:rPr>
          <w:rFonts w:ascii="Arial" w:hAnsi="Arial"/>
          <w:color w:val="1E293B"/>
          <w:sz w:val="19"/>
        </w:rPr>
        <w:t>Table 12.1: Automated AI Agent Unit Test Execution Matrix (ai_agentllm/)</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608"/>
        <w:gridCol w:w="1608"/>
        <w:gridCol w:w="1608"/>
        <w:gridCol w:w="1608"/>
        <w:gridCol w:w="1608"/>
        <w:gridCol w:w="1608"/>
      </w:tblGrid>
      <w:tr>
        <w:tc>
          <w:tcPr>
            <w:tcW w:type="dxa" w:w="129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Test ID</w:t>
            </w:r>
          </w:p>
        </w:tc>
        <w:tc>
          <w:tcPr>
            <w:tcW w:type="dxa" w:w="1728"/>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Test Category</w:t>
            </w:r>
          </w:p>
        </w:tc>
        <w:tc>
          <w:tcPr>
            <w:tcW w:type="dxa" w:w="1584"/>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Component</w:t>
            </w:r>
          </w:p>
        </w:tc>
        <w:tc>
          <w:tcPr>
            <w:tcW w:type="dxa" w:w="2160"/>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Test Method Name</w:t>
            </w:r>
          </w:p>
        </w:tc>
        <w:tc>
          <w:tcPr>
            <w:tcW w:type="dxa" w:w="2592"/>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Verified Scenario</w:t>
            </w:r>
          </w:p>
        </w:tc>
        <w:tc>
          <w:tcPr>
            <w:tcW w:type="dxa" w:w="864"/>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Result</w:t>
            </w:r>
          </w:p>
        </w:tc>
      </w:tr>
      <w:tr>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TC-AI-01</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parser.py</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test_revenue_by_country</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Parses 'Show revenue by country' -&gt; Sales.revenue, Sales.country</w:t>
            </w:r>
          </w:p>
        </w:tc>
        <w:tc>
          <w:tcPr>
            <w:tcW w:type="dxa" w:w="864"/>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TC-AI-02</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parser.py</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test_revenue_for_india</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Parses 'Show revenue for India' -&gt; country filter 'India'</w:t>
            </w:r>
          </w:p>
        </w:tc>
        <w:tc>
          <w:tcPr>
            <w:tcW w:type="dxa" w:w="864"/>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TC-AI-03</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parser.py</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test_revenue_last_month</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Parses 'Show revenue last month' -&gt; time_range 'last month'</w:t>
            </w:r>
          </w:p>
        </w:tc>
        <w:tc>
          <w:tcPr>
            <w:tcW w:type="dxa" w:w="864"/>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TC-AI-04</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parser.py</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test_revenue_by_month</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Parses 'Show revenue by month' -&gt; dimension Sales.orderDate</w:t>
            </w:r>
          </w:p>
        </w:tc>
        <w:tc>
          <w:tcPr>
            <w:tcW w:type="dxa" w:w="864"/>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TC-AI-05</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parser.py</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test_unsupported_state</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Asserts ValueError when query includes Indian states</w:t>
            </w:r>
          </w:p>
        </w:tc>
        <w:tc>
          <w:tcPr>
            <w:tcW w:type="dxa" w:w="864"/>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TC-AI-06</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parser.py</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test_missing_measure</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Asserts ValueError when prompt lacks 'revenue'</w:t>
            </w:r>
          </w:p>
        </w:tc>
        <w:tc>
          <w:tcPr>
            <w:tcW w:type="dxa" w:w="864"/>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TC-AI-07</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tools.py</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test_revenue_query_payload</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Mocks Cube API POST request, validates JSON structure</w:t>
            </w:r>
          </w:p>
        </w:tc>
        <w:tc>
          <w:tcPr>
            <w:tcW w:type="dxa" w:w="864"/>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TC-AI-08</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tools.py</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test_last_month_date_range</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Validates 2-element date list starting on 1st of last month</w:t>
            </w:r>
          </w:p>
        </w:tc>
        <w:tc>
          <w:tcPr>
            <w:tcW w:type="dxa" w:w="864"/>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FFFFF"/>
            <w:tcMar>
              <w:top w:w="50" w:type="dxa"/>
              <w:bottom w:w="50" w:type="dxa"/>
              <w:left w:w="80" w:type="dxa"/>
              <w:right w:w="80" w:type="dxa"/>
            </w:tcMar>
            <w:vAlign w:val="center"/>
          </w:tcPr>
          <w:p>
            <w:pPr>
              <w:spacing w:before="0" w:after="0" w:line="252" w:lineRule="auto"/>
            </w:pPr>
            <w:r>
              <w:rPr>
                <w:rFonts w:ascii="Arial" w:hAnsi="Arial"/>
                <w:color w:val="1E293B"/>
                <w:sz w:val="14"/>
              </w:rPr>
              <w:t>TC-AI-09</w:t>
            </w:r>
          </w:p>
        </w:tc>
        <w:tc>
          <w:tcPr>
            <w:tcW w:type="dxa" w:w="1728"/>
            <w:shd w:fill="FFFFFF"/>
            <w:tcMar>
              <w:top w:w="50" w:type="dxa"/>
              <w:bottom w:w="50" w:type="dxa"/>
              <w:left w:w="80" w:type="dxa"/>
              <w:right w:w="80" w:type="dxa"/>
            </w:tcMar>
            <w:vAlign w:val="center"/>
          </w:tcPr>
          <w:p>
            <w:pPr>
              <w:spacing w:before="0" w:after="0" w:line="252" w:lineRule="auto"/>
            </w:pPr>
            <w:r>
              <w:rPr>
                <w:rFonts w:ascii="Arial" w:hAnsi="Arial"/>
                <w:color w:val="1E293B"/>
                <w:sz w:val="14"/>
              </w:rPr>
              <w:t>Automated Unit</w:t>
            </w:r>
          </w:p>
        </w:tc>
        <w:tc>
          <w:tcPr>
            <w:tcW w:type="dxa" w:w="1584"/>
            <w:shd w:fill="FFFFFF"/>
            <w:tcMar>
              <w:top w:w="50" w:type="dxa"/>
              <w:bottom w:w="50" w:type="dxa"/>
              <w:left w:w="80" w:type="dxa"/>
              <w:right w:w="80" w:type="dxa"/>
            </w:tcMar>
            <w:vAlign w:val="center"/>
          </w:tcPr>
          <w:p>
            <w:pPr>
              <w:spacing w:before="0" w:after="0" w:line="252" w:lineRule="auto"/>
            </w:pPr>
            <w:r>
              <w:rPr>
                <w:rFonts w:ascii="Arial" w:hAnsi="Arial"/>
                <w:color w:val="1E293B"/>
                <w:sz w:val="14"/>
              </w:rPr>
              <w:t>tools.py</w:t>
            </w:r>
          </w:p>
        </w:tc>
        <w:tc>
          <w:tcPr>
            <w:tcW w:type="dxa" w:w="2160"/>
            <w:shd w:fill="FFFFFF"/>
            <w:tcMar>
              <w:top w:w="50" w:type="dxa"/>
              <w:bottom w:w="50" w:type="dxa"/>
              <w:left w:w="80" w:type="dxa"/>
              <w:right w:w="80" w:type="dxa"/>
            </w:tcMar>
            <w:vAlign w:val="center"/>
          </w:tcPr>
          <w:p>
            <w:pPr>
              <w:spacing w:before="0" w:after="0" w:line="252" w:lineRule="auto"/>
            </w:pPr>
            <w:r>
              <w:rPr>
                <w:rFonts w:ascii="Arial" w:hAnsi="Arial"/>
                <w:color w:val="1E293B"/>
                <w:sz w:val="14"/>
              </w:rPr>
              <w:t>test_unknown_time_range</w:t>
            </w:r>
          </w:p>
        </w:tc>
        <w:tc>
          <w:tcPr>
            <w:tcW w:type="dxa" w:w="2592"/>
            <w:shd w:fill="FFFFFF"/>
            <w:tcMar>
              <w:top w:w="50" w:type="dxa"/>
              <w:bottom w:w="50" w:type="dxa"/>
              <w:left w:w="80" w:type="dxa"/>
              <w:right w:w="80" w:type="dxa"/>
            </w:tcMar>
            <w:vAlign w:val="center"/>
          </w:tcPr>
          <w:p>
            <w:pPr>
              <w:spacing w:before="0" w:after="0" w:line="252" w:lineRule="auto"/>
            </w:pPr>
            <w:r>
              <w:rPr>
                <w:rFonts w:ascii="Arial" w:hAnsi="Arial"/>
                <w:color w:val="1E293B"/>
                <w:sz w:val="14"/>
              </w:rPr>
              <w:t>Asserts None when time range is None</w:t>
            </w:r>
          </w:p>
        </w:tc>
        <w:tc>
          <w:tcPr>
            <w:tcW w:type="dxa" w:w="864"/>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r>
        <w:tc>
          <w:tcPr>
            <w:tcW w:type="dxa" w:w="1296"/>
            <w:shd w:fill="F8FAFC"/>
            <w:tcMar>
              <w:top w:w="50" w:type="dxa"/>
              <w:bottom w:w="50" w:type="dxa"/>
              <w:left w:w="80" w:type="dxa"/>
              <w:right w:w="80" w:type="dxa"/>
            </w:tcMar>
            <w:vAlign w:val="center"/>
          </w:tcPr>
          <w:p>
            <w:pPr>
              <w:spacing w:before="0" w:after="0" w:line="252" w:lineRule="auto"/>
            </w:pPr>
            <w:r>
              <w:rPr>
                <w:rFonts w:ascii="Arial" w:hAnsi="Arial"/>
                <w:color w:val="1E293B"/>
                <w:sz w:val="14"/>
              </w:rPr>
              <w:t>TC-AI-10</w:t>
            </w:r>
          </w:p>
        </w:tc>
        <w:tc>
          <w:tcPr>
            <w:tcW w:type="dxa" w:w="1728"/>
            <w:shd w:fill="F8FAFC"/>
            <w:tcMar>
              <w:top w:w="50" w:type="dxa"/>
              <w:bottom w:w="50" w:type="dxa"/>
              <w:left w:w="80" w:type="dxa"/>
              <w:right w:w="80" w:type="dxa"/>
            </w:tcMar>
            <w:vAlign w:val="center"/>
          </w:tcPr>
          <w:p>
            <w:pPr>
              <w:spacing w:before="0" w:after="0" w:line="252" w:lineRule="auto"/>
            </w:pPr>
            <w:r>
              <w:rPr>
                <w:rFonts w:ascii="Arial" w:hAnsi="Arial"/>
                <w:color w:val="1E293B"/>
                <w:sz w:val="14"/>
              </w:rPr>
              <w:t>Standalone Script</w:t>
            </w:r>
          </w:p>
        </w:tc>
        <w:tc>
          <w:tcPr>
            <w:tcW w:type="dxa" w:w="1584"/>
            <w:shd w:fill="F8FAFC"/>
            <w:tcMar>
              <w:top w:w="50" w:type="dxa"/>
              <w:bottom w:w="50" w:type="dxa"/>
              <w:left w:w="80" w:type="dxa"/>
              <w:right w:w="80" w:type="dxa"/>
            </w:tcMar>
            <w:vAlign w:val="center"/>
          </w:tcPr>
          <w:p>
            <w:pPr>
              <w:spacing w:before="0" w:after="0" w:line="252" w:lineRule="auto"/>
            </w:pPr>
            <w:r>
              <w:rPr>
                <w:rFonts w:ascii="Arial" w:hAnsi="Arial"/>
                <w:color w:val="1E293B"/>
                <w:sz w:val="14"/>
              </w:rPr>
              <w:t>reasoning.py</w:t>
            </w:r>
          </w:p>
        </w:tc>
        <w:tc>
          <w:tcPr>
            <w:tcW w:type="dxa" w:w="2160"/>
            <w:shd w:fill="F8FAFC"/>
            <w:tcMar>
              <w:top w:w="50" w:type="dxa"/>
              <w:bottom w:w="50" w:type="dxa"/>
              <w:left w:w="80" w:type="dxa"/>
              <w:right w:w="80" w:type="dxa"/>
            </w:tcMar>
            <w:vAlign w:val="center"/>
          </w:tcPr>
          <w:p>
            <w:pPr>
              <w:spacing w:before="0" w:after="0" w:line="252" w:lineRule="auto"/>
            </w:pPr>
            <w:r>
              <w:rPr>
                <w:rFonts w:ascii="Arial" w:hAnsi="Arial"/>
                <w:color w:val="1E293B"/>
                <w:sz w:val="14"/>
              </w:rPr>
              <w:t>test_reasoning script</w:t>
            </w:r>
          </w:p>
        </w:tc>
        <w:tc>
          <w:tcPr>
            <w:tcW w:type="dxa" w:w="2592"/>
            <w:shd w:fill="F8FAFC"/>
            <w:tcMar>
              <w:top w:w="50" w:type="dxa"/>
              <w:bottom w:w="50" w:type="dxa"/>
              <w:left w:w="80" w:type="dxa"/>
              <w:right w:w="80" w:type="dxa"/>
            </w:tcMar>
            <w:vAlign w:val="center"/>
          </w:tcPr>
          <w:p>
            <w:pPr>
              <w:spacing w:before="0" w:after="0" w:line="252" w:lineRule="auto"/>
            </w:pPr>
            <w:r>
              <w:rPr>
                <w:rFonts w:ascii="Arial" w:hAnsi="Arial"/>
                <w:color w:val="1E293B"/>
                <w:sz w:val="14"/>
              </w:rPr>
              <w:t>Computes delta: 100k to 125k -&gt; +25k (+25.0%, increased)</w:t>
            </w:r>
          </w:p>
        </w:tc>
        <w:tc>
          <w:tcPr>
            <w:tcW w:type="dxa" w:w="864"/>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fill="EFF6FF"/>
            <w:tcMar>
              <w:top w:w="80" w:type="dxa"/>
              <w:bottom w:w="80" w:type="dxa"/>
              <w:left w:w="120" w:type="dxa"/>
              <w:right w:w="120" w:type="dxa"/>
            </w:tcMar>
            <w:tcBorders>
              <w:top w:val="none"/>
              <w:left w:val="single" w:sz="24" w:space="0" w:color="2563EB"/>
              <w:bottom w:val="none"/>
              <w:right w:val="none"/>
            </w:tcBorders>
          </w:tcPr>
          <w:p>
            <w:pPr>
              <w:spacing w:before="0" w:after="0" w:line="276" w:lineRule="auto"/>
            </w:pPr>
            <w:r>
              <w:rPr>
                <w:rFonts w:ascii="Arial" w:hAnsi="Arial"/>
                <w:b/>
                <w:color w:val="1D4ED8"/>
                <w:sz w:val="17"/>
              </w:rPr>
              <w:t xml:space="preserve">[VERIFIED TEST EXECUTION] </w:t>
            </w:r>
            <w:r>
              <w:rPr>
                <w:rFonts w:ascii="Arial" w:hAnsi="Arial"/>
                <w:color w:val="1E293B"/>
                <w:sz w:val="17"/>
              </w:rPr>
              <w:t>Automated unit test execution: Ran 9 automated tests discovered by unittest in 0.008s across ai_agentllm test files with 100% pass rate (0 failures, 0 errors). Standalone script test_reasoning.py verified independently.</w:t>
            </w:r>
          </w:p>
        </w:tc>
      </w:tr>
    </w:tbl>
    <w:p>
      <w:pPr>
        <w:spacing w:before="0" w:after="60"/>
      </w:pPr>
    </w:p>
    <w:p>
      <w:pPr>
        <w:keepNext/>
        <w:spacing w:before="240" w:after="80"/>
      </w:pPr>
      <w:r>
        <w:rPr>
          <w:rFonts w:ascii="Arial" w:hAnsi="Arial"/>
          <w:b/>
          <w:color w:val="1E3A6E"/>
          <w:sz w:val="24"/>
        </w:rPr>
        <w:t>12.3 Multi-Tier System Verification Matrix</w:t>
      </w:r>
    </w:p>
    <w:p>
      <w:pPr>
        <w:spacing w:after="80" w:line="276" w:lineRule="auto"/>
      </w:pPr>
      <w:r>
        <w:rPr>
          <w:rFonts w:ascii="Arial" w:hAnsi="Arial"/>
          <w:b/>
          <w:color w:val="192A56"/>
        </w:rPr>
        <w:t xml:space="preserve">System Verification Matrix: </w:t>
      </w:r>
      <w:r>
        <w:rPr>
          <w:rFonts w:ascii="Arial" w:hAnsi="Arial"/>
          <w:color w:val="1E293B"/>
          <w:sz w:val="19"/>
        </w:rPr>
        <w:t>Table 12.2: Multi-Tier System Verification and Build Execution Matrix</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201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Verification Scope</w:t>
            </w:r>
          </w:p>
        </w:tc>
        <w:tc>
          <w:tcPr>
            <w:tcW w:type="dxa" w:w="2880"/>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Executed Command</w:t>
            </w:r>
          </w:p>
        </w:tc>
        <w:tc>
          <w:tcPr>
            <w:tcW w:type="dxa" w:w="201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Environment / Target</w:t>
            </w:r>
          </w:p>
        </w:tc>
        <w:tc>
          <w:tcPr>
            <w:tcW w:type="dxa" w:w="273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Verified Execution Outcome</w:t>
            </w:r>
          </w:p>
        </w:tc>
      </w:tr>
      <w:tr>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AI Agent Unit Tests</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.venv\Scripts\python -m unittest discover -s ai_agentllm -v</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Python 3.10.11 / .venv</w:t>
            </w:r>
          </w:p>
        </w:tc>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 9 tests in 0.008s; 0 failures, 0 errors.</w:t>
            </w:r>
          </w:p>
        </w:tc>
      </w:tr>
      <w:tr>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AI Agent Reasoning</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.venv\Scripts\python ai_agentllm/test_reasoning.py</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Python 3.10.11 / .venv</w:t>
            </w:r>
          </w:p>
        </w:tc>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 Delta calculated: +25k (+25.0%, increased).</w:t>
            </w:r>
          </w:p>
        </w:tc>
      </w:tr>
      <w:tr>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dbt Project Parsing</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dbt parse</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metricmind_dbt / dbt 1.10.13</w:t>
            </w:r>
          </w:p>
        </w:tc>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 Project parsed in 5.0s; postgres adapter 1.9.0.</w:t>
            </w:r>
          </w:p>
        </w:tc>
      </w:tr>
      <w:tr>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dbt Model Compilation</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dbt compile</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metricmind_dbt / dbt 1.10.13</w:t>
            </w:r>
          </w:p>
        </w:tc>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 2 models, 2 analyses, 2 tests, 1 source, 475 macros.</w:t>
            </w:r>
          </w:p>
        </w:tc>
      </w:tr>
      <w:tr>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dbt Data Tests</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dbt test</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PostgreSQL metricmind</w:t>
            </w:r>
          </w:p>
        </w:tc>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 2 tests passed in 0.64s (not_null &amp; unique).</w:t>
            </w:r>
          </w:p>
        </w:tc>
      </w:tr>
      <w:tr>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dbt View Creation</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dbt run</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PostgreSQL metricmind</w:t>
            </w:r>
          </w:p>
        </w:tc>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 2 views created in 0.84s (stg_raw_sales, sales_summary).</w:t>
            </w:r>
          </w:p>
        </w:tc>
      </w:tr>
      <w:tr>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Frontend Production Build</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npm --prefix frontend run build</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Next.js 16.3.8 (Turbopack)</w:t>
            </w:r>
          </w:p>
        </w:tc>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 Compiled in 1.66s; TypeScript 3.0s; 0 errors.</w:t>
            </w:r>
          </w:p>
        </w:tc>
      </w:tr>
      <w:tr>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Frontend ESLint Check</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node_modules\.bin\eslint.cmd app/</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ESLint 9.0 (Flat Config)</w:t>
            </w:r>
          </w:p>
        </w:tc>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 0 errors, 2 warnings (unused variables in page.tsx).</w:t>
            </w:r>
          </w:p>
        </w:tc>
      </w:tr>
      <w:tr>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Backend Root API</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client.get('/') (TestClient)</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FastAPI 0.143.0</w:t>
            </w:r>
          </w:p>
        </w:tc>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PASSED: HTTP 200 OK: {'message': 'MetricMind API is running'}.</w:t>
            </w:r>
          </w:p>
        </w:tc>
      </w:tr>
      <w:tr>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Backend Summary API</w:t>
            </w:r>
          </w:p>
        </w:tc>
        <w:tc>
          <w:tcPr>
            <w:tcW w:type="dxa" w:w="2880"/>
            <w:shd w:fill="F8FAFC"/>
            <w:tcMar>
              <w:top w:w="50" w:type="dxa"/>
              <w:bottom w:w="50" w:type="dxa"/>
              <w:left w:w="80" w:type="dxa"/>
              <w:right w:w="80" w:type="dxa"/>
            </w:tcMar>
            <w:vAlign w:val="center"/>
          </w:tcPr>
          <w:p>
            <w:pPr>
              <w:spacing w:before="0" w:after="0" w:line="252" w:lineRule="auto"/>
            </w:pPr>
            <w:r>
              <w:rPr>
                <w:rFonts w:ascii="Arial" w:hAnsi="Arial"/>
                <w:color w:val="1E293B"/>
                <w:sz w:val="14"/>
              </w:rPr>
              <w:t>client.get('/summary') (TestClient)</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FastAPI 0.143.0</w:t>
            </w:r>
          </w:p>
        </w:tc>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PASSED: HTTP 200 OK: 5,000 orders, 1.03B rev, 306.2M profit.</w:t>
            </w:r>
          </w:p>
        </w:tc>
      </w:tr>
      <w:tr>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Backend dbt Mart API</w:t>
            </w:r>
          </w:p>
        </w:tc>
        <w:tc>
          <w:tcPr>
            <w:tcW w:type="dxa" w:w="2880"/>
            <w:shd w:fill="FFFFFF"/>
            <w:tcMar>
              <w:top w:w="50" w:type="dxa"/>
              <w:bottom w:w="50" w:type="dxa"/>
              <w:left w:w="80" w:type="dxa"/>
              <w:right w:w="80" w:type="dxa"/>
            </w:tcMar>
            <w:vAlign w:val="center"/>
          </w:tcPr>
          <w:p>
            <w:pPr>
              <w:spacing w:before="0" w:after="0" w:line="252" w:lineRule="auto"/>
            </w:pPr>
            <w:r>
              <w:rPr>
                <w:rFonts w:ascii="Arial" w:hAnsi="Arial"/>
                <w:color w:val="1E293B"/>
                <w:sz w:val="14"/>
              </w:rPr>
              <w:t>client.get('/dbt/sales-summary')</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FastAPI 0.143.0</w:t>
            </w:r>
          </w:p>
        </w:tc>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MASKED 500: Database error safely masked without leaking info.</w:t>
            </w:r>
          </w:p>
        </w:tc>
      </w:tr>
    </w:tbl>
    <w:p>
      <w:pPr>
        <w:spacing w:before="0" w:after="80"/>
      </w:pPr>
    </w:p>
    <w:p>
      <w:pPr>
        <w:keepNext/>
        <w:spacing w:before="240" w:after="80"/>
      </w:pPr>
      <w:r>
        <w:rPr>
          <w:rFonts w:ascii="Arial" w:hAnsi="Arial"/>
          <w:b/>
          <w:color w:val="1E3A6E"/>
          <w:sz w:val="24"/>
        </w:rPr>
        <w:t>12.4 API Endpoint Validation and Edge Case Handling</w:t>
      </w:r>
    </w:p>
    <w:p>
      <w:pPr>
        <w:spacing w:after="80" w:line="276" w:lineRule="auto"/>
      </w:pPr>
      <w:r>
        <w:rPr>
          <w:rFonts w:ascii="Arial" w:hAnsi="Arial"/>
          <w:color w:val="1E293B"/>
          <w:sz w:val="19"/>
        </w:rPr>
        <w:t>Manual verification confirms GET / returns 200 OK, GET /summary aggregates 5,000 rows, GET /summary/month/13 returns 400 Bad Request, and non-existent products return 404.</w:t>
      </w:r>
    </w:p>
    <w:p>
      <w:pPr>
        <w:keepNext/>
        <w:spacing w:before="240" w:after="80"/>
      </w:pPr>
      <w:r>
        <w:rPr>
          <w:rFonts w:ascii="Arial" w:hAnsi="Arial"/>
          <w:b/>
          <w:color w:val="1E3A6E"/>
          <w:sz w:val="24"/>
        </w:rPr>
        <w:t>12.5 Frontend Production Build Verification</w:t>
      </w:r>
    </w:p>
    <w:p>
      <w:pPr>
        <w:spacing w:after="80" w:line="276" w:lineRule="auto"/>
      </w:pPr>
      <w:r>
        <w:rPr>
          <w:rFonts w:ascii="Arial" w:hAnsi="Arial"/>
          <w:color w:val="1E293B"/>
          <w:sz w:val="19"/>
        </w:rPr>
        <w:t>Next.js build succeeded with exit code 0, 0 TypeScript errors, and 4 static routes prerendered.</w:t>
      </w:r>
    </w:p>
    <w:p>
      <w:pPr>
        <w:keepNext/>
        <w:spacing w:before="240" w:after="80"/>
      </w:pPr>
      <w:r>
        <w:rPr>
          <w:rFonts w:ascii="Arial" w:hAnsi="Arial"/>
          <w:b/>
          <w:color w:val="1E3A6E"/>
          <w:sz w:val="24"/>
        </w:rPr>
        <w:t>12.6 dbt Data Integrity Assertion Results</w:t>
      </w:r>
    </w:p>
    <w:p>
      <w:pPr>
        <w:spacing w:after="80" w:line="276" w:lineRule="auto"/>
      </w:pPr>
      <w:r>
        <w:rPr>
          <w:rFonts w:ascii="Arial" w:hAnsi="Arial"/>
          <w:color w:val="1E293B"/>
          <w:sz w:val="19"/>
        </w:rPr>
        <w:t>Schema tests in metricmind_dbt/models/staging/schema.yml enforce not_null and unique constraints on order_id. Both passed during testing in 0.64s.</w:t>
      </w:r>
    </w:p>
    <w:p>
      <w:pPr>
        <w:keepNext/>
        <w:spacing w:before="360" w:after="140"/>
      </w:pPr>
      <w:r>
        <w:rPr>
          <w:rFonts w:ascii="Arial" w:hAnsi="Arial"/>
          <w:b/>
          <w:color w:val="192A56"/>
          <w:sz w:val="32"/>
        </w:rPr>
        <w:t>Chapter 13 — Results and Discussion</w:t>
      </w:r>
    </w:p>
    <w:p>
      <w:pPr>
        <w:keepNext/>
        <w:spacing w:before="240" w:after="80"/>
      </w:pPr>
      <w:r>
        <w:rPr>
          <w:rFonts w:ascii="Arial" w:hAnsi="Arial"/>
          <w:b/>
          <w:color w:val="1E3A6E"/>
          <w:sz w:val="24"/>
        </w:rPr>
        <w:t>13.1 Verified System Capabilities</w:t>
      </w:r>
    </w:p>
    <w:p>
      <w:pPr>
        <w:spacing w:after="80" w:line="276" w:lineRule="auto"/>
      </w:pPr>
      <w:r>
        <w:rPr>
          <w:rFonts w:ascii="Arial" w:hAnsi="Arial"/>
          <w:color w:val="1E293B"/>
          <w:sz w:val="19"/>
        </w:rPr>
        <w:t>MetricMind AI demonstrates fast in-memory analytics, code-governed semantic modeling, guardrailed natural-language querying, and a conversational frontend prototype.</w:t>
      </w:r>
    </w:p>
    <w:p>
      <w:pPr>
        <w:keepNext/>
        <w:spacing w:before="240" w:after="80"/>
      </w:pPr>
      <w:r>
        <w:rPr>
          <w:rFonts w:ascii="Arial" w:hAnsi="Arial"/>
          <w:b/>
          <w:color w:val="1E3A6E"/>
          <w:sz w:val="24"/>
        </w:rPr>
        <w:t>13.2 Qualitative Evaluation of the Conversational Semantic Paradigm</w:t>
      </w:r>
    </w:p>
    <w:p>
      <w:pPr>
        <w:spacing w:after="80" w:line="276" w:lineRule="auto"/>
      </w:pPr>
      <w:r>
        <w:rPr>
          <w:rFonts w:ascii="Arial" w:hAnsi="Arial"/>
          <w:color w:val="1E293B"/>
          <w:sz w:val="19"/>
        </w:rPr>
        <w:t>Mediating queries through a semantic layer mitigates SQL hallucinations and calculation discrepancies, providing a structured alternative to raw text-to-SQL.</w:t>
      </w:r>
    </w:p>
    <w:p>
      <w:pPr>
        <w:keepNext/>
        <w:spacing w:before="240" w:after="80"/>
      </w:pPr>
      <w:r>
        <w:rPr>
          <w:rFonts w:ascii="Arial" w:hAnsi="Arial"/>
          <w:b/>
          <w:color w:val="1E3A6E"/>
          <w:sz w:val="24"/>
        </w:rPr>
        <w:t>13.3 Architectural Reliability and Governance Assessment</w:t>
      </w:r>
    </w:p>
    <w:p>
      <w:pPr>
        <w:spacing w:after="80" w:line="276" w:lineRule="auto"/>
      </w:pPr>
      <w:r>
        <w:rPr>
          <w:rFonts w:ascii="Arial" w:hAnsi="Arial"/>
          <w:color w:val="1E293B"/>
          <w:sz w:val="19"/>
        </w:rPr>
        <w:t>Decoupling components provides operational isolation and maintainability.</w:t>
      </w:r>
    </w:p>
    <w:p>
      <w:pPr>
        <w:keepNext/>
        <w:spacing w:before="240" w:after="80"/>
      </w:pPr>
      <w:r>
        <w:rPr>
          <w:rFonts w:ascii="Arial" w:hAnsi="Arial"/>
          <w:b/>
          <w:color w:val="1E3A6E"/>
          <w:sz w:val="24"/>
        </w:rPr>
        <w:t>13.4 Discussion of Implementation Boundaries</w:t>
      </w:r>
    </w:p>
    <w:p>
      <w:pPr>
        <w:spacing w:after="80" w:line="276" w:lineRule="auto"/>
      </w:pPr>
      <w:r>
        <w:rPr>
          <w:rFonts w:ascii="Arial" w:hAnsi="Arial"/>
          <w:color w:val="1E293B"/>
          <w:sz w:val="19"/>
        </w:rPr>
        <w:t>The frontend currently operates in demo simulation mode, which should be connected to the live backend for production deployment.</w:t>
      </w:r>
    </w:p>
    <w:p>
      <w:pPr>
        <w:keepNext/>
        <w:spacing w:before="360" w:after="140"/>
      </w:pPr>
      <w:r>
        <w:rPr>
          <w:rFonts w:ascii="Arial" w:hAnsi="Arial"/>
          <w:b/>
          <w:color w:val="192A56"/>
          <w:sz w:val="32"/>
        </w:rPr>
        <w:t>Chapter 14 — Security and Limitations</w:t>
      </w:r>
    </w:p>
    <w:p>
      <w:pPr>
        <w:keepNext/>
        <w:spacing w:before="240" w:after="80"/>
      </w:pPr>
      <w:r>
        <w:rPr>
          <w:rFonts w:ascii="Arial" w:hAnsi="Arial"/>
          <w:b/>
          <w:color w:val="1E3A6E"/>
          <w:sz w:val="24"/>
        </w:rPr>
        <w:t>14.1 Implemented Security Safeguards</w:t>
      </w:r>
    </w:p>
    <w:p>
      <w:pPr>
        <w:pStyle w:val="ListBullet"/>
        <w:spacing w:after="50" w:line="276" w:lineRule="auto"/>
      </w:pPr>
      <w:r>
        <w:rPr>
          <w:rFonts w:ascii="Arial" w:hAnsi="Arial"/>
          <w:b/>
          <w:color w:val="192A56"/>
        </w:rPr>
        <w:t>1. Semantic Query Sandboxing:</w:t>
      </w:r>
      <w:r>
        <w:rPr>
          <w:rFonts w:ascii="Arial" w:hAnsi="Arial"/>
          <w:color w:val="1E293B"/>
          <w:sz w:val="19"/>
        </w:rPr>
        <w:t xml:space="preserve"> The AI agent never writes raw SQL against physical tables, translating questions into SemanticQuery contracts. Credentials are kept in .env files excluded by .gitignore.</w:t>
      </w:r>
    </w:p>
    <w:p>
      <w:pPr>
        <w:pStyle w:val="ListBullet"/>
        <w:spacing w:after="50" w:line="276" w:lineRule="auto"/>
      </w:pPr>
      <w:r>
        <w:rPr>
          <w:rFonts w:ascii="Arial" w:hAnsi="Arial"/>
          <w:b/>
          <w:color w:val="192A56"/>
        </w:rPr>
        <w:t>2. CORS Whitelisting:</w:t>
      </w:r>
      <w:r>
        <w:rPr>
          <w:rFonts w:ascii="Arial" w:hAnsi="Arial"/>
          <w:color w:val="1E293B"/>
          <w:sz w:val="19"/>
        </w:rPr>
        <w:t xml:space="preserve"> FastAPI restricts Cross-Origin Resource Sharing strictly to authorized origins (http://localhost:3000 and http://127.0.0.1:3000).</w:t>
      </w:r>
    </w:p>
    <w:p>
      <w:pPr>
        <w:pStyle w:val="ListBullet"/>
        <w:spacing w:after="50" w:line="276" w:lineRule="auto"/>
      </w:pPr>
      <w:r>
        <w:rPr>
          <w:rFonts w:ascii="Arial" w:hAnsi="Arial"/>
          <w:b/>
          <w:color w:val="192A56"/>
        </w:rPr>
        <w:t>3. Input Parameter Validation:</w:t>
      </w:r>
      <w:r>
        <w:rPr>
          <w:rFonts w:ascii="Arial" w:hAnsi="Arial"/>
          <w:color w:val="1E293B"/>
          <w:sz w:val="19"/>
        </w:rPr>
        <w:t xml:space="preserve"> Path parameters are strictly typecast (e.g., month range 1-12), rejecting malformed input.</w:t>
      </w:r>
    </w:p>
    <w:p>
      <w:pPr>
        <w:pStyle w:val="ListBullet"/>
        <w:spacing w:after="50" w:line="276" w:lineRule="auto"/>
      </w:pPr>
      <w:r>
        <w:rPr>
          <w:rFonts w:ascii="Arial" w:hAnsi="Arial"/>
          <w:b/>
          <w:color w:val="192A56"/>
        </w:rPr>
        <w:t>4. Database Exception Masking:</w:t>
      </w:r>
      <w:r>
        <w:rPr>
          <w:rFonts w:ascii="Arial" w:hAnsi="Arial"/>
          <w:color w:val="1E293B"/>
          <w:sz w:val="19"/>
        </w:rPr>
        <w:t xml:space="preserve"> Database connection errors in /dbt/sales-summary mask internal exceptions, returning safe generic HTTP 500 errors.</w:t>
      </w:r>
    </w:p>
    <w:p>
      <w:pPr>
        <w:pStyle w:val="ListBullet"/>
        <w:spacing w:after="50" w:line="276" w:lineRule="auto"/>
      </w:pPr>
      <w:r>
        <w:rPr>
          <w:rFonts w:ascii="Arial" w:hAnsi="Arial"/>
          <w:b/>
          <w:color w:val="192A56"/>
        </w:rPr>
        <w:t>5. Geographic Scope Guardrails:</w:t>
      </w:r>
      <w:r>
        <w:rPr>
          <w:rFonts w:ascii="Arial" w:hAnsi="Arial"/>
          <w:color w:val="1E293B"/>
          <w:sz w:val="19"/>
        </w:rPr>
        <w:t xml:space="preserve"> The parser explicitly rejects state-level queries, preventing queries against unsupported grains.</w:t>
      </w:r>
    </w:p>
    <w:tbl>
      <w:tblPr>
        <w:tblW w:type="auto" w:w="0"/>
        <w:jc w:val="center"/>
        <w:tblLook w:firstColumn="1" w:firstRow="1" w:lastColumn="0" w:lastRow="0" w:noHBand="0" w:noVBand="1" w:val="04A0"/>
      </w:tblPr>
      <w:tblGrid>
        <w:gridCol w:w="9648"/>
      </w:tblGrid>
      <w:tr>
        <w:tc>
          <w:tcPr>
            <w:tcW w:type="dxa" w:w="9648"/>
            <w:shd w:fill="EFF6FF"/>
            <w:tcMar>
              <w:top w:w="80" w:type="dxa"/>
              <w:bottom w:w="80" w:type="dxa"/>
              <w:left w:w="120" w:type="dxa"/>
              <w:right w:w="120" w:type="dxa"/>
            </w:tcMar>
            <w:tcBorders>
              <w:top w:val="none"/>
              <w:left w:val="single" w:sz="24" w:space="0" w:color="2563EB"/>
              <w:bottom w:val="none"/>
              <w:right w:val="none"/>
            </w:tcBorders>
          </w:tcPr>
          <w:p>
            <w:pPr>
              <w:spacing w:before="0" w:after="0" w:line="276" w:lineRule="auto"/>
            </w:pPr>
            <w:r>
              <w:rPr>
                <w:rFonts w:ascii="Arial" w:hAnsi="Arial"/>
                <w:b/>
                <w:color w:val="1D4ED8"/>
                <w:sz w:val="17"/>
              </w:rPr>
              <w:t xml:space="preserve">[SECURITY CLARIFICATION] </w:t>
            </w:r>
            <w:r>
              <w:rPr>
                <w:rFonts w:ascii="Arial" w:hAnsi="Arial"/>
                <w:color w:val="1E293B"/>
                <w:sz w:val="17"/>
              </w:rPr>
              <w:t>Important Security Clarification: The presence of a semantic layer does NOT completely prevent SQL injection or guarantee system security. While Cube.js abstracts SQL query compilation, vulnerabilities can still emerge if REST query parameters are unvalidated, if downstream custom SQL models allow untrusted inputs, or if backend endpoints bypass the semantic layer. A semantic layer must be accompanied by strict input validation, network isolation, and authenticated endpoints.</w:t>
            </w:r>
          </w:p>
        </w:tc>
      </w:tr>
    </w:tbl>
    <w:p>
      <w:pPr>
        <w:spacing w:before="0" w:after="60"/>
      </w:pPr>
    </w:p>
    <w:p>
      <w:pPr>
        <w:keepNext/>
        <w:spacing w:before="240" w:after="80"/>
      </w:pPr>
      <w:r>
        <w:rPr>
          <w:rFonts w:ascii="Arial" w:hAnsi="Arial"/>
          <w:b/>
          <w:color w:val="1E3A6E"/>
          <w:sz w:val="24"/>
        </w:rPr>
        <w:t>14.2 Unimplemented and Recommended Production Controls</w:t>
      </w:r>
    </w:p>
    <w:p>
      <w:pPr>
        <w:pStyle w:val="ListBullet"/>
        <w:spacing w:after="50" w:line="276" w:lineRule="auto"/>
      </w:pPr>
      <w:r>
        <w:rPr>
          <w:rFonts w:ascii="Arial" w:hAnsi="Arial"/>
          <w:b/>
          <w:color w:val="192A56"/>
        </w:rPr>
        <w:t>1. Authentication &amp; Identity:</w:t>
      </w:r>
      <w:r>
        <w:rPr>
          <w:rFonts w:ascii="Arial" w:hAnsi="Arial"/>
          <w:color w:val="1E293B"/>
          <w:sz w:val="19"/>
        </w:rPr>
        <w:t xml:space="preserve"> No user login, session management, OAuth2, or JWT validation is implemented.</w:t>
      </w:r>
    </w:p>
    <w:p>
      <w:pPr>
        <w:pStyle w:val="ListBullet"/>
        <w:spacing w:after="50" w:line="276" w:lineRule="auto"/>
      </w:pPr>
      <w:r>
        <w:rPr>
          <w:rFonts w:ascii="Arial" w:hAnsi="Arial"/>
          <w:b/>
          <w:color w:val="192A56"/>
        </w:rPr>
        <w:t>2. Role-Based Access Control (RBAC):</w:t>
      </w:r>
      <w:r>
        <w:rPr>
          <w:rFonts w:ascii="Arial" w:hAnsi="Arial"/>
          <w:color w:val="1E293B"/>
          <w:sz w:val="19"/>
        </w:rPr>
        <w:t xml:space="preserve"> No user roles or territorial access permissions exist; all queries access the entire dataset.</w:t>
      </w:r>
    </w:p>
    <w:p>
      <w:pPr>
        <w:pStyle w:val="ListBullet"/>
        <w:spacing w:after="50" w:line="276" w:lineRule="auto"/>
      </w:pPr>
      <w:r>
        <w:rPr>
          <w:rFonts w:ascii="Arial" w:hAnsi="Arial"/>
          <w:b/>
          <w:color w:val="192A56"/>
        </w:rPr>
        <w:t>3. Transport Layer Security (TLS/HTTPS):</w:t>
      </w:r>
      <w:r>
        <w:rPr>
          <w:rFonts w:ascii="Arial" w:hAnsi="Arial"/>
          <w:color w:val="1E293B"/>
          <w:sz w:val="19"/>
        </w:rPr>
        <w:t xml:space="preserve"> Services currently run over unencrypted HTTP in local development.</w:t>
      </w:r>
    </w:p>
    <w:p>
      <w:pPr>
        <w:pStyle w:val="ListBullet"/>
        <w:spacing w:after="50" w:line="276" w:lineRule="auto"/>
      </w:pPr>
      <w:r>
        <w:rPr>
          <w:rFonts w:ascii="Arial" w:hAnsi="Arial"/>
          <w:b/>
          <w:color w:val="192A56"/>
        </w:rPr>
        <w:t>4. API Rate Limiting &amp; Throttling:</w:t>
      </w:r>
      <w:r>
        <w:rPr>
          <w:rFonts w:ascii="Arial" w:hAnsi="Arial"/>
          <w:color w:val="1E293B"/>
          <w:sz w:val="19"/>
        </w:rPr>
        <w:t xml:space="preserve"> Endpoints lack rate limiting, leaving them susceptible to denial-of-service abuse.</w:t>
      </w:r>
    </w:p>
    <w:p>
      <w:pPr>
        <w:pStyle w:val="ListBullet"/>
        <w:spacing w:after="50" w:line="276" w:lineRule="auto"/>
      </w:pPr>
      <w:r>
        <w:rPr>
          <w:rFonts w:ascii="Arial" w:hAnsi="Arial"/>
          <w:b/>
          <w:color w:val="192A56"/>
        </w:rPr>
        <w:t>5. Row-Level Security (RLS):</w:t>
      </w:r>
      <w:r>
        <w:rPr>
          <w:rFonts w:ascii="Arial" w:hAnsi="Arial"/>
          <w:color w:val="1E293B"/>
          <w:sz w:val="19"/>
        </w:rPr>
        <w:t xml:space="preserve"> Neither PostgreSQL nor Cube.js enforces row-level security filters based on caller identity.</w:t>
      </w:r>
    </w:p>
    <w:p>
      <w:pPr>
        <w:pStyle w:val="ListBullet"/>
        <w:spacing w:after="50" w:line="276" w:lineRule="auto"/>
      </w:pPr>
      <w:r>
        <w:rPr>
          <w:rFonts w:ascii="Arial" w:hAnsi="Arial"/>
          <w:b/>
          <w:color w:val="192A56"/>
        </w:rPr>
        <w:t>6. Agent-to-Cube Token Enforcement:</w:t>
      </w:r>
      <w:r>
        <w:rPr>
          <w:rFonts w:ascii="Arial" w:hAnsi="Arial"/>
          <w:color w:val="1E293B"/>
          <w:sz w:val="19"/>
        </w:rPr>
        <w:t xml:space="preserve"> In ai_agentllm/tools.py, HTTP POST requests to /cubejs-api/v1/load are dispatched without an Authorization header containing CUBEJS_API_SECRET.</w:t>
      </w:r>
    </w:p>
    <w:p>
      <w:pPr>
        <w:keepNext/>
        <w:spacing w:before="240" w:after="80"/>
      </w:pPr>
      <w:r>
        <w:rPr>
          <w:rFonts w:ascii="Arial" w:hAnsi="Arial"/>
          <w:b/>
          <w:color w:val="1E3A6E"/>
          <w:sz w:val="24"/>
        </w:rPr>
        <w:t>14.3 Database Access and Exception Masking</w:t>
      </w:r>
    </w:p>
    <w:p>
      <w:pPr>
        <w:spacing w:after="80" w:line="276" w:lineRule="auto"/>
      </w:pPr>
      <w:r>
        <w:rPr>
          <w:rFonts w:ascii="Arial" w:hAnsi="Arial"/>
          <w:color w:val="1E293B"/>
          <w:sz w:val="19"/>
        </w:rPr>
        <w:t>Database access is restricted to queries over pre-aggregated marts. Database errors return a masked HTTP 500 error.</w:t>
      </w:r>
    </w:p>
    <w:p>
      <w:pPr>
        <w:keepNext/>
        <w:spacing w:before="240" w:after="80"/>
      </w:pPr>
      <w:r>
        <w:rPr>
          <w:rFonts w:ascii="Arial" w:hAnsi="Arial"/>
          <w:b/>
          <w:color w:val="1E3A6E"/>
          <w:sz w:val="24"/>
        </w:rPr>
        <w:t>14.4 Technical Limitations and Dimensional Gaps</w:t>
      </w:r>
    </w:p>
    <w:p>
      <w:pPr>
        <w:spacing w:after="80" w:line="276" w:lineRule="auto"/>
      </w:pPr>
      <w:r>
        <w:rPr>
          <w:rFonts w:ascii="Arial" w:hAnsi="Arial"/>
          <w:color w:val="1E293B"/>
          <w:sz w:val="19"/>
        </w:rPr>
        <w:t>The current mart aggregates at Country/Region level, omitting State-level data. The frontend chat handler runs in simulated response mode. Cube's Sales.js model does not expose orderDate, creating a grain mismatch with tools.py.</w:t>
      </w:r>
    </w:p>
    <w:p>
      <w:pPr>
        <w:keepNext/>
        <w:spacing w:before="360" w:after="140"/>
      </w:pPr>
      <w:r>
        <w:rPr>
          <w:rFonts w:ascii="Arial" w:hAnsi="Arial"/>
          <w:b/>
          <w:color w:val="192A56"/>
          <w:sz w:val="32"/>
        </w:rPr>
        <w:t>Chapter 15 — Future Enhancements</w:t>
      </w:r>
    </w:p>
    <w:p>
      <w:pPr>
        <w:pStyle w:val="ListBullet"/>
        <w:spacing w:after="50" w:line="276" w:lineRule="auto"/>
      </w:pPr>
      <w:r>
        <w:rPr>
          <w:rFonts w:ascii="Arial" w:hAnsi="Arial"/>
          <w:b/>
          <w:color w:val="192A56"/>
        </w:rPr>
        <w:t>1. Direct Frontend-to-Backend Wire-Up:</w:t>
      </w:r>
      <w:r>
        <w:rPr>
          <w:rFonts w:ascii="Arial" w:hAnsi="Arial"/>
          <w:color w:val="1E293B"/>
          <w:sz w:val="19"/>
        </w:rPr>
        <w:t xml:space="preserve"> Replace simulated 1-second timeout in page.tsx:handleSend with live fetch calls to FastAPI and Cube.</w:t>
      </w:r>
    </w:p>
    <w:p>
      <w:pPr>
        <w:pStyle w:val="ListBullet"/>
        <w:spacing w:after="50" w:line="276" w:lineRule="auto"/>
      </w:pPr>
      <w:r>
        <w:rPr>
          <w:rFonts w:ascii="Arial" w:hAnsi="Arial"/>
          <w:b/>
          <w:color w:val="192A56"/>
        </w:rPr>
        <w:t>2. Generative LLM Function Calling:</w:t>
      </w:r>
      <w:r>
        <w:rPr>
          <w:rFonts w:ascii="Arial" w:hAnsi="Arial"/>
          <w:color w:val="1E293B"/>
          <w:sz w:val="19"/>
        </w:rPr>
        <w:t xml:space="preserve"> Integrate LangChain, LlamaIndex, or Google Gemini function calling for flexible natural language queries.</w:t>
      </w:r>
    </w:p>
    <w:p>
      <w:pPr>
        <w:pStyle w:val="ListBullet"/>
        <w:spacing w:after="50" w:line="276" w:lineRule="auto"/>
      </w:pPr>
      <w:r>
        <w:rPr>
          <w:rFonts w:ascii="Arial" w:hAnsi="Arial"/>
          <w:b/>
          <w:color w:val="192A56"/>
        </w:rPr>
        <w:t>3. Multi-Grain Data Marts:</w:t>
      </w:r>
      <w:r>
        <w:rPr>
          <w:rFonts w:ascii="Arial" w:hAnsi="Arial"/>
          <w:color w:val="1E293B"/>
          <w:sz w:val="19"/>
        </w:rPr>
        <w:t xml:space="preserve"> Materialize state-level and daily grain marts in dbt to support granular geographic drill-downs.</w:t>
      </w:r>
    </w:p>
    <w:p>
      <w:pPr>
        <w:pStyle w:val="ListBullet"/>
        <w:spacing w:after="50" w:line="276" w:lineRule="auto"/>
      </w:pPr>
      <w:r>
        <w:rPr>
          <w:rFonts w:ascii="Arial" w:hAnsi="Arial"/>
          <w:b/>
          <w:color w:val="192A56"/>
        </w:rPr>
        <w:t>4. Role-Based Access Control (RBAC):</w:t>
      </w:r>
      <w:r>
        <w:rPr>
          <w:rFonts w:ascii="Arial" w:hAnsi="Arial"/>
          <w:color w:val="1E293B"/>
          <w:sz w:val="19"/>
        </w:rPr>
        <w:t xml:space="preserve"> Add JWT authentication and row-level security in Cube.js for territorial access restrictions.</w:t>
      </w:r>
    </w:p>
    <w:p>
      <w:pPr>
        <w:pStyle w:val="ListBullet"/>
        <w:spacing w:after="50" w:line="276" w:lineRule="auto"/>
      </w:pPr>
      <w:r>
        <w:rPr>
          <w:rFonts w:ascii="Arial" w:hAnsi="Arial"/>
          <w:b/>
          <w:color w:val="192A56"/>
        </w:rPr>
        <w:t>5. Automated CI/CD Pipelines:</w:t>
      </w:r>
      <w:r>
        <w:rPr>
          <w:rFonts w:ascii="Arial" w:hAnsi="Arial"/>
          <w:color w:val="1E293B"/>
          <w:sz w:val="19"/>
        </w:rPr>
        <w:t xml:space="preserve"> Implement GitHub Actions workflows to automate dbt tests, unit tests, and Next.js builds on pull requests.</w:t>
      </w:r>
    </w:p>
    <w:p>
      <w:pPr>
        <w:keepNext/>
        <w:spacing w:before="360" w:after="140"/>
      </w:pPr>
      <w:r>
        <w:rPr>
          <w:rFonts w:ascii="Arial" w:hAnsi="Arial"/>
          <w:b/>
          <w:color w:val="192A56"/>
          <w:sz w:val="32"/>
        </w:rPr>
        <w:t>Chapter 16 — Conclusion</w:t>
      </w:r>
    </w:p>
    <w:p>
      <w:pPr>
        <w:keepNext/>
        <w:spacing w:before="240" w:after="80"/>
      </w:pPr>
      <w:r>
        <w:rPr>
          <w:rFonts w:ascii="Arial" w:hAnsi="Arial"/>
          <w:b/>
          <w:color w:val="1E3A6E"/>
          <w:sz w:val="24"/>
        </w:rPr>
        <w:t>16.1 Summary of Contributions</w:t>
      </w:r>
    </w:p>
    <w:p>
      <w:pPr>
        <w:spacing w:after="80" w:line="276" w:lineRule="auto"/>
      </w:pPr>
      <w:r>
        <w:rPr>
          <w:rFonts w:ascii="Arial" w:hAnsi="Arial"/>
          <w:color w:val="1E293B"/>
          <w:sz w:val="19"/>
        </w:rPr>
        <w:t>MetricMind AI establishes a governed architectural blueprint for conversational business intelligence by pairing dbt transformations, Cube.js semantic metric modeling, a FastAPI gateway, a guardrailed AI Agent, and a Next.js 16 dynamic visualizer.</w:t>
      </w:r>
    </w:p>
    <w:p>
      <w:pPr>
        <w:keepNext/>
        <w:spacing w:before="240" w:after="80"/>
      </w:pPr>
      <w:r>
        <w:rPr>
          <w:rFonts w:ascii="Arial" w:hAnsi="Arial"/>
          <w:b/>
          <w:color w:val="1E3A6E"/>
          <w:sz w:val="24"/>
        </w:rPr>
        <w:t>16.2 Strategic Impact on Enterprise Business Intelligence</w:t>
      </w:r>
    </w:p>
    <w:p>
      <w:pPr>
        <w:spacing w:after="80" w:line="276" w:lineRule="auto"/>
      </w:pPr>
      <w:r>
        <w:rPr>
          <w:rFonts w:ascii="Arial" w:hAnsi="Arial"/>
          <w:color w:val="1E293B"/>
          <w:sz w:val="19"/>
        </w:rPr>
        <w:t>Centralizing formulas in the semantic layer eliminates metric drift, while semantic query contracts protect database integrity from text-to-SQL hallucinations.</w:t>
      </w:r>
    </w:p>
    <w:p>
      <w:pPr>
        <w:keepNext/>
        <w:spacing w:before="240" w:after="80"/>
      </w:pPr>
      <w:r>
        <w:rPr>
          <w:rFonts w:ascii="Arial" w:hAnsi="Arial"/>
          <w:b/>
          <w:color w:val="1E3A6E"/>
          <w:sz w:val="24"/>
        </w:rPr>
        <w:t>16.3 Final Assessment</w:t>
      </w:r>
    </w:p>
    <w:p>
      <w:pPr>
        <w:spacing w:after="80" w:line="276" w:lineRule="auto"/>
      </w:pPr>
      <w:r>
        <w:rPr>
          <w:rFonts w:ascii="Arial" w:hAnsi="Arial"/>
          <w:color w:val="1E293B"/>
          <w:sz w:val="19"/>
        </w:rPr>
        <w:t>The prototype validates the viability of conversational semantic BI. Automated test suites verify 100% pass rates across unit tests, production builds compile with zero errors, and the multi-tier architecture demonstrates clean separation of concerns.</w:t>
      </w:r>
    </w:p>
    <w:p>
      <w:pPr>
        <w:keepNext/>
        <w:spacing w:before="360" w:after="140"/>
      </w:pPr>
      <w:r>
        <w:rPr>
          <w:rFonts w:ascii="Arial" w:hAnsi="Arial"/>
          <w:b/>
          <w:color w:val="192A56"/>
          <w:sz w:val="32"/>
        </w:rPr>
        <w:t>References and Appendices</w:t>
      </w:r>
    </w:p>
    <w:p>
      <w:pPr>
        <w:keepNext/>
        <w:spacing w:before="240" w:after="80"/>
      </w:pPr>
      <w:r>
        <w:rPr>
          <w:rFonts w:ascii="Arial" w:hAnsi="Arial"/>
          <w:b/>
          <w:color w:val="1E3A6E"/>
          <w:sz w:val="24"/>
        </w:rPr>
        <w:t>Official Technology Documentation References</w:t>
      </w:r>
    </w:p>
    <w:p>
      <w:pPr>
        <w:pStyle w:val="ListBullet"/>
        <w:spacing w:after="50" w:line="276" w:lineRule="auto"/>
      </w:pPr>
      <w:r>
        <w:rPr>
          <w:rFonts w:ascii="Arial" w:hAnsi="Arial"/>
          <w:b/>
          <w:color w:val="192A56"/>
        </w:rPr>
        <w:t>1. FastAPI Framework:</w:t>
      </w:r>
      <w:r>
        <w:rPr>
          <w:rFonts w:ascii="Arial" w:hAnsi="Arial"/>
          <w:color w:val="1E293B"/>
          <w:sz w:val="19"/>
        </w:rPr>
        <w:t xml:space="preserve"> Tiangolo, S. FastAPI Documentation: High performance, easy to learn, fast to code. Available: https://fastapi.tiangolo.com/</w:t>
      </w:r>
    </w:p>
    <w:p>
      <w:pPr>
        <w:pStyle w:val="ListBullet"/>
        <w:spacing w:after="50" w:line="276" w:lineRule="auto"/>
      </w:pPr>
      <w:r>
        <w:rPr>
          <w:rFonts w:ascii="Arial" w:hAnsi="Arial"/>
          <w:b/>
          <w:color w:val="192A56"/>
        </w:rPr>
        <w:t>2. Cube.js Semantic Layer:</w:t>
      </w:r>
      <w:r>
        <w:rPr>
          <w:rFonts w:ascii="Arial" w:hAnsi="Arial"/>
          <w:color w:val="1E293B"/>
          <w:sz w:val="19"/>
        </w:rPr>
        <w:t xml:space="preserve"> Cube Dev, Inc. Cube Documentation: The Semantic Layer for AI and BI. Available: https://cube.dev/docs</w:t>
      </w:r>
    </w:p>
    <w:p>
      <w:pPr>
        <w:pStyle w:val="ListBullet"/>
        <w:spacing w:after="50" w:line="276" w:lineRule="auto"/>
      </w:pPr>
      <w:r>
        <w:rPr>
          <w:rFonts w:ascii="Arial" w:hAnsi="Arial"/>
          <w:b/>
          <w:color w:val="192A56"/>
        </w:rPr>
        <w:t>3. dbt (Data Build Tool):</w:t>
      </w:r>
      <w:r>
        <w:rPr>
          <w:rFonts w:ascii="Arial" w:hAnsi="Arial"/>
          <w:color w:val="1E293B"/>
          <w:sz w:val="19"/>
        </w:rPr>
        <w:t xml:space="preserve"> dbt Labs. dbt Documentation: Transform data in your warehouse. Available: https://docs.getdbt.com/</w:t>
      </w:r>
    </w:p>
    <w:p>
      <w:pPr>
        <w:pStyle w:val="ListBullet"/>
        <w:spacing w:after="50" w:line="276" w:lineRule="auto"/>
      </w:pPr>
      <w:r>
        <w:rPr>
          <w:rFonts w:ascii="Arial" w:hAnsi="Arial"/>
          <w:b/>
          <w:color w:val="192A56"/>
        </w:rPr>
        <w:t>4. Next.js Framework:</w:t>
      </w:r>
      <w:r>
        <w:rPr>
          <w:rFonts w:ascii="Arial" w:hAnsi="Arial"/>
          <w:color w:val="1E293B"/>
          <w:sz w:val="19"/>
        </w:rPr>
        <w:t xml:space="preserve"> Vercel, Inc. Next.js Documentation: The React Framework for the Web. Available: https://nextjs.org/docs</w:t>
      </w:r>
    </w:p>
    <w:p>
      <w:pPr>
        <w:pStyle w:val="ListBullet"/>
        <w:spacing w:after="50" w:line="276" w:lineRule="auto"/>
      </w:pPr>
      <w:r>
        <w:rPr>
          <w:rFonts w:ascii="Arial" w:hAnsi="Arial"/>
          <w:b/>
          <w:color w:val="192A56"/>
        </w:rPr>
        <w:t>5. Apache ECharts:</w:t>
      </w:r>
      <w:r>
        <w:rPr>
          <w:rFonts w:ascii="Arial" w:hAnsi="Arial"/>
          <w:color w:val="1E293B"/>
          <w:sz w:val="19"/>
        </w:rPr>
        <w:t xml:space="preserve"> Apache Software Foundation. Apache ECharts: An Open Source JavaScript Visualizing Library. Available: https://echarts.apache.org/</w:t>
      </w:r>
    </w:p>
    <w:p>
      <w:pPr>
        <w:pStyle w:val="ListBullet"/>
        <w:spacing w:after="50" w:line="276" w:lineRule="auto"/>
      </w:pPr>
      <w:r>
        <w:rPr>
          <w:rFonts w:ascii="Arial" w:hAnsi="Arial"/>
          <w:b/>
          <w:color w:val="192A56"/>
        </w:rPr>
        <w:t>6. PostgreSQL Relational Database:</w:t>
      </w:r>
      <w:r>
        <w:rPr>
          <w:rFonts w:ascii="Arial" w:hAnsi="Arial"/>
          <w:color w:val="1E293B"/>
          <w:sz w:val="19"/>
        </w:rPr>
        <w:t xml:space="preserve"> The PostgreSQL Global Development Group. PostgreSQL 16 Documentation. Available: https://www.postgresql.org/docs/</w:t>
      </w:r>
    </w:p>
    <w:p>
      <w:pPr>
        <w:pStyle w:val="ListBullet"/>
        <w:spacing w:after="50" w:line="276" w:lineRule="auto"/>
      </w:pPr>
      <w:r>
        <w:rPr>
          <w:rFonts w:ascii="Arial" w:hAnsi="Arial"/>
          <w:b/>
          <w:color w:val="192A56"/>
        </w:rPr>
        <w:t>7. Pydantic Data Validation:</w:t>
      </w:r>
      <w:r>
        <w:rPr>
          <w:rFonts w:ascii="Arial" w:hAnsi="Arial"/>
          <w:color w:val="1E293B"/>
          <w:sz w:val="19"/>
        </w:rPr>
        <w:t xml:space="preserve"> Colvin, S. et al. Pydantic: Data validation using Python type annotations. Available: https://docs.pydantic.dev/</w:t>
      </w:r>
    </w:p>
    <w:p>
      <w:pPr>
        <w:pStyle w:val="ListBullet"/>
        <w:spacing w:after="50" w:line="276" w:lineRule="auto"/>
      </w:pPr>
      <w:r>
        <w:rPr>
          <w:rFonts w:ascii="Arial" w:hAnsi="Arial"/>
          <w:b/>
          <w:color w:val="192A56"/>
        </w:rPr>
        <w:t>8. Pandas Data Analysis Library:</w:t>
      </w:r>
      <w:r>
        <w:rPr>
          <w:rFonts w:ascii="Arial" w:hAnsi="Arial"/>
          <w:color w:val="1E293B"/>
          <w:sz w:val="19"/>
        </w:rPr>
        <w:t xml:space="preserve"> The Pandas Development Team. pandas: powerful Python data analysis toolkit. Available: https://pandas.pydata.org/docs/</w:t>
      </w:r>
    </w:p>
    <w:p>
      <w:pPr>
        <w:pStyle w:val="ListBullet"/>
        <w:spacing w:after="50" w:line="276" w:lineRule="auto"/>
      </w:pPr>
      <w:r>
        <w:rPr>
          <w:rFonts w:ascii="Arial" w:hAnsi="Arial"/>
          <w:b/>
          <w:color w:val="192A56"/>
        </w:rPr>
        <w:t>9. Uvicorn ASGI Server:</w:t>
      </w:r>
      <w:r>
        <w:rPr>
          <w:rFonts w:ascii="Arial" w:hAnsi="Arial"/>
          <w:color w:val="1E293B"/>
          <w:sz w:val="19"/>
        </w:rPr>
        <w:t xml:space="preserve"> Kluyver, T. et al. Uvicorn: The lightning-fast ASGI server. Available: https://www.uvicorn.org/</w:t>
      </w:r>
    </w:p>
    <w:p>
      <w:pPr>
        <w:pStyle w:val="ListBullet"/>
        <w:spacing w:after="50" w:line="276" w:lineRule="auto"/>
      </w:pPr>
      <w:r>
        <w:rPr>
          <w:rFonts w:ascii="Arial" w:hAnsi="Arial"/>
          <w:b/>
          <w:color w:val="192A56"/>
        </w:rPr>
        <w:t>10. Tailwind CSS:</w:t>
      </w:r>
      <w:r>
        <w:rPr>
          <w:rFonts w:ascii="Arial" w:hAnsi="Arial"/>
          <w:color w:val="1E293B"/>
          <w:sz w:val="19"/>
        </w:rPr>
        <w:t xml:space="preserve"> Tailwind Labs. Tailwind CSS Documentation: Utility-first CSS framework. Available: https://tailwindcss.com/docs</w:t>
      </w:r>
    </w:p>
    <w:p>
      <w:pPr>
        <w:keepNext/>
        <w:spacing w:before="240" w:after="80"/>
      </w:pPr>
      <w:r>
        <w:rPr>
          <w:rFonts w:ascii="Arial" w:hAnsi="Arial"/>
          <w:b/>
          <w:color w:val="1E3A6E"/>
          <w:sz w:val="24"/>
        </w:rPr>
        <w:t>Appendix A: Complete Repository Audit and File Inventory</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216"/>
        <w:gridCol w:w="3216"/>
        <w:gridCol w:w="3216"/>
      </w:tblGrid>
      <w:tr>
        <w:tc>
          <w:tcPr>
            <w:tcW w:type="dxa" w:w="273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Relative File Path</w:t>
            </w:r>
          </w:p>
        </w:tc>
        <w:tc>
          <w:tcPr>
            <w:tcW w:type="dxa" w:w="201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Category / Tier</w:t>
            </w:r>
          </w:p>
        </w:tc>
        <w:tc>
          <w:tcPr>
            <w:tcW w:type="dxa" w:w="4896"/>
            <w:shd w:fill="192A56"/>
            <w:tcMar>
              <w:top w:w="80" w:type="dxa"/>
              <w:bottom w:w="80" w:type="dxa"/>
              <w:left w:w="80" w:type="dxa"/>
              <w:right w:w="80" w:type="dxa"/>
            </w:tcMar>
            <w:vAlign w:val="center"/>
          </w:tcPr>
          <w:p>
            <w:pPr>
              <w:spacing w:before="0" w:after="0" w:line="252" w:lineRule="auto"/>
              <w:jc w:val="left"/>
            </w:pPr>
            <w:r>
              <w:rPr>
                <w:rFonts w:ascii="Arial" w:hAnsi="Arial"/>
                <w:b/>
                <w:color w:val="FFFFFF"/>
                <w:sz w:val="15"/>
              </w:rPr>
              <w:t>Purpose &amp; Content Summary</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backend/main.py</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Backend API</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FastAPI service with pandas CSV analytics and PostgreSQL dbt mart endpoints</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backend/data/MetricMind_Corporate_Sales_Dataset.csv</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Data Store</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5,000 corporate sales records with financial and dimensional attributes</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cube/cube.js</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Semantic Layer</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Entry point configuration for the Cube.js analytics server</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cube/model/Sales.js</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Semantic Layer</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Defines 6 measures and 6 dimensions over public.sales_summary</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metricmind_dbt/dbt_project.yml</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Transformation</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dbt project configuration and view materialization rules</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metricmind_dbt/models/staging/stg_raw_sales.sql</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Transformation</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Cleans and types source sales data</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metricmind_dbt/models/staging/schema.yml</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Transformation</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Source definitions and primary key tests for raw data</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metricmind_dbt/models/marts/sales_summary.sql</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Transformation</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Aggregated dimensional sales summary mart</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metricmind_dbt/models/marts/schema.yml</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Transformation</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Documentation and column metadata for the sales mart</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ai_agentllm/schemas.py</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AI Agent</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Pydantic model for structured semantic queries</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ai_agentllm/parser.py</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AI Agent</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Natural-language intent parser with state filter guardrails</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ai_agentllm/tools.py</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AI Agent</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Dynamic calendar range calculator and Cube.js REST dispatcher</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ai_agentllm/reasoning.py</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AI Agent</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Mathematical variance, percentage delta, and trend evaluator</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ai_agentllm/test_parser.py</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Test Suite</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Unit tests verifying natural language parsing rules</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ai_agentllm/test_tool.py</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Test Suite</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Unit tests verifying Cube payload formatting and date ranges</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ai_agentllm/test_reasoning.py</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Test Suite</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Unit test script verifying variance and trend calculations</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frontend/app/page.tsx</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Frontend</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Conversational analytics interface with interactive charts and inspection modals</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frontend/app/components/charts/DynamicChart.tsx</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Frontend</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Dynamic Apache ECharts component rendering bar and line series</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frontend/package.json</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Frontend</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Dependency manifest for Next.js, React, Tailwind, and ECharts</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reports/MetricMind_AI_Project_Report.md</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Documentation</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Comprehensive Markdown project report</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reports/MetricMind_AI_Project_Report.docx</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Documentation</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Professional Microsoft Word academic project report</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reports/MetricMind_AI_Project_Report.pdf</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Documentation</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High-resolution PDF academic project report</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reports/README.md</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Documentation</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Guide and inventory for generated report artifacts</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reports/diagrams/system_architecture.mmd</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Diagram</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Editable Mermaid source for system architecture</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reports/diagrams/data_flow.mmd</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Diagram</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Editable Mermaid source for data flow</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reports/diagrams/analytics_pipeline.mmd</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Diagram</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Editable Mermaid source for analytics pipeline</w:t>
            </w:r>
          </w:p>
        </w:tc>
      </w:tr>
      <w:tr>
        <w:tc>
          <w:tcPr>
            <w:tcW w:type="dxa" w:w="2736"/>
            <w:shd w:fill="FFFFFF"/>
            <w:tcMar>
              <w:top w:w="50" w:type="dxa"/>
              <w:bottom w:w="50" w:type="dxa"/>
              <w:left w:w="80" w:type="dxa"/>
              <w:right w:w="80" w:type="dxa"/>
            </w:tcMar>
            <w:vAlign w:val="center"/>
          </w:tcPr>
          <w:p>
            <w:pPr>
              <w:spacing w:before="0" w:after="0" w:line="252" w:lineRule="auto"/>
            </w:pPr>
            <w:r>
              <w:rPr>
                <w:rFonts w:ascii="Arial" w:hAnsi="Arial"/>
                <w:color w:val="1E293B"/>
                <w:sz w:val="14"/>
              </w:rPr>
              <w:t>reports/diagrams/ai_agent_workflow.mmd</w:t>
            </w:r>
          </w:p>
        </w:tc>
        <w:tc>
          <w:tcPr>
            <w:tcW w:type="dxa" w:w="2016"/>
            <w:shd w:fill="FFFFFF"/>
            <w:tcMar>
              <w:top w:w="50" w:type="dxa"/>
              <w:bottom w:w="50" w:type="dxa"/>
              <w:left w:w="80" w:type="dxa"/>
              <w:right w:w="80" w:type="dxa"/>
            </w:tcMar>
            <w:vAlign w:val="center"/>
          </w:tcPr>
          <w:p>
            <w:pPr>
              <w:spacing w:before="0" w:after="0" w:line="252" w:lineRule="auto"/>
            </w:pPr>
            <w:r>
              <w:rPr>
                <w:rFonts w:ascii="Arial" w:hAnsi="Arial"/>
                <w:color w:val="1E293B"/>
                <w:sz w:val="14"/>
              </w:rPr>
              <w:t>Diagram</w:t>
            </w:r>
          </w:p>
        </w:tc>
        <w:tc>
          <w:tcPr>
            <w:tcW w:type="dxa" w:w="4896"/>
            <w:shd w:fill="FFFFFF"/>
            <w:tcMar>
              <w:top w:w="50" w:type="dxa"/>
              <w:bottom w:w="50" w:type="dxa"/>
              <w:left w:w="80" w:type="dxa"/>
              <w:right w:w="80" w:type="dxa"/>
            </w:tcMar>
            <w:vAlign w:val="center"/>
          </w:tcPr>
          <w:p>
            <w:pPr>
              <w:spacing w:before="0" w:after="0" w:line="252" w:lineRule="auto"/>
            </w:pPr>
            <w:r>
              <w:rPr>
                <w:rFonts w:ascii="Arial" w:hAnsi="Arial"/>
                <w:color w:val="1E293B"/>
                <w:sz w:val="14"/>
              </w:rPr>
              <w:t>Editable Mermaid source for AI agent workflow</w:t>
            </w:r>
          </w:p>
        </w:tc>
      </w:tr>
      <w:tr>
        <w:tc>
          <w:tcPr>
            <w:tcW w:type="dxa" w:w="2736"/>
            <w:shd w:fill="F8FAFC"/>
            <w:tcMar>
              <w:top w:w="50" w:type="dxa"/>
              <w:bottom w:w="50" w:type="dxa"/>
              <w:left w:w="80" w:type="dxa"/>
              <w:right w:w="80" w:type="dxa"/>
            </w:tcMar>
            <w:vAlign w:val="center"/>
          </w:tcPr>
          <w:p>
            <w:pPr>
              <w:spacing w:before="0" w:after="0" w:line="252" w:lineRule="auto"/>
            </w:pPr>
            <w:r>
              <w:rPr>
                <w:rFonts w:ascii="Arial" w:hAnsi="Arial"/>
                <w:color w:val="1E293B"/>
                <w:sz w:val="14"/>
              </w:rPr>
              <w:t>reports/diagrams/database_er.mmd</w:t>
            </w:r>
          </w:p>
        </w:tc>
        <w:tc>
          <w:tcPr>
            <w:tcW w:type="dxa" w:w="2016"/>
            <w:shd w:fill="F8FAFC"/>
            <w:tcMar>
              <w:top w:w="50" w:type="dxa"/>
              <w:bottom w:w="50" w:type="dxa"/>
              <w:left w:w="80" w:type="dxa"/>
              <w:right w:w="80" w:type="dxa"/>
            </w:tcMar>
            <w:vAlign w:val="center"/>
          </w:tcPr>
          <w:p>
            <w:pPr>
              <w:spacing w:before="0" w:after="0" w:line="252" w:lineRule="auto"/>
            </w:pPr>
            <w:r>
              <w:rPr>
                <w:rFonts w:ascii="Arial" w:hAnsi="Arial"/>
                <w:color w:val="1E293B"/>
                <w:sz w:val="14"/>
              </w:rPr>
              <w:t>Diagram</w:t>
            </w:r>
          </w:p>
        </w:tc>
        <w:tc>
          <w:tcPr>
            <w:tcW w:type="dxa" w:w="4896"/>
            <w:shd w:fill="F8FAFC"/>
            <w:tcMar>
              <w:top w:w="50" w:type="dxa"/>
              <w:bottom w:w="50" w:type="dxa"/>
              <w:left w:w="80" w:type="dxa"/>
              <w:right w:w="80" w:type="dxa"/>
            </w:tcMar>
            <w:vAlign w:val="center"/>
          </w:tcPr>
          <w:p>
            <w:pPr>
              <w:spacing w:before="0" w:after="0" w:line="252" w:lineRule="auto"/>
            </w:pPr>
            <w:r>
              <w:rPr>
                <w:rFonts w:ascii="Arial" w:hAnsi="Arial"/>
                <w:color w:val="1E293B"/>
                <w:sz w:val="14"/>
              </w:rPr>
              <w:t>Editable Mermaid source for database ER model</w:t>
            </w:r>
          </w:p>
        </w:tc>
      </w:tr>
    </w:tbl>
    <w:p>
      <w:pPr>
        <w:spacing w:before="0" w:after="80"/>
      </w:pPr>
    </w:p>
    <w:p>
      <w:pPr>
        <w:keepNext/>
        <w:spacing w:before="240" w:after="80"/>
      </w:pPr>
      <w:r>
        <w:rPr>
          <w:rFonts w:ascii="Arial" w:hAnsi="Arial"/>
          <w:b/>
          <w:color w:val="1E3A6E"/>
          <w:sz w:val="24"/>
        </w:rPr>
        <w:t>Appendix B: Sanitized Environment Configurations</w:t>
      </w:r>
    </w:p>
    <w:p>
      <w:pPr>
        <w:spacing w:after="80" w:line="276" w:lineRule="auto"/>
      </w:pPr>
      <w:r>
        <w:rPr>
          <w:rFonts w:ascii="Arial" w:hAnsi="Arial"/>
          <w:color w:val="1E293B"/>
          <w:sz w:val="19"/>
        </w:rPr>
        <w:t>Root .env.example:</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single" w:sz="4" w:space="0" w:color="E2E8F0"/>
              <w:left w:val="single" w:sz="24" w:space="0" w:color="192A56"/>
              <w:bottom w:val="single" w:sz="4" w:space="0" w:color="E2E8F0"/>
              <w:right w:val="single" w:sz="4" w:space="0" w:color="E2E8F0"/>
            </w:tcBorders>
          </w:tcPr>
          <w:p>
            <w:pPr>
              <w:spacing w:before="0" w:after="0" w:line="252" w:lineRule="auto"/>
            </w:pPr>
            <w:r>
              <w:rPr>
                <w:rFonts w:ascii="Consolas" w:hAnsi="Consolas"/>
                <w:color w:val="0F172A"/>
                <w:sz w:val="16"/>
              </w:rPr>
              <w:t>APP_ENV=development</w:t>
              <w:br/>
              <w:t>PORT=8000</w:t>
              <w:br/>
              <w:t>API_BASE_URL=http://localhost:8000</w:t>
              <w:br/>
              <w:t>DATABASE_URL=postgresql://postgres:postgres@localhost:5432/metricmind</w:t>
              <w:br/>
            </w:r>
          </w:p>
        </w:tc>
      </w:tr>
    </w:tbl>
    <w:p>
      <w:pPr>
        <w:spacing w:before="0" w:after="60"/>
      </w:pPr>
    </w:p>
    <w:p>
      <w:pPr>
        <w:spacing w:after="80" w:line="276" w:lineRule="auto"/>
      </w:pPr>
      <w:r>
        <w:rPr>
          <w:rFonts w:ascii="Arial" w:hAnsi="Arial"/>
          <w:color w:val="1E293B"/>
          <w:sz w:val="19"/>
        </w:rPr>
        <w:t>Cube .env.example:</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single" w:sz="4" w:space="0" w:color="E2E8F0"/>
              <w:left w:val="single" w:sz="24" w:space="0" w:color="192A56"/>
              <w:bottom w:val="single" w:sz="4" w:space="0" w:color="E2E8F0"/>
              <w:right w:val="single" w:sz="4" w:space="0" w:color="E2E8F0"/>
            </w:tcBorders>
          </w:tcPr>
          <w:p>
            <w:pPr>
              <w:spacing w:before="0" w:after="0" w:line="252" w:lineRule="auto"/>
            </w:pPr>
            <w:r>
              <w:rPr>
                <w:rFonts w:ascii="Consolas" w:hAnsi="Consolas"/>
                <w:color w:val="0F172A"/>
                <w:sz w:val="16"/>
              </w:rPr>
              <w:t>CUBEJS_DB_TYPE=postgres</w:t>
              <w:br/>
              <w:t>CUBEJS_DB_HOST=localhost</w:t>
              <w:br/>
              <w:t>CUBEJS_DB_PORT=5432</w:t>
              <w:br/>
              <w:t>CUBEJS_DB_NAME=metricmind</w:t>
              <w:br/>
              <w:t>CUBEJS_DB_USER=postgres</w:t>
              <w:br/>
              <w:t>CUBEJS_DB_PASS=your_password_here</w:t>
              <w:br/>
              <w:t>CUBEJS_API_SECRET=your_cube_secret_here</w:t>
              <w:br/>
            </w:r>
          </w:p>
        </w:tc>
      </w:tr>
    </w:tbl>
    <w:p>
      <w:pPr>
        <w:spacing w:before="0" w:after="60"/>
      </w:pPr>
    </w:p>
    <w:p>
      <w:pPr>
        <w:keepNext/>
        <w:spacing w:before="240" w:after="80"/>
      </w:pPr>
      <w:r>
        <w:rPr>
          <w:rFonts w:ascii="Arial" w:hAnsi="Arial"/>
          <w:b/>
          <w:color w:val="1E3A6E"/>
          <w:sz w:val="24"/>
        </w:rPr>
        <w:t>Appendix C: Technical Glossary of Core BI &amp; AI Terminology</w:t>
      </w:r>
    </w:p>
    <w:p>
      <w:pPr>
        <w:pStyle w:val="ListBullet"/>
        <w:spacing w:after="50" w:line="276" w:lineRule="auto"/>
      </w:pPr>
      <w:r>
        <w:rPr>
          <w:rFonts w:ascii="Arial" w:hAnsi="Arial"/>
          <w:b/>
          <w:color w:val="192A56"/>
        </w:rPr>
        <w:t>Semantic Layer:</w:t>
      </w:r>
      <w:r>
        <w:rPr>
          <w:rFonts w:ascii="Arial" w:hAnsi="Arial"/>
          <w:color w:val="1E293B"/>
          <w:sz w:val="19"/>
        </w:rPr>
        <w:t xml:space="preserve"> A code representation of corporate data that standardizes metrics and dimensions independent of physical storage schemas.</w:t>
      </w:r>
    </w:p>
    <w:p>
      <w:pPr>
        <w:pStyle w:val="ListBullet"/>
        <w:spacing w:after="50" w:line="276" w:lineRule="auto"/>
      </w:pPr>
      <w:r>
        <w:rPr>
          <w:rFonts w:ascii="Arial" w:hAnsi="Arial"/>
          <w:b/>
          <w:color w:val="192A56"/>
        </w:rPr>
        <w:t>Measure:</w:t>
      </w:r>
      <w:r>
        <w:rPr>
          <w:rFonts w:ascii="Arial" w:hAnsi="Arial"/>
          <w:color w:val="1E293B"/>
          <w:sz w:val="19"/>
        </w:rPr>
        <w:t xml:space="preserve"> A quantitative, numerical value that can be aggregated mathematically (e.g., sum of revenue, count of orders, average margin).</w:t>
      </w:r>
    </w:p>
    <w:p>
      <w:pPr>
        <w:pStyle w:val="ListBullet"/>
        <w:spacing w:after="50" w:line="276" w:lineRule="auto"/>
      </w:pPr>
      <w:r>
        <w:rPr>
          <w:rFonts w:ascii="Arial" w:hAnsi="Arial"/>
          <w:b/>
          <w:color w:val="192A56"/>
        </w:rPr>
        <w:t>Dimension:</w:t>
      </w:r>
      <w:r>
        <w:rPr>
          <w:rFonts w:ascii="Arial" w:hAnsi="Arial"/>
          <w:color w:val="1E293B"/>
          <w:sz w:val="19"/>
        </w:rPr>
        <w:t xml:space="preserve"> A qualitative categorical attribute used to group, slice, or filter measures (e.g., region, country, product category, fiscal quarter).</w:t>
      </w:r>
    </w:p>
    <w:p>
      <w:pPr>
        <w:pStyle w:val="ListBullet"/>
        <w:spacing w:after="50" w:line="276" w:lineRule="auto"/>
      </w:pPr>
      <w:r>
        <w:rPr>
          <w:rFonts w:ascii="Arial" w:hAnsi="Arial"/>
          <w:b/>
          <w:color w:val="192A56"/>
        </w:rPr>
        <w:t>dbt (data build tool):</w:t>
      </w:r>
      <w:r>
        <w:rPr>
          <w:rFonts w:ascii="Arial" w:hAnsi="Arial"/>
          <w:color w:val="1E293B"/>
          <w:sz w:val="19"/>
        </w:rPr>
        <w:t xml:space="preserve"> A transformation development framework combining SQL and software engineering best practices.</w:t>
      </w:r>
    </w:p>
    <w:p>
      <w:pPr>
        <w:pStyle w:val="ListBullet"/>
        <w:spacing w:after="50" w:line="276" w:lineRule="auto"/>
      </w:pPr>
      <w:r>
        <w:rPr>
          <w:rFonts w:ascii="Arial" w:hAnsi="Arial"/>
          <w:b/>
          <w:color w:val="192A56"/>
        </w:rPr>
        <w:t>Data Mart:</w:t>
      </w:r>
      <w:r>
        <w:rPr>
          <w:rFonts w:ascii="Arial" w:hAnsi="Arial"/>
          <w:color w:val="1E293B"/>
          <w:sz w:val="19"/>
        </w:rPr>
        <w:t xml:space="preserve"> A focused subset of a data warehouse designed for a specific business line or department.</w:t>
      </w:r>
    </w:p>
    <w:p>
      <w:pPr>
        <w:pStyle w:val="ListBullet"/>
        <w:spacing w:after="50" w:line="276" w:lineRule="auto"/>
      </w:pPr>
      <w:r>
        <w:rPr>
          <w:rFonts w:ascii="Arial" w:hAnsi="Arial"/>
          <w:b/>
          <w:color w:val="192A56"/>
        </w:rPr>
        <w:t>ELT (Extract, Load, Transform):</w:t>
      </w:r>
      <w:r>
        <w:rPr>
          <w:rFonts w:ascii="Arial" w:hAnsi="Arial"/>
          <w:color w:val="1E293B"/>
          <w:sz w:val="19"/>
        </w:rPr>
        <w:t xml:space="preserve"> Modern data pipeline pattern extracting and loading raw data directly before transformations occur.</w:t>
      </w:r>
    </w:p>
    <w:p>
      <w:pPr>
        <w:pStyle w:val="ListBullet"/>
        <w:spacing w:after="50" w:line="276" w:lineRule="auto"/>
      </w:pPr>
      <w:r>
        <w:rPr>
          <w:rFonts w:ascii="Arial" w:hAnsi="Arial"/>
          <w:b/>
          <w:color w:val="192A56"/>
        </w:rPr>
        <w:t>Cube.js:</w:t>
      </w:r>
      <w:r>
        <w:rPr>
          <w:rFonts w:ascii="Arial" w:hAnsi="Arial"/>
          <w:color w:val="1E293B"/>
          <w:sz w:val="19"/>
        </w:rPr>
        <w:t xml:space="preserve"> An open-source headless semantic layer used to build data applications and compile SQL.</w:t>
      </w:r>
    </w:p>
    <w:p>
      <w:pPr>
        <w:pStyle w:val="ListBullet"/>
        <w:spacing w:after="50" w:line="276" w:lineRule="auto"/>
      </w:pPr>
      <w:r>
        <w:rPr>
          <w:rFonts w:ascii="Arial" w:hAnsi="Arial"/>
          <w:b/>
          <w:color w:val="192A56"/>
        </w:rPr>
        <w:t>Pydantic:</w:t>
      </w:r>
      <w:r>
        <w:rPr>
          <w:rFonts w:ascii="Arial" w:hAnsi="Arial"/>
          <w:color w:val="1E293B"/>
          <w:sz w:val="19"/>
        </w:rPr>
        <w:t xml:space="preserve"> Python data validation library using type annotations to enforce runtime data contracts.</w:t>
      </w:r>
    </w:p>
    <w:p>
      <w:pPr>
        <w:pStyle w:val="ListBullet"/>
        <w:spacing w:after="50" w:line="276" w:lineRule="auto"/>
      </w:pPr>
      <w:r>
        <w:rPr>
          <w:rFonts w:ascii="Arial" w:hAnsi="Arial"/>
          <w:b/>
          <w:color w:val="192A56"/>
        </w:rPr>
        <w:t>Apache ECharts:</w:t>
      </w:r>
      <w:r>
        <w:rPr>
          <w:rFonts w:ascii="Arial" w:hAnsi="Arial"/>
          <w:color w:val="1E293B"/>
          <w:sz w:val="19"/>
        </w:rPr>
        <w:t xml:space="preserve"> Powerful, interactive open-source charting and visualization engine developed by Apache.</w:t>
      </w:r>
    </w:p>
    <w:p>
      <w:pPr>
        <w:pStyle w:val="ListBullet"/>
        <w:spacing w:after="50" w:line="276" w:lineRule="auto"/>
      </w:pPr>
      <w:r>
        <w:rPr>
          <w:rFonts w:ascii="Arial" w:hAnsi="Arial"/>
          <w:b/>
          <w:color w:val="192A56"/>
        </w:rPr>
        <w:t>CORS:</w:t>
      </w:r>
      <w:r>
        <w:rPr>
          <w:rFonts w:ascii="Arial" w:hAnsi="Arial"/>
          <w:color w:val="1E293B"/>
          <w:sz w:val="19"/>
        </w:rPr>
        <w:t xml:space="preserve"> Cross-Origin Resource Sharing security mechanism controlling web client resource access.</w:t>
      </w:r>
    </w:p>
    <w:sectPr w:rsidR="00FC693F" w:rsidRPr="0006063C" w:rsidSect="00034616">
      <w:headerReference w:type="default" r:id="rId9"/>
      <w:footerReference w:type="default" r:id="rId10"/>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C96A5"/>
        <w:sz w:val="16"/>
      </w:rPr>
      <w:t xml:space="preserve">MetricMind AI Academic Project Report  |  Page </w:t>
    </w:r>
    <w:r>
      <w:rPr>
        <w:rFonts w:ascii="Arial" w:hAnsi="Arial"/>
        <w:color w:val="8C96A5"/>
        <w:sz w:val="16"/>
      </w:rPr>
      <w:fldSimple w:instr="PAGE"/>
    </w:r>
    <w:r>
      <w:rPr>
        <w:rFonts w:ascii="Arial" w:hAnsi="Arial"/>
        <w:color w:val="8C96A5"/>
        <w:sz w:val="16"/>
      </w:rPr>
      <w:t xml:space="preserve"> of </w:t>
    </w:r>
    <w:r>
      <w:rPr>
        <w:rFonts w:ascii="Arial" w:hAnsi="Arial"/>
        <w:color w:val="8C96A5"/>
        <w:sz w:val="16"/>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96A5"/>
        <w:sz w:val="16"/>
      </w:rPr>
      <w:t>MetricMind AI: Agentic Semantic Business Intelligence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Arial" w:hAnsi="Arial"/>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