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—Panoramic radiographs show the whole dentition in one image, but reading them tooth by tooth is slow, and published dental AI results are often hard to trace back to the data they came from. We describe DentaMind AI, a research prototype that detects teeth, assigns FDI numbers, segments tooth instances and names the closest of four DENTEX finding classes (Caries, Deep Caries, Impacted, Periapical Lesion) for each detected tooth. The pipeline uses standard torchvision models and routes uncertain regions to a human reviewer. On a held-out internal DENTEX test split of 63 radiographs, the tooth detector reached AP50 0.966, the instance segmenter mask AP50 0.974 with mean matched Dice 0.873, and the numbering model numbered 96.8 % of matched teeth correctly. The finding classifier, evaluated on ground-truth tooth crops of 73 test radiographs, reached accuracy 0.785 and macro-F1 0.646, with recall of only 0.308 for Periapical Lesion. An end-to-end validation study showed that replacing ground-truth boxes with detector boxes lowers macro-F1 from 0.718 to 0.634. An entropy rule flagged 54.2 % of test crops, and those flagged crops contained 86.8 % of the classifier’s errors. Temperature scaling lowered test ECE from 0.048 to 0.036 but is not applied in the application. Four attempts to improve the classifier, each with acceptance criteria fixed before the results were known, failed those criteria, and uncertainty-based active learning did not outperform random selection. DENTEX has no patient identifiers, so patient-level leakage cannot be excluded. The system has not been clinically validated and does not make diagnoses.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captures both dental arches, the supporting bone and the jaw joints in a single exposure. That breadth makes it a common first image in dental practice, and it also makes the image dense: a reader has to locate every tooth, assign it a number and look for findings such as caries, impaction or periapical lesions. Deep learning has been applied to each of these steps, from tooth detection and numbering [1]–[3] to the detection of specific findings [4]–[6]. The public DENTEX benchmark made it possible to study enumeration and diagnosis together on panoramic X-rays [7],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problems remain easy to overlook. First, results are usually reported for one task in isolation, for example a classifier scored on ideal, hand-drawn tooth boxes. In a working system, however, the classifier sees boxes produced by a detector, and errors from each stage compound. Second, evaluation details that decide whether a number can be trusted—how the data were split, whether test images were reused, and whether duplicate radiographs crossed splits—are rarely reported. Leakage of this kind is a known source of over-optimistic results in machine-learning research [9].</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paper describes DentaMind AI, a research prototype built on DENTEX. It chains a tooth detector, an FDI numbering model, an instance segmenter and a finding classifier, attaches uncertainty signals to every region and sends uncertain regions to human review. We report every evaluation recorded in the project repository, including results that are negative or unfavorable to the system. Every number in this paper is copied from a named evaluation report. The system is not a diagnostic device and has not been clinically validated.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Section VIII defines the evaluation, and Sections IX–XI report results, error analysis and uncertainty. Sections XII–XV cover the implementation,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recent studies close to this work.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and Peker and Kurtoglu [2] detect and number teeth on panoramic radiographs; the latter uses a YOLOv10 model on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examine how missing teeth affect deep-learning tooth numbering, a failure mode that also appears in our per-tooth results.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[10] combine tooth numbering and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review the evidence on AI for caries detection in an umbrella review.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[11] benchmark U-Net variants for tooth segmentation and relate accuracy to computational cost.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[7] and a diffusion-based hierarchical detector for its enumeration-and-diagnosis task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Outside dentistry, selective classification lets a model withhold a prediction when it is uncertain [12], and abstention based on uncertainty has recently been studied for medical diagnosis [13]. Test-time augmentation provides a cheap uncertainty estimate for a single network [14]. Post-hoc calibration such as temperature scaling [15] and its standard measure, the expected calibration error (ECE) [16], are widely used. Active learning aims to reduce labeling effort in medical imaging [17].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[18], Mask R-CNN [19] with a ResNet-50 [20] feature pyramid [21],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[7],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[22].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[18] with a ResNet-50 feature pyramid [20], [21] and a single foreground class, “tooth”. Detections with score ≥ 0.3 are kept. The detector does not number teeth. Instance segmentation uses Mask R-CNN [19]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3627120"/>
            <wp:effectExtent t="0" r="0" b="0" l="0"/>
            <wp:docPr id="1" name="fig1_architecture" descr="Overall DentaMind AI architecture as implemented. Detection feeds numbering assignment and finding classification; segmentation masks are matched to detector boxes. Uncertainty signals become review flags before the final result, report and human review."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362712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Overall DentaMind AI architecture as implemented. Detection feeds numbering assignment and finding classification; segmentation masks are matched to detector boxes. Uncertainty signals become review flags before the final result, report and human review.</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[22].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2695956"/>
            <wp:effectExtent t="0" r="0" b="0" l="0"/>
            <wp:docPr id="1" name="fig2_workflow" descr="End-to-end processing workflow of PipelineService.run() (backend/services/pipeline.p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2695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of PipelineService.run() (backend/services/pipeline.py).</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[23]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668268"/>
            <wp:effectExtent t="0" r="0" b="0" l="0"/>
            <wp:docPr id="1" name="fig3_detection_numbering_segmentation" descr="(a) Relationship between tooth detection, FDI number assignment and segmentation as implemented. (b) Genuine application output (UI audit, 2026-10-14) on val_12.png, an unlabeled DENTEX validation_data radiograph with no ground truth: teal labels are model numbers, “41?” is a number marked for review, and “R2/R6/R7/R26” are detected regions without a number. The application reported 32 regions, 27 with a number, 30 with a mask and 26 recommended for review."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66826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Relationship between tooth detection, FDI number assignment and segmentation as implemented. (b) Genuine application output (UI audit, 2026-10-14) on val_12.png, an unlabeled DENTEX validation_data radiograph with no ground truth: teal labels are model numbers, “41?” is a number marked for review, and “R2/R6/R7/R26” are detected regions without a number. The application reported 32 regions, 27 with a number, 30 with a mask and 26 recommended for review.</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[24]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[14]:</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1487424"/>
            <wp:effectExtent t="0" r="0" b="0" l="0"/>
            <wp:docPr id="1" name="fig4_classification" descr="Finding-classification workflow (inference.torch_models.classify_regions, training.trainers.crop_region) with training-crop counts and class weights from the checkpoint sideca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14874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(inference.torch_models.classify_regions, training.trainers.crop_region) with training-crop counts and class weights from the checkpoint sidecar.</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[25],</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keepNext/>
        <w:spacing w:before="120" w:after="60"/>
        <w:jc w:val="center"/>
      </w:pPr>
      <w:r>
        <w:drawing>
          <wp:inline distT="0" distB="0" distL="0" distR="0">
            <wp:extent cx="3154680" cy="2441448"/>
            <wp:effectExtent t="0" r="0" b="0" l="0"/>
            <wp:docPr id="1" name="fig5_uncertainty_review" descr="Uncertainty-aware review workflow. Upper part: behavior deployed in the application (pipeline.py, final_result.py, reviews.py). Lower dashed part: evaluated offline only and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44144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workflow. Upper part: behavior deployed in the application (pipeline.py, final_result.py, reviews.py). Lower dashed part: evaluated offline only and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[26] and the classifier from ImageNet weights [23];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[16],</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[27],</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[15]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[12],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2862072"/>
            <wp:effectExtent t="0" r="0" b="0" l="0"/>
            <wp:docPr id="1" name="fig6_dataset_splits" descr="Dataset, splitting and leakage-check protocol as implemented (src/dentexmodel/data/splits.py, configs/data.yaml, Data/reports/leakage_check.md). Split counts are distinct labeled radiograph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2862072"/>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leakage-check protocol as implemented (src/dentexmodel/data/splits.py, configs/data.yaml, Data/reports/leakage_check.md). Split counts are distinct labeled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738884"/>
            <wp:effectExtent t="0" r="0" b="0" l="0"/>
            <wp:docPr id="1" name="fig7_evaluation_framework" descr="Experimental evaluation framework: each implemented task or study, its metrics and the splits it was evaluated on (scripts/evaluate_*.py and the reports in Data/report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73888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implemented task or study, its metrics and the splits it was evaluated on (scripts/evaluate_*.py and the reports in Data/reports/).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example of Fig. 3b, 26 of 32 regions were recommended for review. This matches the high flag rate of Table XI and shows that the present thresholds shift a large share of the work to the reviewer.</w:t>
      </w:r>
    </w:p>
    <w:p>
      <w:pPr>
        <w:pStyle w:val="Heading1"/>
      </w:pPr>
      <w:r>
        <w:rPr>
          <w:rFonts w:ascii="Times New Roman" w:cs="Times New Roman" w:eastAsia="Times New Roman" w:hAnsi="Times New Roman"/>
          <w:b w:val="false"/>
          <w:bCs w:val="false"/>
          <w:i w:val="false"/>
          <w:iCs w:val="false"/>
        </w:rPr>
        <w:t xml:space="preserve">XII. End-to-End System Implementation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[17].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UI audit of Fig. 3b,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[9].</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and their license terms must be followed for any reuse, including the example in Fig. 3b.</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shows that standard detectors reach high tooth-localization quality on DENTEX: test AP50 0.966 for detection, mask AP50 0.974 for segmentation, and 96.8 % exact FDI numbering among matched teeth. Finding classification is the weak link. Macro-F1 is 0.646 on ground-truth test crops and falls further, to 0.634 on validation, when detector boxes are used. Deep Caries and Periapical Lesion are poorly recognized. Uncertainty flags capture most classifier errors but route more than half of the regions to review. Four controlled attempts to improve the classifier did not meet their pre-set criteria, and active learning did not beat random selection. We report these negative results because they bound what the system can currently claim.</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 grouped five-fold cross-validation design has been drafted but has not been approved or run.</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dd1347137a42d58ba9811f570ecab94420322770.svg"/><Relationship Id="rId9" Type="http://schemas.openxmlformats.org/officeDocument/2006/relationships/image" Target="media/ba96c58ad9050930141f78aa4ee5fff80794b158.png"/><Relationship Id="rId10" Type="http://schemas.openxmlformats.org/officeDocument/2006/relationships/image" Target="media/73fa55cd8f85bbf9a8e884a67acf4b2c4b7e096f.svg"/><Relationship Id="rId11" Type="http://schemas.openxmlformats.org/officeDocument/2006/relationships/image" Target="media/0063ae418805f23f20352e0498ac5d86e6a13158.png"/><Relationship Id="rId12" Type="http://schemas.openxmlformats.org/officeDocument/2006/relationships/image" Target="media/6cb735a9e78a77c391ccd48728fcbdb7268fb4d0.svg"/><Relationship Id="rId13" Type="http://schemas.openxmlformats.org/officeDocument/2006/relationships/image" Target="media/03542f74bf7b19b44185148b6f0ccbde1836c44e.png"/><Relationship Id="rId14" Type="http://schemas.openxmlformats.org/officeDocument/2006/relationships/image" Target="media/0e2bb1b3f6edae8831320043abe9bd0b76d9f3ec.svg"/><Relationship Id="rId15" Type="http://schemas.openxmlformats.org/officeDocument/2006/relationships/image" Target="media/99e276c6357a6b16133398e6a11987901fbf166e.png"/><Relationship Id="rId16" Type="http://schemas.openxmlformats.org/officeDocument/2006/relationships/image" Target="media/3beb9018123dd5428c016720bf3be256ef370215.svg"/><Relationship Id="rId17" Type="http://schemas.openxmlformats.org/officeDocument/2006/relationships/image" Target="media/899db9d5130df4b279db3e5a78e07f8cbfa4d0d7.png"/><Relationship Id="rId18" Type="http://schemas.openxmlformats.org/officeDocument/2006/relationships/image" Target="media/8ee3bf6c2b9521c3c04b48a850653ac12fc0887b.svg"/><Relationship Id="rId19" Type="http://schemas.openxmlformats.org/officeDocument/2006/relationships/image" Target="media/86b0bc2e77b04dc552fb550d73678695f7f8cb14.png"/><Relationship Id="rId20" Type="http://schemas.openxmlformats.org/officeDocument/2006/relationships/image" Target="media/3db9eaa8e619cc72e037aa221790c2a7b552b0a7.svg"/><Relationship Id="rId21" Type="http://schemas.openxmlformats.org/officeDocument/2006/relationships/image" Target="media/7e5ded7c748e7ab6770e95bc1418db3b9b6710ec.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2026-10-25T14:33:03.855Z</dcterms:created>
  <dcterms:modified xsi:type="dcterms:W3CDTF">2026-10-25T14:33:03.856Z</dcterms:modified>
</cp:coreProperties>
</file>

<file path=docProps/custom.xml><?xml version="1.0" encoding="utf-8"?>
<Properties xmlns="http://schemas.openxmlformats.org/officeDocument/2006/custom-properties" xmlns:vt="http://schemas.openxmlformats.org/officeDocument/2006/docPropsVTypes"/>
</file>