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—Reading a panoramic radiograph means locating every tooth, numbering it and checking it for findings, yet published dental AI results are often hard to trace back to the data behind them. This paper presents DentaMind AI, a research prototype built on the public DENTEX dataset that detects teeth, assigns FDI numbers, segments tooth instances and names the closest of four finding classes (Caries, Deep Caries, Impacted, Periapical Lesion) for each detected tooth, while routing uncertain regions to a human reviewer. On a held-out internal test split of 63 radiographs, the detector reached AP50 0.966, the segmenter mask AP50 0.974 (mean matched Dice 0.873), and 96.8 % of matched teeth received the correct FDI number. On ground-truth crops from 73 test radiographs, the finding classifier reached accuracy 0.785 and macro-F1 0.646, but recall for Periapical Lesion was only 0.308. Replacing ground-truth boxes with detector boxes lowered validation macro-F1 from 0.718 to 0.634. An entropy rule flagged 54.2 % of test crops, which contained 86.8 % of the classifier’s errors; temperature scaling reduced test ECE from 0.048 to 0.036 but was not adopted. Four classifier-improvement attempts with acceptance criteria fixed in advance, and an uncertainty-based active-learning study, were all negative. Splits are grouped by pixel hash and every use of the test split is logged, but DENTEX has no patient identifiers, so patient-level leakage cannot be ruled out. The system has not been clinically validated and is not a diagnostic device.</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records both dental arches, the alveolar bone and the temporomandibular region in a single exposure, which is why it is so often the first image taken in a dental examination. The same breadth makes it demanding to read: every tooth has to be located and numbered, and each one checked for findings such as caries, impaction or periapical lesions. Deep learning now addresses each of these steps, from tooth detection, numbering and segmentation [1]–[5] to the detection of specific findings [6]–[8], and the DENTEX benchmark made it possible to study enumeration and diagnosis on the same public panoramic images [9],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practical questions receive less attention than they deserve. The first is how the stages behave together. Classifiers are usually scored on hand-drawn tooth boxes, whereas a deployed system crops whatever the detector returns, so errors propagate from one stage to the next. The second is whether the evaluation itself can be trusted: how the data were split, whether duplicate radiographs crossed splits, and how often the test set was consulted. Leakage of this kind inflates reported performance across machine-learning research [11], and near-duplicate contamination has been shown to raise benchmark scores in medical imaging [12].</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was built to answer these questions on DENTEX. It chains a tooth detector, an FDI numbering model, an instance segmenter and a finding classifier, links their outputs region by region, attaches uncertainty signals to every region and sends uncertain regions to human review. We report every evaluation recorded in the project, including negative and unfavorable results, and each number in the paper can be traced to a named evaluation report. The system is a research prototype: it has not been clinically validated and does not make diagnoses.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and Section VIII defines the evaluation. Sections IX–XI report the results, the error analysis and the uncertainty study, Section XII covers active learning, inference cost and software checks, and Sections XIII–XV address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the studies closest to this work. Tooth detection and numbering on panoramic radiographs have been approached with two-stage detectors and, more recently, single-stage YOLO models.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detect and number permanent teeth, and Peker and Kurtoglu [2] apply YOLOv10 to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show that missing teeth degrade deep-learning numbering, a failure mode that also appears in our per-tooth results. Zhang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couple instance segmentation with FDI-compliant numbering in a multi-stage system that treats supernumerary and missing teeth explicitly. For segmentation, Brahmi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review convolutional networks in dental radiography, and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[13] relate the accuracy of U-Net variants to their computational cost.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[14] combine numbering with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[7]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[8] summarize the evidence on AI for caries detection in an umbrella review.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[9] together with a diffusion-based hierarchical detector for its enumeration-and-diagnosis task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Reliability has a literature of its own. Recent reviews survey uncertainty quantification for medical image analysis, covering both probabilistic and non-probabilistic methods [15], [16]. Selective classification lets a model withhold a prediction when it is uncertain [17], and uncertainty-aware abstention has recently been examined for medical diagnosis [18]. Test-time augmentation gives an inexpensive uncertainty estimate from a single network [19]. Temperature scaling [20] remains the standard post-hoc calibration method, adaptive variants have been proposed to make it more robust [21], and the expected calibration error (ECE) [22] is the usual summary measure. Active learning aims to reduce labeling effort in medical imaging [23].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data side, Kapoor and Narayanan [11] identify leakage as a common cause of irreproducible machine-learning results, Truong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[24] benchmark pretrained embeddings for finding exact and near duplicates in medical images, and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[12] measure how near-duplicate contamination inflates performance on a brain-MRI benchmark. On the human side, it has been argued that radiology workflows should assign distinct roles to AI and human readers instead of treating AI as a generic assistant [25]. DentaMind AI takes a narrower, measurable position: the models draft, a person decides, and we report how often review is triggered. Throughout,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Multi-stage instance segmentation and FDI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Same task pair; we link stages by IoU and add review routing</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Brahmi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Systematic review, CNN segmentation in dental radiography</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our Mask R-CNN choice</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[9],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[26], Mask R-CNN [27] with a ResNet-50 [28] feature pyramid [29],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[9],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[30].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[26] with a ResNet-50 feature pyramid [28], [29] and a single foreground class, “tooth”. Detections with score ≥ 0.3 are kept. The detector does not number teeth. Instance segmentation uses Mask R-CNN [27]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4219956"/>
            <wp:effectExtent t="0" r="0" b="0" l="0"/>
            <wp:docPr id="1" name="fig1_architecture" descr="System architecture of DentaMind AI as implemented. The tooth detector feeds number assignment, mask matching and finding classification; per-region uncertainty signals become review flags before the final result, report drafting and human review. Bold outlines mark trained network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System architecture of DentaMind AI as implemented. The tooth detector feeds number assignment, mask matching and finding classification; per-region uncertainty signals become review flags before the final result, report drafting and human review. Bold outlines mark trained networks.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[30].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3621024"/>
            <wp:effectExtent t="0" r="0" b="0" l="0"/>
            <wp:docPr id="1" name="fig2_workflow" descr="End-to-end processing workflow: the ten implemented pipeline steps in execution order, the two outputs, and (dashed) the behavior when a step is unavailable or fail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36210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the ten implemented pipeline steps in execution order, the two outputs, and (dashed) the behavior when a step is unavailable or fails.</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[31]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421380"/>
            <wp:effectExtent t="0" r="0" b="0" l="0"/>
            <wp:docPr id="1" name="fig3_detection_numbering_segmentation" descr="(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2138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[32]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[19]:</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2325624"/>
            <wp:effectExtent t="0" r="0" b="0" l="0"/>
            <wp:docPr id="1" name="fig4_classification" descr="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23256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[33],</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spacing w:after="60"/>
        <w:ind w:firstLine="0"/>
        <w:jc w:val="both"/>
      </w:pPr>
      <w:r>
        <w:rPr>
          <w:rFonts w:ascii="Times New Roman" w:cs="Times New Roman" w:eastAsia="Times New Roman" w:hAnsi="Times New Roman"/>
          <w:b w:val="false"/>
          <w:bCs w:val="false"/>
          <w:i w:val="false"/>
          <w:iCs w:val="false"/>
          <w:sz w:val="20"/>
          <w:szCs w:val="20"/>
        </w:rPr>
        <w:t xml:space="preserve">Algorithm 1 summarizes how one radiograph is analyzed and routed. It follows the production pipeline step by step.</w:t>
      </w:r>
    </w:p>
    <w:p>
      <w:pPr>
        <w:keepNext/>
        <w:spacing w:before="120" w:after="40"/>
      </w:pPr>
      <w:r>
        <w:rPr>
          <w:rFonts w:ascii="Times New Roman" w:cs="Times New Roman" w:eastAsia="Times New Roman" w:hAnsi="Times New Roman"/>
          <w:b/>
          <w:bCs/>
          <w:i w:val="false"/>
          <w:iCs w:val="false"/>
          <w:sz w:val="16"/>
          <w:szCs w:val="16"/>
        </w:rPr>
        <w:t xml:space="preserve">Algorithm 1: Per-image analysis and review routing (as implemented)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40"/>
              <w:bottom w:type="dxa" w:w="40"/>
              <w:right w:type="dxa" w:w="40"/>
            </w:tcMar>
          </w:tcPr>
          <w:p>
            <w:pPr>
              <w:keepNext/>
              <w:spacing w:after="10"/>
              <w:ind w:left="200" w:hanging="200"/>
            </w:pPr>
            <w:r>
              <w:rPr>
                <w:rFonts w:ascii="Times New Roman" w:cs="Times New Roman" w:eastAsia="Times New Roman" w:hAnsi="Times New Roman"/>
                <w:b/>
                <w:bCs/>
                <w:i w:val="false"/>
                <w:iCs w:val="false"/>
                <w:sz w:val="16"/>
                <w:szCs w:val="16"/>
              </w:rPr>
              <w:t xml:space="preserve">Input:</w:t>
            </w:r>
            <w:r>
              <w:rPr>
                <w:rFonts w:ascii="Times New Roman" w:cs="Times New Roman" w:eastAsia="Times New Roman" w:hAnsi="Times New Roman"/>
                <w:b w:val="false"/>
                <w:bCs w:val="false"/>
                <w:i w:val="false"/>
                <w:iCs w:val="false"/>
                <w:sz w:val="16"/>
                <w:szCs w:val="16"/>
              </w:rPr>
              <w:t xml:space="preserve"> radiograph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(RGB, values in [0, 1]); thresholds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 0.397,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 0.076,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 0.30,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 0.50</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tooth detector(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keeping boxes with score ≥ 0.3</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2: assign FDI codes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from the numbering model (score order, IoU ≥ 0.5); run the consistency check</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segmenter(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match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one-to-one at IoU ≥ 0.5</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4: repeat detection and segmentation on the flipped image (instability signals)</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for</w:t>
            </w:r>
            <w:r>
              <w:rPr>
                <w:rFonts w:ascii="Times New Roman" w:cs="Times New Roman" w:eastAsia="Times New Roman" w:hAnsi="Times New Roman"/>
                <w:b w:val="false"/>
                <w:bCs w:val="false"/>
                <w:i w:val="false"/>
                <w:iCs w:val="false"/>
                <w:sz w:val="16"/>
                <w:szCs w:val="16"/>
              </w:rPr>
              <w:t xml:space="preserve"> each box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 classifier(crop(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 classifier(flip(crop(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7: compute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JS(</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and detection instability</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8: flags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JS ≥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score &lt;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no matched mask, number needs review, not found on flipped image}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9: status ← “abstained” if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(top class still shown); review ← flags ≠ ∅ or number unassigned</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weighted mean of the available image-level signals (7); store region records</w:t>
            </w:r>
          </w:p>
          <w:p>
            <w:pPr>
              <w:keepNext w:val="false"/>
              <w:spacing w:after="10"/>
              <w:ind w:left="200" w:hanging="200"/>
            </w:pPr>
            <w:r>
              <w:rPr>
                <w:rFonts w:ascii="Times New Roman" w:cs="Times New Roman" w:eastAsia="Times New Roman" w:hAnsi="Times New Roman"/>
                <w:b w:val="false"/>
                <w:bCs w:val="false"/>
                <w:i w:val="false"/>
                <w:iCs w:val="false"/>
                <w:sz w:val="16"/>
                <w:szCs w:val="16"/>
              </w:rPr>
              <w:t xml:space="preserve">11: draft the report as an unconfirmed draft; place the image in the review queue ordered by </w:t>
            </w:r>
            <w:r>
              <w:rPr>
                <w:rFonts w:ascii="Times New Roman" w:cs="Times New Roman" w:eastAsia="Times New Roman" w:hAnsi="Times New Roman"/>
                <w:b w:val="false"/>
                <w:bCs w:val="false"/>
                <w:i/>
                <w:iCs/>
                <w:sz w:val="16"/>
                <w:szCs w:val="16"/>
              </w:rPr>
              <w:t xml:space="preserve">S</w:t>
            </w:r>
          </w:p>
        </w:tc>
      </w:tr>
    </w:tbl>
    <w:p>
      <w:pPr>
        <w:spacing w:after="80"/>
      </w:pPr>
    </w:p>
    <w:p>
      <w:pPr>
        <w:keepNext/>
        <w:spacing w:before="120" w:after="60"/>
        <w:jc w:val="center"/>
      </w:pPr>
      <w:r>
        <w:drawing>
          <wp:inline distT="0" distB="0" distL="0" distR="0">
            <wp:extent cx="3154680" cy="2927604"/>
            <wp:effectExtent t="0" r="0" b="0" l="0"/>
            <wp:docPr id="1" name="fig5_uncertainty_review" descr="Uncertainty-aware review routing. Upper part: thresholds and routing deployed in the application. Lower dashed panel: methods evaluated offline only, which are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routing. Upper part: thresholds and routing deployed in the application. Lower dashed panel: methods evaluated offline only, which are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[34] and the classifier from ImageNet weights [31];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[22],</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[35],</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[20]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[17],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3797808"/>
            <wp:effectExtent t="0" r="0" b="0" l="0"/>
            <wp:docPr id="1" name="fig6_dataset_splits" descr="Dataset splitting and integrity protocol: pixel-hash grouping, seeded split into four splits, duplicate and leakage checks, and the gated test evaluation. Film counts are distinct labeled radiographs; the dashed note states what cannot be checked."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379780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integrity protocol: pixel-hash grouping, seeded split into four splits, duplicate and leakage checks, and the gated test evaluation. Film counts are distinct labeled radiographs; the dashed note states what cannot be checked.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50136"/>
            <wp:effectExtent t="0" r="0" b="0" l="0"/>
            <wp:docPr id="1" name="fig7_evaluation_framework" descr="Experimental evaluation framework: each task or study, its metrics and the splits on which it was evaluated. Classification on ground-truth crops and end-to-end evaluation on detector crops are listed separately."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task or study, its metrics and the splits on which it was evaluated. Classification on ground-truth crops and end-to-end evaluation on detector crops are listed separately.</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 (Ablations)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The review rate matches the high flag rate of Table XI: with the present thresholds, a large share of the work moves to the reviewer.</w:t>
      </w:r>
    </w:p>
    <w:p>
      <w:pPr>
        <w:pStyle w:val="Heading1"/>
      </w:pPr>
      <w:r>
        <w:rPr>
          <w:rFonts w:ascii="Times New Roman" w:cs="Times New Roman" w:eastAsia="Times New Roman" w:hAnsi="Times New Roman"/>
          <w:b w:val="false"/>
          <w:bCs w:val="false"/>
          <w:i w:val="false"/>
          <w:iCs w:val="false"/>
        </w:rPr>
        <w:t xml:space="preserve">XII. Active Learning, Inference Cost and Software Verification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[23].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embedding-based detectors [24] are a more sensitive alternative that we have not applied.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[11].</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released under the CC BY-NC-SA 4.0 license [9], and its terms apply to any reuse. All figures are schematic diagrams; no radiograph is reproduced.</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DENTEX, standard detectors localize and number teeth well: test AP50 is 0.966 for detection and mask AP50 0.974 for segmentation, and 96.8 % of matched teeth receive the exact FDI number. Finding classification is the weak link. Macro-F1 is 0.646 on ground-truth test crops, and on validation it drops from 0.718 to 0.634 once the classifier receives detector boxes; Deep Caries and Periapical Lesion are recognized poorly in both settings. Uncertainty flags capture most classifier errors, but only by routing more than half of all regions to review. None of the four controlled attempts to improve the classifier met its pre-set criteria, and active learning did not outperform random selection. We report these negative results because they mark the limits of what the system can currently claim, and because they show where effort is most needed: better labels for the rare classes, a “no finding” class, and external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The manuscript text was drafted with the assistance of an AI writing tool (Claude, Anthropic) from the project’s own code and evaluation reports, and every reported number was reconciled against those reports.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Zhang, Y. Yu, Q. Li, H. Chen, Y. Liang, J. Chen, and J. Yin, “A reliable multi-stage system for tooth instance segmentation and numbering in panoramic radiographs,” </w:t>
      </w:r>
      <w:r>
        <w:rPr>
          <w:rFonts w:ascii="Times New Roman" w:cs="Times New Roman" w:eastAsia="Times New Roman" w:hAnsi="Times New Roman"/>
          <w:b w:val="false"/>
          <w:bCs w:val="false"/>
          <w:i/>
          <w:iCs/>
          <w:sz w:val="16"/>
          <w:szCs w:val="16"/>
        </w:rPr>
        <w:t xml:space="preserve">IEEE J. Biomed. Health Inform.</w:t>
      </w:r>
      <w:r>
        <w:rPr>
          <w:rFonts w:ascii="Times New Roman" w:cs="Times New Roman" w:eastAsia="Times New Roman" w:hAnsi="Times New Roman"/>
          <w:b w:val="false"/>
          <w:bCs w:val="false"/>
          <w:i w:val="false"/>
          <w:iCs w:val="false"/>
          <w:sz w:val="16"/>
          <w:szCs w:val="16"/>
        </w:rPr>
        <w:t xml:space="preserve">, early access, pp. 1–13, 2025, doi: 10.1109/JBHI.2025.3643805.</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Brahmi, I. Jdey, and F. Drira, “Exploring the role of convolutional neural networks (CNN) in dental radiography segmentation: A comprehensive systematic literature review,” </w:t>
      </w:r>
      <w:r>
        <w:rPr>
          <w:rFonts w:ascii="Times New Roman" w:cs="Times New Roman" w:eastAsia="Times New Roman" w:hAnsi="Times New Roman"/>
          <w:b w:val="false"/>
          <w:bCs w:val="false"/>
          <w:i/>
          <w:iCs/>
          <w:sz w:val="16"/>
          <w:szCs w:val="16"/>
        </w:rPr>
        <w:t xml:space="preserve">Eng. Appl. Artif. Intell.</w:t>
      </w:r>
      <w:r>
        <w:rPr>
          <w:rFonts w:ascii="Times New Roman" w:cs="Times New Roman" w:eastAsia="Times New Roman" w:hAnsi="Times New Roman"/>
          <w:b w:val="false"/>
          <w:bCs w:val="false"/>
          <w:i w:val="false"/>
          <w:iCs w:val="false"/>
          <w:sz w:val="16"/>
          <w:szCs w:val="16"/>
        </w:rPr>
        <w:t xml:space="preserve">, vol. 133, Art. no. 108510, Jul. 2024, doi: 10.1016/j.engappai.2024.108510.</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Huang, Z. Sun, J. Chen, T. Yang, L. Xie, and X. Lin, “Near-duplicate contamination inflates brain MRI benchmark performance: A size-matched, multi-seed MedNeXt-B study,” </w:t>
      </w:r>
      <w:r>
        <w:rPr>
          <w:rFonts w:ascii="Times New Roman" w:cs="Times New Roman" w:eastAsia="Times New Roman" w:hAnsi="Times New Roman"/>
          <w:b w:val="false"/>
          <w:bCs w:val="false"/>
          <w:i/>
          <w:iCs/>
          <w:sz w:val="16"/>
          <w:szCs w:val="16"/>
        </w:rPr>
        <w:t xml:space="preserve">Front. Med.</w:t>
      </w:r>
      <w:r>
        <w:rPr>
          <w:rFonts w:ascii="Times New Roman" w:cs="Times New Roman" w:eastAsia="Times New Roman" w:hAnsi="Times New Roman"/>
          <w:b w:val="false"/>
          <w:bCs w:val="false"/>
          <w:i w:val="false"/>
          <w:iCs w:val="false"/>
          <w:sz w:val="16"/>
          <w:szCs w:val="16"/>
        </w:rPr>
        <w:t xml:space="preserve">, vol. 13, Art. no. 1955863, Oct. 2026, doi: 10.3389/fmed.2026.1955863.</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Huang, S. Ruan, Y. Xing, and M. Feng, “A review of uncertainty quantification in medical image analysis: Probabilistic and non-probabilistic methods,”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97, Art. no. 103223, Oct. 2024, doi: 10.1016/j.media.2024.103223.</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Lambert, F. Forbes, S. Doyle, H. Dehaene, and M. Dojat, “Trustworthy clinical AI solutions: A unified review of uncertainty quantification in deep learning models for medical image analysis,” </w:t>
      </w:r>
      <w:r>
        <w:rPr>
          <w:rFonts w:ascii="Times New Roman" w:cs="Times New Roman" w:eastAsia="Times New Roman" w:hAnsi="Times New Roman"/>
          <w:b w:val="false"/>
          <w:bCs w:val="false"/>
          <w:i/>
          <w:iCs/>
          <w:sz w:val="16"/>
          <w:szCs w:val="16"/>
        </w:rPr>
        <w:t xml:space="preserve">Artif. Intell. Med.</w:t>
      </w:r>
      <w:r>
        <w:rPr>
          <w:rFonts w:ascii="Times New Roman" w:cs="Times New Roman" w:eastAsia="Times New Roman" w:hAnsi="Times New Roman"/>
          <w:b w:val="false"/>
          <w:bCs w:val="false"/>
          <w:i w:val="false"/>
          <w:iCs w:val="false"/>
          <w:sz w:val="16"/>
          <w:szCs w:val="16"/>
        </w:rPr>
        <w:t xml:space="preserve">, vol. 150, Art. no. 102830, Apr. 2024, doi: 10.1016/j.artmed.2024.102830.</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A. Balanya, J. Maroñas, and D. Ramos, “Adaptive temperature scaling for robust calibration of deep neural networks,” </w:t>
      </w:r>
      <w:r>
        <w:rPr>
          <w:rFonts w:ascii="Times New Roman" w:cs="Times New Roman" w:eastAsia="Times New Roman" w:hAnsi="Times New Roman"/>
          <w:b w:val="false"/>
          <w:bCs w:val="false"/>
          <w:i/>
          <w:iCs/>
          <w:sz w:val="16"/>
          <w:szCs w:val="16"/>
        </w:rPr>
        <w:t xml:space="preserve">Neural Comput. Appl.</w:t>
      </w:r>
      <w:r>
        <w:rPr>
          <w:rFonts w:ascii="Times New Roman" w:cs="Times New Roman" w:eastAsia="Times New Roman" w:hAnsi="Times New Roman"/>
          <w:b w:val="false"/>
          <w:bCs w:val="false"/>
          <w:i w:val="false"/>
          <w:iCs w:val="false"/>
          <w:sz w:val="16"/>
          <w:szCs w:val="16"/>
        </w:rPr>
        <w:t xml:space="preserve">, vol. 36, no. 14, pp. 8073–8095, May 2024, doi: 10.1007/s00521-024-09505-4.</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 Truong, F. Khun Jush, and M. Lenga, “Benchmarking pretrained vision embeddings for near- and duplicate detection in medical images,” in </w:t>
      </w:r>
      <w:r>
        <w:rPr>
          <w:rFonts w:ascii="Times New Roman" w:cs="Times New Roman" w:eastAsia="Times New Roman" w:hAnsi="Times New Roman"/>
          <w:b w:val="false"/>
          <w:bCs w:val="false"/>
          <w:i/>
          <w:iCs/>
          <w:sz w:val="16"/>
          <w:szCs w:val="16"/>
        </w:rPr>
        <w:t xml:space="preserve">Proc. IEEE Int. Symp. Biomed. Imaging (ISBI)</w:t>
      </w:r>
      <w:r>
        <w:rPr>
          <w:rFonts w:ascii="Times New Roman" w:cs="Times New Roman" w:eastAsia="Times New Roman" w:hAnsi="Times New Roman"/>
          <w:b w:val="false"/>
          <w:bCs w:val="false"/>
          <w:i w:val="false"/>
          <w:iCs w:val="false"/>
          <w:sz w:val="16"/>
          <w:szCs w:val="16"/>
        </w:rPr>
        <w:t xml:space="preserve">, 2024, pp. 1–5, doi: 10.1109/ISBI56570.2024.10635550.</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Rajpurkar and E. J. Topol, “Beyond assistance: The case for role separation in AI-human radiology workflows,” </w:t>
      </w:r>
      <w:r>
        <w:rPr>
          <w:rFonts w:ascii="Times New Roman" w:cs="Times New Roman" w:eastAsia="Times New Roman" w:hAnsi="Times New Roman"/>
          <w:b w:val="false"/>
          <w:bCs w:val="false"/>
          <w:i/>
          <w:iCs/>
          <w:sz w:val="16"/>
          <w:szCs w:val="16"/>
        </w:rPr>
        <w:t xml:space="preserve">Radiology</w:t>
      </w:r>
      <w:r>
        <w:rPr>
          <w:rFonts w:ascii="Times New Roman" w:cs="Times New Roman" w:eastAsia="Times New Roman" w:hAnsi="Times New Roman"/>
          <w:b w:val="false"/>
          <w:bCs w:val="false"/>
          <w:i w:val="false"/>
          <w:iCs w:val="false"/>
          <w:sz w:val="16"/>
          <w:szCs w:val="16"/>
        </w:rPr>
        <w:t xml:space="preserve">, vol. 316, no. 1, Art. no. e250477, Jul. 2025, doi: 10.1148/radiol.250477.</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[34]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[35]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cd99471310fc2c665846ada2694291f53a6d0ca.svg"/><Relationship Id="rId9" Type="http://schemas.openxmlformats.org/officeDocument/2006/relationships/image" Target="media/c1247e9018050859652f034255980214b711b256.png"/><Relationship Id="rId10" Type="http://schemas.openxmlformats.org/officeDocument/2006/relationships/image" Target="media/6e7f292ad9769d7b8304838620bb7fdf4b05ce3c.svg"/><Relationship Id="rId11" Type="http://schemas.openxmlformats.org/officeDocument/2006/relationships/image" Target="media/ac6a1a80b62effd4b46884ad3b2c8f033feeabb7.png"/><Relationship Id="rId12" Type="http://schemas.openxmlformats.org/officeDocument/2006/relationships/image" Target="media/e6a3c473c8c757e664e61eea7e26eb904051454c.svg"/><Relationship Id="rId13" Type="http://schemas.openxmlformats.org/officeDocument/2006/relationships/image" Target="media/9c803366ad5bd37a3218314bf78a2e1105f0ebf7.png"/><Relationship Id="rId14" Type="http://schemas.openxmlformats.org/officeDocument/2006/relationships/image" Target="media/a1c972eb2c01b1858ad47193ffce4a4826295a88.svg"/><Relationship Id="rId15" Type="http://schemas.openxmlformats.org/officeDocument/2006/relationships/image" Target="media/8bbd2549e8b1c58126d9522876bf5130cbb093b3.png"/><Relationship Id="rId16" Type="http://schemas.openxmlformats.org/officeDocument/2006/relationships/image" Target="media/ce5c00c5620664807203a074d3d9a3ff61f351e0.svg"/><Relationship Id="rId17" Type="http://schemas.openxmlformats.org/officeDocument/2006/relationships/image" Target="media/21a7d1562c0a1c79afa0d57334ecf9632082b1db.png"/><Relationship Id="rId18" Type="http://schemas.openxmlformats.org/officeDocument/2006/relationships/image" Target="media/300b25356b3420295f5020175241b1c201aa1e40.svg"/><Relationship Id="rId19" Type="http://schemas.openxmlformats.org/officeDocument/2006/relationships/image" Target="media/59ad47fc752d24a24422674efdd0e6d6650c8879.png"/><Relationship Id="rId20" Type="http://schemas.openxmlformats.org/officeDocument/2006/relationships/image" Target="media/e99267af53d5b2ad09c19c4aaa52de6a625c3fa3.svg"/><Relationship Id="rId21" Type="http://schemas.openxmlformats.org/officeDocument/2006/relationships/image" Target="media/65c3ff903977a15ee7ec2de3b6c33edbf6b4e60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2026-10-25T14:21:19.889Z</dcterms:created>
  <dcterms:modified xsi:type="dcterms:W3CDTF">2026-10-25T14:21:19.890Z</dcterms:modified>
</cp:coreProperties>
</file>

<file path=docProps/custom.xml><?xml version="1.0" encoding="utf-8"?>
<Properties xmlns="http://schemas.openxmlformats.org/officeDocument/2006/custom-properties" xmlns:vt="http://schemas.openxmlformats.org/officeDocument/2006/docPropsVTypes"/>
</file>