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val="false"/>
          <w:bCs w:val="false"/>
          <w:i w:val="false"/>
          <w:iCs w:val="false"/>
          <w:sz w:val="44"/>
          <w:szCs w:val="44"/>
        </w:rPr>
        <w:t xml:space="preserve">DentaMind AI: An Uncertainty-Aware Pipeline for Tooth Detection, FDI Numbering, Segmentation and Finding Classification on Panoramic Dental Radiographs</w:t>
      </w:r>
    </w:p>
    <w:p>
      <w:pPr>
        <w:spacing w:after="40"/>
        <w:jc w:val="center"/>
      </w:pPr>
      <w:r>
        <w:rPr>
          <w:rFonts w:ascii="Times New Roman" w:cs="Times New Roman" w:eastAsia="Times New Roman" w:hAnsi="Times New Roman"/>
          <w:b w:val="false"/>
          <w:bCs w:val="false"/>
          <w:i w:val="false"/>
          <w:iCs w:val="false"/>
          <w:sz w:val="22"/>
          <w:szCs w:val="22"/>
        </w:rPr>
        <w:t xml:space="preserve">Nilesh Sonawane, Saurabh Mali, Sadhyoj Hanwate, and Sachet Lothe</w:t>
      </w:r>
    </w:p>
    <w:p>
      <w:pPr>
        <w:spacing w:after="20"/>
        <w:jc w:val="center"/>
      </w:pPr>
      <w:r>
        <w:rPr>
          <w:rFonts w:ascii="Times New Roman" w:cs="Times New Roman" w:eastAsia="Times New Roman" w:hAnsi="Times New Roman"/>
          <w:b w:val="false"/>
          <w:bCs w:val="false"/>
          <w:i/>
          <w:iCs/>
          <w:sz w:val="20"/>
          <w:szCs w:val="20"/>
        </w:rPr>
        <w:t xml:space="preserve">Guide: Dr. Pradnya Narkhede</w:t>
      </w:r>
    </w:p>
    <w:p>
      <w:pPr>
        <w:spacing w:after="240"/>
        <w:jc w:val="center"/>
      </w:pPr>
      <w:r>
        <w:rPr>
          <w:rFonts w:ascii="Times New Roman" w:cs="Times New Roman" w:eastAsia="Times New Roman" w:hAnsi="Times New Roman"/>
          <w:b w:val="false"/>
          <w:bCs w:val="false"/>
          <w:i/>
          <w:iCs/>
          <w:sz w:val="20"/>
          <w:szCs w:val="20"/>
        </w:rPr>
        <w:t xml:space="preserve">Department of Computer Engineering, Pimpri Chinchwad College of Engineering (PCCOE), Pune, Maharashtra, India</w:t>
      </w:r>
    </w:p>
    <w:p>
      <w:pPr>
        <w:spacing w:after="1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i w:val="false"/>
          <w:iCs w:val="false"/>
          <w:sz w:val="18"/>
          <w:szCs w:val="18"/>
        </w:rPr>
        <w:t xml:space="preserve">—Reading a panoramic radiograph means locating every tooth, numbering it and checking it for findings, yet published dental AI results are often hard to trace back to the data behind them. This paper presents DentaMind AI, a research prototype built on the public DENTEX dataset that detects teeth, assigns FDI numbers, segments tooth instances and names the closest of four finding classes (Caries, Deep Caries, Impacted, Periapical Lesion) for each detected tooth, while routing uncertain regions to a human reviewer. On a held-out internal test split of 63 radiographs, the detector reached AP50 0.966, the segmenter mask AP50 0.974 (mean matched Dice 0.873), and 96.8 % of matched teeth received the correct FDI number. On ground-truth crops from 73 test radiographs, the finding classifier reached accuracy 0.785 and macro-F1 0.646, but recall for Periapical Lesion was only 0.308. Replacing ground-truth boxes with detector boxes lowered validation macro-F1 from 0.718 to 0.634. An entropy rule flagged 54.2 % of test crops, which contained 86.8 % of the classifier’s errors; temperature scaling reduced test ECE from 0.048 to 0.036 but was not adopted. Four classifier-improvement attempts with acceptance criteria fixed in advance, and an uncertainty-based active-learning study, were all negative. Splits are grouped by pixel hash and every use of the test split is logged, but DENTEX has no patient identifiers, so patient-level leakage cannot be ruled out. The system has not been clinically validated and is not a diagnostic device.</w:t>
      </w:r>
    </w:p>
    <w:p>
      <w:pPr>
        <w:spacing w:after="20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i w:val="false"/>
          <w:iCs w:val="false"/>
          <w:sz w:val="18"/>
          <w:szCs w:val="18"/>
        </w:rPr>
        <w:t xml:space="preserve">—Dental panoramic radiography, DENTEX, tooth detection, FDI tooth numbering, instance segmentation, finding classification, uncertainty estimation, calibration, selective prediction, human review, data leakage, reproducibility.</w:t>
      </w:r>
    </w:p>
    <w:p>
      <w:pPr>
        <w:sectPr>
          <w:footerReference w:type="default" r:id="rId6"/>
          <w:pgSz w:w="12240" w:h="15840" w:orient="portrait"/>
          <w:pgMar w:top="1080" w:right="900" w:bottom="1440" w:left="900" w:header="708" w:footer="720" w:gutter="0"/>
          <w:pgNumType/>
          <w:docGrid w:linePitch="360"/>
        </w:sectPr>
      </w:pPr>
    </w:p>
    <w:p>
      <w:pPr>
        <w:pStyle w:val="Heading1"/>
      </w:pPr>
      <w:r>
        <w:rPr>
          <w:rFonts w:ascii="Times New Roman" w:cs="Times New Roman" w:eastAsia="Times New Roman" w:hAnsi="Times New Roman"/>
          <w:b w:val="false"/>
          <w:bCs w:val="false"/>
          <w:i w:val="false"/>
          <w:iCs w:val="false"/>
        </w:rPr>
        <w:t xml:space="preserve">I. Introduction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 panoramic radiograph records both dental arches, the alveolar bone and the temporomandibular region in a single exposure, which is why it is so often the first image taken in a dental examination. The same breadth makes it demanding to read: every tooth has to be located and numbered, and each one checked for findings such as caries, impaction or periapical lesions. Deep learning now addresses each of these steps, from tooth detection, numbering and segmentation [1]–[5] to the detection of specific findings [6]–[8], and the DENTEX benchmark made it possible to study enumeration and diagnosis on the same public panoramic images [9], [10].</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Two practical questions receive less attention than they deserve. The first is how the stages behave together. Classifiers are usually scored on hand-drawn tooth boxes, whereas a deployed system crops whatever the detector returns, so errors propagate from one stage to the next. The second is whether the evaluation itself can be trusted: how the data were split, whether duplicate radiographs crossed splits, and how often the test set was consulted. Leakage of this kind inflates reported performance across machine-learning research [11], and near-duplicate contamination has been shown to raise benchmark scores in medical imaging [12].</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DentaMind AI was built to answer these questions on DENTEX. It chains a tooth detector, an FDI numbering model, an instance segmenter and a finding classifier, links their outputs region by region, attaches uncertainty signals to every region and sends uncertain regions to human review. We report every evaluation recorded in the project, including negative and unfavorable results, and each number in the paper can be traced to a named evaluation report. The system is a research prototype: it has not been clinically validated and does not make diagnoses.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1 gives an overview of the system and Fig. 2 its processing workflow. Figs. 3, 4 and 5 detail the numbering, classification and review stages, Fig. 6 the data protocol and Fig. 7 the evaluation framework. Section II reviews related work and Section III states the contributions. Sections IV–VII describe the data, architecture, methods and training, and Section VIII defines the evaluation. Sections IX–XI report the results, the error analysis and the uncertainty study, Section XII covers active learning, inference cost and software checks, and Sections XIII–XV address data integrity, limitations and future work.</w:t>
      </w:r>
    </w:p>
    <w:p>
      <w:pPr>
        <w:pStyle w:val="Heading1"/>
      </w:pPr>
      <w:r>
        <w:rPr>
          <w:rFonts w:ascii="Times New Roman" w:cs="Times New Roman" w:eastAsia="Times New Roman" w:hAnsi="Times New Roman"/>
          <w:b w:val="false"/>
          <w:bCs w:val="false"/>
          <w:i w:val="false"/>
          <w:iCs w:val="false"/>
        </w:rPr>
        <w:t xml:space="preserve">II. Related Work</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I summarizes the studies closest to this work. Tooth detection and numbering on panoramic radiographs have been approached with two-stage detectors and, more recently, single-stage YOLO models. Putra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 detect and number permanent teeth, and Peker and Kurtoglu [2] apply YOLOv10 to 200 pediatric patients in the mixed dentition. Tang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[3] show that missing teeth degrade deep-learning numbering, a failure mode that also appears in our per-tooth results. Zhang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[4] couple instance segmentation with FDI-compliant numbering in a multi-stage system that treats supernumerary and missing teeth explicitly. For segmentation, Brahmi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[5] review convolutional networks in dental radiography, and Yalım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[13] relate the accuracy of U-Net variants to their computational cost. Ayhan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[14] combine numbering with caries detection, but on bitewing rather than panoramic radiographs.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For findings, Szabó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[6] evaluate a commercial system for periapical lesion detection on 616 teeth from 357 panoramic radiographs, and Raeisi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[7] study multi-label diagnosis of dental conditions on panoramic X-rays with attention-enhanced networks. Bittar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[8] summarize the evidence on AI for caries detection in an umbrella review. Hamamci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introduced the DENTEX benchmark [9] together with a diffusion-based hierarchical detector for its enumeration-and-diagnosis task [10].</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Reliability has a literature of its own. Recent reviews survey uncertainty quantification for medical image analysis, covering both probabilistic and non-probabilistic methods [15], [16]. Selective classification lets a model withhold a prediction when it is uncertain [17], and uncertainty-aware abstention has recently been examined for medical diagnosis [18]. Test-time augmentation gives an inexpensive uncertainty estimate from a single network [19]. Temperature scaling [20] remains the standard post-hoc calibration method, adaptive variants have been proposed to make it more robust [21], and the expected calibration error (ECE) [22] is the usual summary measure. Active learning aims to reduce labeling effort in medical imaging [23].</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On the data side, Kapoor and Narayanan [11] identify leakage as a common cause of irreproducible machine-learning results, Truong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[24] benchmark pretrained vision embeddings for detecting exact and near duplicates among 3-D medical images, and Huang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[12] measure how near-duplicate contamination inflates performance on a brain-MRI benchmark. On the human side, it has been argued that radiology workflows should assign distinct roles to AI and human readers instead of treating AI as a generic assistant [25]. DentaMind AI takes a narrower, measurable position: the models draft, a person decides, and we report how often review is triggered. Throughout, we use these ideas as tools and measure how much they help on DENTEX; we do not propose new methods for them.</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Recent Studies Related to This Work</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40"/>
        <w:gridCol w:w="1950"/>
        <w:gridCol w:w="1850"/>
      </w:tblGrid>
      <w:tr>
        <w:trPr>
          <w:cantSplit/>
          <w:tblHeader/>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Study</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Task and data</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Relation to this work</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Putra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[1]</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Permanent-tooth detection and numbering, panoramic</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Same tasks; we add end-to-end and uncertainty evaluation</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Peker, Kurtoglu [2]</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YOLOv10 detection and numbering, mixed dentition (200 patients)</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Numbering task; our data are adult DENTEX films</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Tang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[3]</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Effect of missing teeth on numbering, panoramic</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Explains a failure mode seen in our per-tooth results</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Zhang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[4]</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Multi-stage instance segmentation and FDI numbering, panoramic</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Same task pair; we link stages by IoU and add review routing</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Brahmi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[5]</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Systematic review (45 studies), CNN segmentation in dental imaging</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Context for CNN-based tooth segmentation</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Ayhan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[14]</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Tooth numbering and caries detection, bitewing</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Combined numbering and finding task, different modality</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Szabó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[6]</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Commercial system, periapical lesions, 357 panoramics</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Our weakest class is Periapical Lesion</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Raeisi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[7]</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Multi-label dental conditions, panoramic</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Our classifier is single-label (Section X)</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Yalım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[13]</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U-Net tooth segmentation, accuracy vs. cost</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We use Mask R-CNN instances and report latency</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Bittar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[8]</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Umbrella review, AI caries detection</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Context for caries results</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Hamamci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[9], [10]</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DENTEX benchmark; hierarchical diffusion detector</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Source of our data and finding taxonomy</w:t>
            </w:r>
          </w:p>
        </w:tc>
      </w:tr>
    </w:tbl>
    <w:p>
      <w:pPr>
        <w:spacing w:after="60"/>
      </w:pPr>
    </w:p>
    <w:p>
      <w:pPr>
        <w:pStyle w:val="Heading1"/>
      </w:pPr>
      <w:r>
        <w:rPr>
          <w:rFonts w:ascii="Times New Roman" w:cs="Times New Roman" w:eastAsia="Times New Roman" w:hAnsi="Times New Roman"/>
          <w:b w:val="false"/>
          <w:bCs w:val="false"/>
          <w:i w:val="false"/>
          <w:iCs w:val="false"/>
        </w:rPr>
        <w:t xml:space="preserve">III. Research Gap and Contributions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models we use—Faster R-CNN [26], Mask R-CNN [27] with a ResNet-50 [28] feature pyramid [29], and a ResNet-50 classifier—are standard, and we do not claim any architectural novelty. The gap we address is evidence: what a complete panoramic-radiograph pipeline achieves when every stage is measured on the same held-out data, how the stages interact, and whether common uncertainty and data-efficiency techniques actually help. Our contributions are:</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integrated, open pipeline that links detection, FDI numbering, segmentation and finding classification region by region through IoU matching, never by list position;</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end-to-end validation study that measures how detector boxes, rather than ground-truth boxes, change finding classification, with the sources of the gap broken down;</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evaluation of uncertainty-based review routing, calibration and abstention rules with thresholds fixed on a separate calibration split, including the rules that failed;</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four controlled attempts to improve the finding classifier (class-imbalance methods, crop jitter, a training-recipe comparison and a cloud re-run) with acceptance criteria fixed before the results were known, plus an active-learning study; all were negative; and</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auditable data protocol: pixel-hash grouped splits, leakage checks, and a hash-chained test-set ledger that records every use of the test split.</w:t>
      </w:r>
    </w:p>
    <w:p>
      <w:pPr>
        <w:pStyle w:val="Heading1"/>
      </w:pPr>
      <w:r>
        <w:rPr>
          <w:rFonts w:ascii="Times New Roman" w:cs="Times New Roman" w:eastAsia="Times New Roman" w:hAnsi="Times New Roman"/>
          <w:b w:val="false"/>
          <w:bCs w:val="false"/>
          <w:i w:val="false"/>
          <w:iCs w:val="false"/>
        </w:rPr>
        <w:t xml:space="preserve">IV. Dataset and Data Preparation</w:t>
      </w:r>
    </w:p>
    <w:p>
      <w:pPr>
        <w:pStyle w:val="Heading2"/>
      </w:pPr>
      <w:r>
        <w:rPr>
          <w:rFonts w:ascii="Times New Roman" w:cs="Times New Roman" w:eastAsia="Times New Roman" w:hAnsi="Times New Roman"/>
          <w:b w:val="false"/>
          <w:bCs w:val="false"/>
          <w:i w:val="false"/>
          <w:iCs w:val="false"/>
        </w:rPr>
        <w:t xml:space="preserve">A. DENTEX Sub-Sets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We use the DENTEX panoramic radiographs [9], which come from three institutions and several scanners. Table II lists the sub-sets found on disk, as measured by the project’s dataset audit. The </w:t>
      </w:r>
      <w:r>
        <w:rPr>
          <w:rFonts w:ascii="Times New Roman" w:cs="Times New Roman" w:eastAsia="Times New Roman" w:hAnsi="Times New Roman"/>
          <w:b w:val="false"/>
          <w:bCs w:val="false"/>
          <w:i/>
          <w:iCs/>
          <w:sz w:val="20"/>
          <w:szCs w:val="20"/>
        </w:rPr>
        <w:t xml:space="preserve">quadrant</w:t>
      </w:r>
      <w:r>
        <w:rPr>
          <w:rFonts w:ascii="Times New Roman" w:cs="Times New Roman" w:eastAsia="Times New Roman" w:hAnsi="Times New Roman"/>
          <w:b w:val="false"/>
          <w:bCs w:val="false"/>
          <w:i w:val="false"/>
          <w:iCs w:val="false"/>
          <w:sz w:val="20"/>
          <w:szCs w:val="20"/>
        </w:rPr>
        <w:t xml:space="preserve"> sub-set labels quadrants. The </w:t>
      </w:r>
      <w:r>
        <w:rPr>
          <w:rFonts w:ascii="Times New Roman" w:cs="Times New Roman" w:eastAsia="Times New Roman" w:hAnsi="Times New Roman"/>
          <w:b w:val="false"/>
          <w:bCs w:val="false"/>
          <w:i/>
          <w:iCs/>
          <w:sz w:val="20"/>
          <w:szCs w:val="20"/>
        </w:rPr>
        <w:t xml:space="preserve">quadrant-enumeration</w:t>
      </w:r>
      <w:r>
        <w:rPr>
          <w:rFonts w:ascii="Times New Roman" w:cs="Times New Roman" w:eastAsia="Times New Roman" w:hAnsi="Times New Roman"/>
          <w:b w:val="false"/>
          <w:bCs w:val="false"/>
          <w:i w:val="false"/>
          <w:iCs w:val="false"/>
          <w:sz w:val="20"/>
          <w:szCs w:val="20"/>
        </w:rPr>
        <w:t xml:space="preserve"> sub-set labels every tooth with its quadrant and tooth index, which together give the two-digit FDI code [30]. The </w:t>
      </w:r>
      <w:r>
        <w:rPr>
          <w:rFonts w:ascii="Times New Roman" w:cs="Times New Roman" w:eastAsia="Times New Roman" w:hAnsi="Times New Roman"/>
          <w:b w:val="false"/>
          <w:bCs w:val="false"/>
          <w:i/>
          <w:iCs/>
          <w:sz w:val="20"/>
          <w:szCs w:val="20"/>
        </w:rPr>
        <w:t xml:space="preserve">quadrant-enumeration-disease</w:t>
      </w:r>
      <w:r>
        <w:rPr>
          <w:rFonts w:ascii="Times New Roman" w:cs="Times New Roman" w:eastAsia="Times New Roman" w:hAnsi="Times New Roman"/>
          <w:b w:val="false"/>
          <w:bCs w:val="false"/>
          <w:i w:val="false"/>
          <w:iCs w:val="false"/>
          <w:sz w:val="20"/>
          <w:szCs w:val="20"/>
        </w:rPr>
        <w:t xml:space="preserve"> sub-set labels only teeth that carry one of four findings. All annotations include both boxes and polygon masks.</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DENTEX Sub-Sets Present in the Project (Dataset Audit, 2026-10-14)</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50"/>
        <w:gridCol w:w="650"/>
        <w:gridCol w:w="900"/>
        <w:gridCol w:w="1840"/>
      </w:tblGrid>
      <w:tr>
        <w:trPr>
          <w:cantSplit/>
          <w:tblHeader/>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Sub-set</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Images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Annotations</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Use</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quadrant</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2,772</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not used by the current models</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quadrant-enumeration</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634</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18,095</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 numbering, segmentation</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quadrant-enumeration-disease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705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3,529</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finding classification</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unlabelled</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1,571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active-learning pool</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validation_data (unlabeled)</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50</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inference demonstration only</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All files on disk</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3,653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2,716 distinct radiographs by pixels</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Data/reports/dataset_audit.md. Annotated entries total 2,005 but contain only 1,133 distinct radiographs, because the sub-sets reuse the same films under different file names. In the disease sub-set, 27 images have no annotation.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sub-sets overlap heavily. The 3,653 files contain only 2,716 distinct radiographs, and the 2,005 annotated entries only 1,133. For example, 235 radiographs appear in all three annotated sub-sets, sometimes under different file names. Image counts quoted for DENTEX therefore count entries, not independent patients.</w:t>
      </w:r>
    </w:p>
    <w:p>
      <w:pPr>
        <w:pStyle w:val="Heading2"/>
      </w:pPr>
      <w:r>
        <w:rPr>
          <w:rFonts w:ascii="Times New Roman" w:cs="Times New Roman" w:eastAsia="Times New Roman" w:hAnsi="Times New Roman"/>
          <w:b w:val="false"/>
          <w:bCs w:val="false"/>
          <w:i w:val="false"/>
          <w:iCs w:val="false"/>
        </w:rPr>
        <w:t xml:space="preserve">B. Finding Taxonomy and Excluded Data</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disease sub-set contains 2,189 Caries, 578 Deep Caries, 604 Impacted and 158 Periapical Lesion annotations. There is no “healthy” label: a tooth without a finding is simply not annotated. The official DENTEX test release uses a Turkish, treatment-oriented label set (for example “1-çürük” and “3-kanal”). The project found no verified equivalence between those labels and the four English finding classes. On the one radiograph shared between the two releases, the English labels contradicted the mapping. The official test set is therefore excluded from every evaluation in this paper. The project also found that 95 of the 250 official test images are byte-identical to radiographs in DENTEX’s own training sub-sets. The 50 unlabeled </w:t>
      </w:r>
      <w:r>
        <w:rPr>
          <w:rFonts w:ascii="Times New Roman" w:cs="Times New Roman" w:eastAsia="Times New Roman" w:hAnsi="Times New Roman"/>
          <w:b w:val="false"/>
          <w:bCs w:val="false"/>
          <w:i/>
          <w:iCs/>
          <w:sz w:val="20"/>
          <w:szCs w:val="20"/>
        </w:rPr>
        <w:t xml:space="preserve">validation_data</w:t>
      </w:r>
      <w:r>
        <w:rPr>
          <w:rFonts w:ascii="Times New Roman" w:cs="Times New Roman" w:eastAsia="Times New Roman" w:hAnsi="Times New Roman"/>
          <w:b w:val="false"/>
          <w:bCs w:val="false"/>
          <w:i w:val="false"/>
          <w:iCs w:val="false"/>
          <w:sz w:val="20"/>
          <w:szCs w:val="20"/>
        </w:rPr>
        <w:t xml:space="preserve"> images are used only to demonstrate inference; 20 of them duplicate labeled radiographs.</w:t>
      </w:r>
    </w:p>
    <w:p>
      <w:pPr>
        <w:pStyle w:val="Heading2"/>
      </w:pPr>
      <w:r>
        <w:rPr>
          <w:rFonts w:ascii="Times New Roman" w:cs="Times New Roman" w:eastAsia="Times New Roman" w:hAnsi="Times New Roman"/>
          <w:b w:val="false"/>
          <w:bCs w:val="false"/>
          <w:i w:val="false"/>
          <w:iCs w:val="false"/>
        </w:rPr>
        <w:t xml:space="preserve">C. Splitting Procedure</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Each radiograph is identified by the SHA-256 hash of its pixels, so identical copies across sub-sets form one group and always share a split. Groups are assigned with seed 42 to train, validation, calibration and test splits in proportions 0.70/0.10/0.10/0.10. The split file is append-only: images that already have a split never move. Fig. 6 summarizes the procedure, and Table III gives the resulting counts per task. Each split has a fixed role. Train is used to fit weights. Validation selects the training epoch and provides the reported validation metrics. Calibration fits thresholds and the temperature. Test is reserved for final metrics.</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Split Statistics per Task</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440"/>
        <w:gridCol w:w="650"/>
        <w:gridCol w:w="650"/>
        <w:gridCol w:w="650"/>
        <w:gridCol w:w="650"/>
      </w:tblGrid>
      <w:tr>
        <w:trPr>
          <w:cantSplit/>
          <w:tblHeader/>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Task (sub-set)</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Train</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Val.</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Cal.</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Test</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 numbering, segmentation: radiographs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440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62</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 tooth boxes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2,000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1,790</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Findings: radiographs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476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64</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73</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Findings: Caries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1,550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205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206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228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Findings: Deep Caries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438</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47</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Findings: Impacted</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412</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72</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65</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Findings: Periapical Lesion</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120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9</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dataset_audit.md, eval_*.json and reports/training_summary.md. Finding counts are ground-truth finding boxes (crops). The training imbalance between Caries and Periapical Lesion is 12.9 : 1. Calibration finding count: 324 crops.</w:t>
      </w:r>
    </w:p>
    <w:p>
      <w:pPr>
        <w:pStyle w:val="Heading1"/>
      </w:pPr>
      <w:r>
        <w:rPr>
          <w:rFonts w:ascii="Times New Roman" w:cs="Times New Roman" w:eastAsia="Times New Roman" w:hAnsi="Times New Roman"/>
          <w:b w:val="false"/>
          <w:bCs w:val="false"/>
          <w:i w:val="false"/>
          <w:iCs w:val="false"/>
        </w:rPr>
        <w:t xml:space="preserve">V. System Architecture</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1 shows the implemented system. A FastAPI back end runs the full-analysis pipeline. A SQLite store keeps images, analyses, reviews and reports, and a React front end displays them. The original upload is never modified. Models receive the RGB image as floating-point values in [0, 1] at full resolution, and torchvision’s internal transform resizes it (shorter side 800 px, longer side at most 1,333 px). Grayscale contrast statistics are computed only to raise image-quality flags and never change the model input.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2 lists the ten pipeline steps in execution order. Each step is timed and records its status. A step whose model is missing is reported as “unavailable” and a crashed step as “failed”. Later steps that do not depend on it still run, and a missing signal is reported as unavailable rather than as zero. Regions carry a content-derived identifier (image, rounded box and model version), so a review stays attached to the region the reviewer actually saw.</w:t>
      </w:r>
    </w:p>
    <w:p>
      <w:pPr>
        <w:pStyle w:val="Heading1"/>
      </w:pPr>
      <w:r>
        <w:rPr>
          <w:rFonts w:ascii="Times New Roman" w:cs="Times New Roman" w:eastAsia="Times New Roman" w:hAnsi="Times New Roman"/>
          <w:b w:val="false"/>
          <w:bCs w:val="false"/>
          <w:i w:val="false"/>
          <w:iCs w:val="false"/>
        </w:rPr>
        <w:t xml:space="preserve">VI. Methodology</w:t>
      </w:r>
    </w:p>
    <w:p>
      <w:pPr>
        <w:pStyle w:val="Heading2"/>
      </w:pPr>
      <w:r>
        <w:rPr>
          <w:rFonts w:ascii="Times New Roman" w:cs="Times New Roman" w:eastAsia="Times New Roman" w:hAnsi="Times New Roman"/>
          <w:b w:val="false"/>
          <w:bCs w:val="false"/>
          <w:i w:val="false"/>
          <w:iCs w:val="false"/>
        </w:rPr>
        <w:t xml:space="preserve">A. Tooth Detection and Instance Segmentation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Tooth detection uses Faster R-CNN [26] with a ResNet-50 feature pyramid [28], [29] and a single foreground class, “tooth”. Detections with score ≥ 0.3 are kept. The detector does not number teeth. Instance segmentation uses Mask R-CNN [27] trained on DENTEX’s polygon masks; boxes are never converted into masks. A mask instance and a detector box are linked by one-to-one greedy matching at intersection over union (IoU) ≥ 0.5:</w:t>
      </w:r>
    </w:p>
    <w:p>
      <w:pPr>
        <w:keepLines/>
        <w:tabs>
          <w:tab w:val="center" w:pos="2520"/>
          <w:tab w:val="right" w:pos="5040"/>
        </w:tabs>
        <w:spacing w:before="60" w:after="60"/>
      </w:pPr>
      <w:r>
        <w:rPr>
          <w:rFonts w:ascii="Times New Roman" w:cs="Times New Roman" w:eastAsia="Times New Roman" w:hAnsi="Times New Roman"/>
        </w:rPr>
        <w:tab/>
      </w:r>
      <m:oMath>
        <m:r>
          <m:rPr>
            <m:sty m:val="p"/>
          </m:rPr>
          <m:t>IoU</m:t>
        </m:r>
        <m:d>
          <m:dPr/>
          <m:e>
            <m:r>
              <m:t>A,B</m:t>
            </m:r>
          </m:e>
        </m:d>
        <m:r>
          <m:t>=</m:t>
        </m:r>
        <m:f>
          <m:num>
            <m:r>
              <m:t>|A∩B|</m:t>
            </m:r>
          </m:num>
          <m:den>
            <m:r>
              <m:t>|A∪B|</m:t>
            </m:r>
          </m:den>
        </m:f>
      </m:oMath>
      <w:r>
        <w:rPr>
          <w:rFonts w:ascii="Times New Roman" w:cs="Times New Roman" w:eastAsia="Times New Roman" w:hAnsi="Times New Roman"/>
          <w:sz w:val="20"/>
          <w:szCs w:val="20"/>
        </w:rPr>
        <w:tab/>
        <w:t xml:space="preserve">(1)</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A</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B</w:t>
      </w:r>
      <w:r>
        <w:rPr>
          <w:rFonts w:ascii="Times New Roman" w:cs="Times New Roman" w:eastAsia="Times New Roman" w:hAnsi="Times New Roman"/>
          <w:b w:val="false"/>
          <w:bCs w:val="false"/>
          <w:i w:val="false"/>
          <w:iCs w:val="false"/>
          <w:sz w:val="20"/>
          <w:szCs w:val="20"/>
        </w:rPr>
        <w:t xml:space="preserve"> are boxes or binary masks. Mask quality is also summarized by the Dice coefficient,</w:t>
      </w:r>
    </w:p>
    <w:p>
      <w:pPr>
        <w:keepLines/>
        <w:tabs>
          <w:tab w:val="center" w:pos="2520"/>
          <w:tab w:val="right" w:pos="5040"/>
        </w:tabs>
        <w:spacing w:before="60" w:after="60"/>
      </w:pPr>
      <w:r>
        <w:rPr>
          <w:rFonts w:ascii="Times New Roman" w:cs="Times New Roman" w:eastAsia="Times New Roman" w:hAnsi="Times New Roman"/>
        </w:rPr>
        <w:tab/>
      </w:r>
      <m:oMath>
        <m:r>
          <m:rPr>
            <m:sty m:val="p"/>
          </m:rPr>
          <m:t>Dice</m:t>
        </m:r>
        <m:d>
          <m:dPr/>
          <m:e>
            <m:r>
              <m:t>A,B</m:t>
            </m:r>
          </m:e>
        </m:d>
        <m:r>
          <m:t>=</m:t>
        </m:r>
        <m:f>
          <m:num>
            <m:r>
              <m:t>2|A∩B|</m:t>
            </m:r>
          </m:num>
          <m:den>
            <m:r>
              <m:t>|A|+|B|</m:t>
            </m:r>
          </m:den>
        </m:f>
      </m:oMath>
      <w:r>
        <w:rPr>
          <w:rFonts w:ascii="Times New Roman" w:cs="Times New Roman" w:eastAsia="Times New Roman" w:hAnsi="Times New Roman"/>
          <w:sz w:val="20"/>
          <w:szCs w:val="20"/>
        </w:rPr>
        <w:tab/>
        <w:t xml:space="preserve">(2)</w:t>
      </w:r>
    </w:p>
    <w:p>
      <w:pPr>
        <w:keepNext/>
        <w:spacing w:before="120" w:after="60"/>
        <w:jc w:val="center"/>
      </w:pPr>
      <w:r>
        <w:drawing>
          <wp:inline distT="0" distB="0" distL="0" distR="0">
            <wp:extent cx="3154680" cy="4219956"/>
            <wp:effectExtent t="0" r="0" b="0" l="0"/>
            <wp:docPr id="1" name="fig1_architecture" descr="System architecture of DentaMind AI as implemented. The tooth detector feeds number assignment, mask matching and finding classification; per-region uncertainty signals become review flags before the final result, report drafting and human review. Bold outlines mark trained networks."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3154680" cy="4219956"/>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1.  System architecture of DentaMind AI as implemented. The tooth detector feeds number assignment, mask matching and finding classification; per-region uncertainty signals become review flags before the final result, report drafting and human review. Bold outlines mark trained networks.</w:t>
      </w:r>
    </w:p>
    <w:p>
      <w:pPr>
        <w:pStyle w:val="Heading2"/>
      </w:pPr>
      <w:r>
        <w:rPr>
          <w:rFonts w:ascii="Times New Roman" w:cs="Times New Roman" w:eastAsia="Times New Roman" w:hAnsi="Times New Roman"/>
          <w:b w:val="false"/>
          <w:bCs w:val="false"/>
          <w:i w:val="false"/>
          <w:iCs w:val="false"/>
        </w:rPr>
        <w:t xml:space="preserve">B. FDI Tooth Numbering</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Numbering uses a second Faster R-CNN with 32 foreground classes, one per permanent FDI code [30]. Faster R-CNN suppresses overlapping boxes only within a class, so one tooth can come back with several numbers. The raw output is therefore resolved: boxes below score 0.3 are dropped, class-agnostic non-maximum suppression at IoU 0.5 is applied, and the best box per FDI code is kept. Detector boxes are then visited in descending score order, and each takes the unused numbering box with the highest IoU if that IoU is at least 0.5 (Fig. 3a). A tooth without such a box stays “unassigned”: the system never guesses a number. A rule-based check then marks a number for review when it is duplicated, when its confidence is below 0.5, or when the box lies on the wrong side or arch for its quadrant. The panoramic convention used is that image-left is patient-right.</w:t>
      </w:r>
    </w:p>
    <w:p>
      <w:pPr>
        <w:keepNext/>
        <w:spacing w:before="120" w:after="60"/>
        <w:jc w:val="center"/>
      </w:pPr>
      <w:r>
        <w:drawing>
          <wp:inline distT="0" distB="0" distL="0" distR="0">
            <wp:extent cx="3154680" cy="3621024"/>
            <wp:effectExtent t="0" r="0" b="0" l="0"/>
            <wp:docPr id="1" name="fig2_workflow" descr="End-to-end processing workflow: the ten implemented pipeline steps in execution order, the two outputs, and (dashed) the behavior when a step is unavailable or fails."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extLst>
                        <a:ext uri="{96DAC541-7B7A-43D3-8B79-37D633B846F1}">
                          <asvg:svgBlip xmlns:asvg="http://schemas.microsoft.com/office/drawing/2016/SVG/main" r:embed="rId10"/>
                        </a:ext>
                      </a:extLst>
                    </a:blip>
                    <a:srcRect/>
                    <a:stretch>
                      <a:fillRect/>
                    </a:stretch>
                  </pic:blipFill>
                  <pic:spPr bwMode="auto">
                    <a:xfrm>
                      <a:off x="0" y="0"/>
                      <a:ext cx="3154680" cy="3621024"/>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2.  End-to-end processing workflow: the ten implemented pipeline steps in execution order, the two outputs, and (dashed) the behavior when a step is unavailable or fails.</w:t>
      </w:r>
    </w:p>
    <w:p>
      <w:pPr>
        <w:pStyle w:val="Heading2"/>
      </w:pPr>
      <w:r>
        <w:rPr>
          <w:rFonts w:ascii="Times New Roman" w:cs="Times New Roman" w:eastAsia="Times New Roman" w:hAnsi="Times New Roman"/>
          <w:b w:val="false"/>
          <w:bCs w:val="false"/>
          <w:i w:val="false"/>
          <w:iCs w:val="false"/>
        </w:rPr>
        <w:t xml:space="preserve">C. Finding Classification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Each tooth box is cropped with 10 % padding, resized to 224 × 224 pixels, normalized with ImageNet statistics [31] and classified by a ResNet-50 with a new four-way output layer (Fig. 4). The application crops detector boxes. The classifier evaluation crops ground-truth finding boxes, and Section X measures the difference. The softmax over Caries, Deep Caries, Impacted and Periapical Lesion is an answer to “which of these four does this crop most resemble”, not to “is this tooth diseased”, because the training data contain no healthy class. Training uses inverse-frequency class weights,</w:t>
      </w:r>
    </w:p>
    <w:p>
      <w:pPr>
        <w:keepLines/>
        <w:tabs>
          <w:tab w:val="center" w:pos="2520"/>
          <w:tab w:val="right" w:pos="5040"/>
        </w:tabs>
        <w:spacing w:before="60" w:after="60"/>
      </w:pPr>
      <w:r>
        <w:rPr>
          <w:rFonts w:ascii="Times New Roman" w:cs="Times New Roman" w:eastAsia="Times New Roman" w:hAnsi="Times New Roman"/>
        </w:rPr>
        <w:tab/>
      </w:r>
      <m:oMath>
        <m:sSub>
          <m:sSubPr/>
          <m:e>
            <m:r>
              <m:t>w</m:t>
            </m:r>
          </m:e>
          <m:sub>
            <m:r>
              <m:t>c</m:t>
            </m:r>
          </m:sub>
        </m:sSub>
        <m:r>
          <m:t>=</m:t>
        </m:r>
        <m:f>
          <m:num>
            <m:r>
              <m:t>N</m:t>
            </m:r>
          </m:num>
          <m:den>
            <m:r>
              <m:t>K</m:t>
            </m:r>
            <m:sSub>
              <m:sSubPr/>
              <m:e>
                <m:r>
                  <m:t>n</m:t>
                </m:r>
              </m:e>
              <m:sub>
                <m:r>
                  <m:t>c</m:t>
                </m:r>
              </m:sub>
            </m:sSub>
          </m:den>
        </m:f>
      </m:oMath>
      <w:r>
        <w:rPr>
          <w:rFonts w:ascii="Times New Roman" w:cs="Times New Roman" w:eastAsia="Times New Roman" w:hAnsi="Times New Roman"/>
          <w:sz w:val="20"/>
          <w:szCs w:val="20"/>
        </w:rPr>
        <w:tab/>
        <w:t xml:space="preserve">(3)</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 2,520 training crops,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 4 and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vertAlign w:val="subscript"/>
        </w:rPr>
        <w:t xml:space="preserve">c</w:t>
      </w:r>
      <w:r>
        <w:rPr>
          <w:rFonts w:ascii="Times New Roman" w:cs="Times New Roman" w:eastAsia="Times New Roman" w:hAnsi="Times New Roman"/>
          <w:b w:val="false"/>
          <w:bCs w:val="false"/>
          <w:i w:val="false"/>
          <w:iCs w:val="false"/>
          <w:sz w:val="20"/>
          <w:szCs w:val="20"/>
        </w:rPr>
        <w:t xml:space="preserve"> is the class count. This gives weights 0.41, 1.44, 1.53 and 5.25 (Fig. 4).</w:t>
      </w:r>
    </w:p>
    <w:p>
      <w:pPr>
        <w:keepNext/>
        <w:spacing w:before="120" w:after="60"/>
        <w:jc w:val="center"/>
      </w:pPr>
      <w:r>
        <w:drawing>
          <wp:inline distT="0" distB="0" distL="0" distR="0">
            <wp:extent cx="3154680" cy="3421380"/>
            <wp:effectExtent t="0" r="0" b="0" l="0"/>
            <wp:docPr id="1" name="fig3_detection_numbering_segmentation" descr="(a) How detector boxes, the numbering model and the segmentation model are combined into a region record. (b) FDI two-digit tooth notation (ISO 3950) used for the 32 numbering classes, drawn as the teeth appear on a panoramic radiograph: the patient’s right is on the image left, and molars are drawn wider."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extLst>
                        <a:ext uri="{96DAC541-7B7A-43D3-8B79-37D633B846F1}">
                          <asvg:svgBlip xmlns:asvg="http://schemas.microsoft.com/office/drawing/2016/SVG/main" r:embed="rId12"/>
                        </a:ext>
                      </a:extLst>
                    </a:blip>
                    <a:srcRect/>
                    <a:stretch>
                      <a:fillRect/>
                    </a:stretch>
                  </pic:blipFill>
                  <pic:spPr bwMode="auto">
                    <a:xfrm>
                      <a:off x="0" y="0"/>
                      <a:ext cx="3154680" cy="3421380"/>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3.  (a) How detector boxes, the numbering model and the segmentation model are combined into a region record. (b) FDI two-digit tooth notation (ISO 3950) used for the 32 numbering classes, drawn as the teeth appear on a panoramic radiograph: the patient’s right is on the image left, and molars are drawn wider.</w:t>
      </w:r>
    </w:p>
    <w:p>
      <w:pPr>
        <w:pStyle w:val="Heading2"/>
      </w:pPr>
      <w:r>
        <w:rPr>
          <w:rFonts w:ascii="Times New Roman" w:cs="Times New Roman" w:eastAsia="Times New Roman" w:hAnsi="Times New Roman"/>
          <w:b w:val="false"/>
          <w:bCs w:val="false"/>
          <w:i w:val="false"/>
          <w:iCs w:val="false"/>
        </w:rPr>
        <w:t xml:space="preserve">D. Uncertainty Signals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All signals come from a single network; none is an ensemble or a Bayesian estimate. For a softmax vector </w:t>
      </w:r>
      <w:r>
        <w:rPr>
          <w:rFonts w:ascii="Times New Roman" w:cs="Times New Roman" w:eastAsia="Times New Roman" w:hAnsi="Times New Roman"/>
          <w:b/>
          <w:bCs/>
          <w:i w:val="false"/>
          <w:iCs w:val="false"/>
          <w:sz w:val="20"/>
          <w:szCs w:val="20"/>
        </w:rPr>
        <w:t xml:space="preserve">p</w:t>
      </w:r>
      <w:r>
        <w:rPr>
          <w:rFonts w:ascii="Times New Roman" w:cs="Times New Roman" w:eastAsia="Times New Roman" w:hAnsi="Times New Roman"/>
          <w:b w:val="false"/>
          <w:bCs w:val="false"/>
          <w:i w:val="false"/>
          <w:iCs w:val="false"/>
          <w:sz w:val="20"/>
          <w:szCs w:val="20"/>
        </w:rPr>
        <w:t xml:space="preserve"> over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 4 classes, the normalized entropy is</w:t>
      </w:r>
    </w:p>
    <w:p>
      <w:pPr>
        <w:keepLines/>
        <w:tabs>
          <w:tab w:val="center" w:pos="2520"/>
          <w:tab w:val="right" w:pos="5040"/>
        </w:tabs>
        <w:spacing w:before="60" w:after="60"/>
      </w:pPr>
      <w:r>
        <w:rPr>
          <w:rFonts w:ascii="Times New Roman" w:cs="Times New Roman" w:eastAsia="Times New Roman" w:hAnsi="Times New Roman"/>
        </w:rPr>
        <w:tab/>
      </w:r>
      <m:oMath>
        <m:r>
          <m:t>H</m:t>
        </m:r>
        <m:d>
          <m:dPr/>
          <m:e>
            <m:r>
              <m:t>p</m:t>
            </m:r>
          </m:e>
        </m:d>
        <m:r>
          <m:t>=−</m:t>
        </m:r>
        <m:f>
          <m:num>
            <m:nary>
              <m:naryPr>
                <m:chr m:val="∑"/>
                <m:limLoc m:val="undOvr"/>
                <m:supHide m:val="1"/>
              </m:naryPr>
              <m:sub>
                <m:r>
                  <m:t>k</m:t>
                </m:r>
              </m:sub>
              <m:sup/>
              <m:e>
                <m:sSub>
                  <m:sSubPr/>
                  <m:e>
                    <m:r>
                      <m:t>p</m:t>
                    </m:r>
                  </m:e>
                  <m:sub>
                    <m:r>
                      <m:t>k</m:t>
                    </m:r>
                  </m:sub>
                </m:sSub>
                <m:r>
                  <m:rPr>
                    <m:sty m:val="p"/>
                  </m:rPr>
                  <m:t> ln </m:t>
                </m:r>
                <m:sSub>
                  <m:sSubPr/>
                  <m:e>
                    <m:r>
                      <m:t>p</m:t>
                    </m:r>
                  </m:e>
                  <m:sub>
                    <m:r>
                      <m:t>k</m:t>
                    </m:r>
                  </m:sub>
                </m:sSub>
              </m:e>
            </m:nary>
          </m:num>
          <m:den>
            <m:r>
              <m:rPr>
                <m:sty m:val="p"/>
              </m:rPr>
              <m:t>ln </m:t>
            </m:r>
            <m:r>
              <m:t>K</m:t>
            </m:r>
          </m:den>
        </m:f>
      </m:oMath>
      <w:r>
        <w:rPr>
          <w:rFonts w:ascii="Times New Roman" w:cs="Times New Roman" w:eastAsia="Times New Roman" w:hAnsi="Times New Roman"/>
          <w:sz w:val="20"/>
          <w:szCs w:val="20"/>
        </w:rPr>
        <w:tab/>
        <w:t xml:space="preserve">(4)</w:t>
      </w:r>
    </w:p>
    <w:p>
      <w:pPr>
        <w:spacing w:after="60"/>
        <w:ind w:firstLine="0"/>
        <w:jc w:val="both"/>
      </w:pPr>
      <w:r>
        <w:rPr>
          <w:rFonts w:ascii="Times New Roman" w:cs="Times New Roman" w:eastAsia="Times New Roman" w:hAnsi="Times New Roman"/>
          <w:b w:val="false"/>
          <w:bCs w:val="false"/>
          <w:i w:val="false"/>
          <w:iCs w:val="false"/>
          <w:sz w:val="20"/>
          <w:szCs w:val="20"/>
        </w:rPr>
        <w:t xml:space="preserve">and the flip disagreement is the Jensen–Shannon divergence [32] between the prediction </w:t>
      </w:r>
      <w:r>
        <w:rPr>
          <w:rFonts w:ascii="Times New Roman" w:cs="Times New Roman" w:eastAsia="Times New Roman" w:hAnsi="Times New Roman"/>
          <w:b/>
          <w:bCs/>
          <w:i w:val="false"/>
          <w:iCs w:val="false"/>
          <w:sz w:val="20"/>
          <w:szCs w:val="20"/>
        </w:rPr>
        <w:t xml:space="preserve">p</w:t>
      </w:r>
      <w:r>
        <w:rPr>
          <w:rFonts w:ascii="Times New Roman" w:cs="Times New Roman" w:eastAsia="Times New Roman" w:hAnsi="Times New Roman"/>
          <w:b w:val="false"/>
          <w:bCs w:val="false"/>
          <w:i w:val="false"/>
          <w:iCs w:val="false"/>
          <w:sz w:val="20"/>
          <w:szCs w:val="20"/>
        </w:rPr>
        <w:t xml:space="preserve"> on a crop and the prediction </w:t>
      </w:r>
      <w:r>
        <w:rPr>
          <w:rFonts w:ascii="Times New Roman" w:cs="Times New Roman" w:eastAsia="Times New Roman" w:hAnsi="Times New Roman"/>
          <w:b/>
          <w:bCs/>
          <w:i w:val="false"/>
          <w:iCs w:val="false"/>
          <w:sz w:val="20"/>
          <w:szCs w:val="20"/>
        </w:rPr>
        <w:t xml:space="preserve">q</w:t>
      </w:r>
      <w:r>
        <w:rPr>
          <w:rFonts w:ascii="Times New Roman" w:cs="Times New Roman" w:eastAsia="Times New Roman" w:hAnsi="Times New Roman"/>
          <w:b w:val="false"/>
          <w:bCs w:val="false"/>
          <w:i w:val="false"/>
          <w:iCs w:val="false"/>
          <w:sz w:val="20"/>
          <w:szCs w:val="20"/>
        </w:rPr>
        <w:t xml:space="preserve"> on its horizontal flip, a two-pass form of test-time augmentation [19]:</w:t>
      </w:r>
    </w:p>
    <w:p>
      <w:pPr>
        <w:keepLines/>
        <w:tabs>
          <w:tab w:val="center" w:pos="2520"/>
          <w:tab w:val="right" w:pos="5040"/>
        </w:tabs>
        <w:spacing w:before="60" w:after="60"/>
      </w:pPr>
      <w:r>
        <w:rPr>
          <w:rFonts w:ascii="Times New Roman" w:cs="Times New Roman" w:eastAsia="Times New Roman" w:hAnsi="Times New Roman"/>
        </w:rPr>
        <w:tab/>
      </w:r>
      <m:oMath>
        <m:r>
          <m:rPr>
            <m:sty m:val="p"/>
          </m:rPr>
          <m:t>JS</m:t>
        </m:r>
        <m:d>
          <m:dPr/>
          <m:e>
            <m:r>
              <m:t>p,q</m:t>
            </m:r>
          </m:e>
        </m:d>
        <m:r>
          <m:t>=</m:t>
        </m:r>
        <m:f>
          <m:num>
            <m:r>
              <m:t>H′</m:t>
            </m:r>
            <m:d>
              <m:dPr/>
              <m:e>
                <m:f>
                  <m:num>
                    <m:r>
                      <m:t>p+q</m:t>
                    </m:r>
                  </m:num>
                  <m:den>
                    <m:r>
                      <m:t>2</m:t>
                    </m:r>
                  </m:den>
                </m:f>
              </m:e>
            </m:d>
            <m:r>
              <m:t>−</m:t>
            </m:r>
            <m:f>
              <m:num>
                <m:r>
                  <m:t>H′</m:t>
                </m:r>
                <m:d>
                  <m:dPr/>
                  <m:e>
                    <m:r>
                      <m:t>p</m:t>
                    </m:r>
                  </m:e>
                </m:d>
                <m:r>
                  <m:t>+H′</m:t>
                </m:r>
                <m:d>
                  <m:dPr/>
                  <m:e>
                    <m:r>
                      <m:t>q</m:t>
                    </m:r>
                  </m:e>
                </m:d>
              </m:num>
              <m:den>
                <m:r>
                  <m:t>2</m:t>
                </m:r>
              </m:den>
            </m:f>
          </m:num>
          <m:den>
            <m:r>
              <m:rPr>
                <m:sty m:val="p"/>
              </m:rPr>
              <m:t>ln </m:t>
            </m:r>
            <m:r>
              <m:t>2</m:t>
            </m:r>
          </m:den>
        </m:f>
      </m:oMath>
      <w:r>
        <w:rPr>
          <w:rFonts w:ascii="Times New Roman" w:cs="Times New Roman" w:eastAsia="Times New Roman" w:hAnsi="Times New Roman"/>
          <w:sz w:val="20"/>
          <w:szCs w:val="20"/>
        </w:rPr>
        <w:tab/>
        <w:t xml:space="preserve">(5)</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H′</w:t>
      </w:r>
      <w:r>
        <w:rPr>
          <w:rFonts w:ascii="Times New Roman" w:cs="Times New Roman" w:eastAsia="Times New Roman" w:hAnsi="Times New Roman"/>
          <w:b w:val="false"/>
          <w:bCs w:val="false"/>
          <w:i w:val="false"/>
          <w:iCs w:val="false"/>
          <w:sz w:val="20"/>
          <w:szCs w:val="20"/>
        </w:rPr>
        <w:t xml:space="preserve"> is the unnormalized entropy. Mask instability and detection instability are both 1 − IoU between an instance and its best match on the horizontally flipped image (flipped back); an instance with no counterpart counts as 1:</w:t>
      </w:r>
    </w:p>
    <w:p>
      <w:pPr>
        <w:keepLines/>
        <w:tabs>
          <w:tab w:val="center" w:pos="2520"/>
          <w:tab w:val="right" w:pos="5040"/>
        </w:tabs>
        <w:spacing w:before="60" w:after="60"/>
      </w:pPr>
      <w:r>
        <w:rPr>
          <w:rFonts w:ascii="Times New Roman" w:cs="Times New Roman" w:eastAsia="Times New Roman" w:hAnsi="Times New Roman"/>
        </w:rPr>
        <w:tab/>
      </w:r>
      <m:oMath>
        <m:sSub>
          <m:sSubPr/>
          <m:e>
            <m:r>
              <m:t>u</m:t>
            </m:r>
          </m:e>
          <m:sub>
            <m:r>
              <m:rPr>
                <m:sty m:val="p"/>
              </m:rPr>
              <m:t>mask</m:t>
            </m:r>
          </m:sub>
        </m:sSub>
        <m:r>
          <m:t>=1−</m:t>
        </m:r>
        <m:r>
          <m:rPr>
            <m:sty m:val="p"/>
          </m:rPr>
          <m:t>IoU</m:t>
        </m:r>
        <m:d>
          <m:dPr/>
          <m:e>
            <m:r>
              <m:t>m,</m:t>
            </m:r>
            <m:sSub>
              <m:sSubPr/>
              <m:e>
                <m:r>
                  <m:t>m̃</m:t>
                </m:r>
              </m:e>
              <m:sub>
                <m:r>
                  <m:rPr>
                    <m:sty m:val="p"/>
                  </m:rPr>
                  <m:t>flip</m:t>
                </m:r>
              </m:sub>
            </m:sSub>
          </m:e>
        </m:d>
      </m:oMath>
      <w:r>
        <w:rPr>
          <w:rFonts w:ascii="Times New Roman" w:cs="Times New Roman" w:eastAsia="Times New Roman" w:hAnsi="Times New Roman"/>
          <w:sz w:val="20"/>
          <w:szCs w:val="20"/>
        </w:rPr>
        <w:tab/>
        <w:t xml:space="preserve">(6)</w:t>
      </w:r>
    </w:p>
    <w:p>
      <w:pPr>
        <w:spacing w:after="60"/>
        <w:ind w:firstLine="0"/>
        <w:jc w:val="both"/>
      </w:pPr>
      <w:r>
        <w:rPr>
          <w:rFonts w:ascii="Times New Roman" w:cs="Times New Roman" w:eastAsia="Times New Roman" w:hAnsi="Times New Roman"/>
          <w:b w:val="false"/>
          <w:bCs w:val="false"/>
          <w:i w:val="false"/>
          <w:iCs w:val="false"/>
          <w:sz w:val="20"/>
          <w:szCs w:val="20"/>
        </w:rPr>
        <w:t xml:space="preserve">The image-level combined score used to order the review queue is the weighted mean of the available signals,</w:t>
      </w:r>
    </w:p>
    <w:p>
      <w:pPr>
        <w:keepLines/>
        <w:tabs>
          <w:tab w:val="center" w:pos="2520"/>
          <w:tab w:val="right" w:pos="5040"/>
        </w:tabs>
        <w:spacing w:before="60" w:after="60"/>
      </w:pPr>
      <w:r>
        <w:rPr>
          <w:rFonts w:ascii="Times New Roman" w:cs="Times New Roman" w:eastAsia="Times New Roman" w:hAnsi="Times New Roman"/>
        </w:rPr>
        <w:tab/>
      </w:r>
      <m:oMath>
        <m:r>
          <m:t>S=</m:t>
        </m:r>
        <m:f>
          <m:num>
            <m:nary>
              <m:naryPr>
                <m:chr m:val="∑"/>
                <m:limLoc m:val="undOvr"/>
                <m:supHide m:val="1"/>
              </m:naryPr>
              <m:sub>
                <m:r>
                  <m:t>j∈</m:t>
                </m:r>
                <m:r>
                  <m:rPr>
                    <m:sty m:val="p"/>
                  </m:rPr>
                  <m:t>avail</m:t>
                </m:r>
              </m:sub>
              <m:sup/>
              <m:e>
                <m:sSub>
                  <m:sSubPr/>
                  <m:e>
                    <m:r>
                      <m:t>α</m:t>
                    </m:r>
                  </m:e>
                  <m:sub>
                    <m:r>
                      <m:t>j</m:t>
                    </m:r>
                  </m:sub>
                </m:sSub>
                <m:sSub>
                  <m:sSubPr/>
                  <m:e>
                    <m:r>
                      <m:t>s</m:t>
                    </m:r>
                  </m:e>
                  <m:sub>
                    <m:r>
                      <m:t>j</m:t>
                    </m:r>
                  </m:sub>
                </m:sSub>
              </m:e>
            </m:nary>
          </m:num>
          <m:den>
            <m:nary>
              <m:naryPr>
                <m:chr m:val="∑"/>
                <m:limLoc m:val="undOvr"/>
                <m:supHide m:val="1"/>
              </m:naryPr>
              <m:sub>
                <m:r>
                  <m:t>j∈</m:t>
                </m:r>
                <m:r>
                  <m:rPr>
                    <m:sty m:val="p"/>
                  </m:rPr>
                  <m:t>avail</m:t>
                </m:r>
              </m:sub>
              <m:sup/>
              <m:e>
                <m:sSub>
                  <m:sSubPr/>
                  <m:e>
                    <m:r>
                      <m:t>α</m:t>
                    </m:r>
                  </m:e>
                  <m:sub>
                    <m:r>
                      <m:t>j</m:t>
                    </m:r>
                  </m:sub>
                </m:sSub>
              </m:e>
            </m:nary>
          </m:den>
        </m:f>
      </m:oMath>
      <w:r>
        <w:rPr>
          <w:rFonts w:ascii="Times New Roman" w:cs="Times New Roman" w:eastAsia="Times New Roman" w:hAnsi="Times New Roman"/>
          <w:sz w:val="20"/>
          <w:szCs w:val="20"/>
        </w:rPr>
        <w:tab/>
        <w:t xml:space="preserve">(7)</w:t>
      </w:r>
    </w:p>
    <w:p>
      <w:pPr>
        <w:spacing w:after="60"/>
        <w:ind w:firstLine="0"/>
        <w:jc w:val="both"/>
      </w:pPr>
      <w:r>
        <w:rPr>
          <w:rFonts w:ascii="Times New Roman" w:cs="Times New Roman" w:eastAsia="Times New Roman" w:hAnsi="Times New Roman"/>
          <w:b w:val="false"/>
          <w:bCs w:val="false"/>
          <w:i w:val="false"/>
          <w:iCs w:val="false"/>
          <w:sz w:val="20"/>
          <w:szCs w:val="20"/>
        </w:rPr>
        <w:t xml:space="preserve">with weights 0.4 (entropy), 0.4 (flip disagreement) and 0.2 (mask instability); the weights are renormalized over the signals that are available. Detection instability is shown but excluded from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w:t>
      </w:r>
    </w:p>
    <w:p>
      <w:pPr>
        <w:keepNext/>
        <w:spacing w:before="120" w:after="60"/>
        <w:jc w:val="center"/>
      </w:pPr>
      <w:r>
        <w:drawing>
          <wp:inline distT="0" distB="0" distL="0" distR="0">
            <wp:extent cx="3154680" cy="2325624"/>
            <wp:effectExtent t="0" r="0" b="0" l="0"/>
            <wp:docPr id="1" name="fig4_classification" descr="Finding-classification workflow: tooth box, crop with 10 % padding, resize to 224 × 224, ImageNet normalization, ResNet-50 and a four-class softmax. Each class box gives its training-crop count and class weight from the checkpoint sidecar; the dashed note states that there is no healthy class."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extLst>
                        <a:ext uri="{96DAC541-7B7A-43D3-8B79-37D633B846F1}">
                          <asvg:svgBlip xmlns:asvg="http://schemas.microsoft.com/office/drawing/2016/SVG/main" r:embed="rId14"/>
                        </a:ext>
                      </a:extLst>
                    </a:blip>
                    <a:srcRect/>
                    <a:stretch>
                      <a:fillRect/>
                    </a:stretch>
                  </pic:blipFill>
                  <pic:spPr bwMode="auto">
                    <a:xfrm>
                      <a:off x="0" y="0"/>
                      <a:ext cx="3154680" cy="2325624"/>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4.  Finding-classification workflow: tooth box, crop with 10 % padding, resize to 224 × 224, ImageNet normalization, ResNet-50 and a four-class softmax. Each class box gives its training-crop count and class weight from the checkpoint sidecar; the dashed note states that there is no healthy class.</w:t>
      </w:r>
    </w:p>
    <w:p>
      <w:pPr>
        <w:pStyle w:val="Heading2"/>
      </w:pPr>
      <w:r>
        <w:rPr>
          <w:rFonts w:ascii="Times New Roman" w:cs="Times New Roman" w:eastAsia="Times New Roman" w:hAnsi="Times New Roman"/>
          <w:b w:val="false"/>
          <w:bCs w:val="false"/>
          <w:i w:val="false"/>
          <w:iCs w:val="false"/>
        </w:rPr>
        <w:t xml:space="preserve">E. Review Routing and Final Result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5 shows which thresholds are deployed. The entropy threshold 0.397 maximizes Youden’s index [33],</w:t>
      </w:r>
    </w:p>
    <w:p>
      <w:pPr>
        <w:keepLines/>
        <w:tabs>
          <w:tab w:val="center" w:pos="2520"/>
          <w:tab w:val="right" w:pos="5040"/>
        </w:tabs>
        <w:spacing w:before="60" w:after="60"/>
      </w:pPr>
      <w:r>
        <w:rPr>
          <w:rFonts w:ascii="Times New Roman" w:cs="Times New Roman" w:eastAsia="Times New Roman" w:hAnsi="Times New Roman"/>
        </w:rPr>
        <w:tab/>
      </w:r>
      <m:oMath>
        <m:r>
          <m:t>J=</m:t>
        </m:r>
        <m:r>
          <m:rPr>
            <m:sty m:val="p"/>
          </m:rPr>
          <m:t>TPR</m:t>
        </m:r>
        <m:r>
          <m:t>−</m:t>
        </m:r>
        <m:r>
          <m:rPr>
            <m:sty m:val="p"/>
          </m:rPr>
          <m:t>FPR</m:t>
        </m:r>
      </m:oMath>
      <w:r>
        <w:rPr>
          <w:rFonts w:ascii="Times New Roman" w:cs="Times New Roman" w:eastAsia="Times New Roman" w:hAnsi="Times New Roman"/>
          <w:sz w:val="20"/>
          <w:szCs w:val="20"/>
        </w:rPr>
        <w:tab/>
        <w:t xml:space="preserve">(8)</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a “positive” is a classifier error on calibration crops. The flip-disagreement threshold 0.076 is the 90th percentile on calibration crops. Both values were fixed once, on one seed and one dataset, and are provisional. A region at or above the entropy threshold gets status “abstained” and is sent for review. Since a project decision on 2026-10-16, its highest-scoring class is still shown, marked “Needs human review — high classifier uncertainty”, and an abstained tooth is never reported as healthy. Mask instability ≥ 0.30, detection score &lt; 0.50 and numbering problems also trigger review. Scores shown to users are raw softmax values; they are not calibrated probabilities.</w:t>
      </w:r>
    </w:p>
    <w:p>
      <w:pPr>
        <w:spacing w:after="60"/>
        <w:ind w:firstLine="0"/>
        <w:jc w:val="both"/>
      </w:pPr>
      <w:r>
        <w:rPr>
          <w:rFonts w:ascii="Times New Roman" w:cs="Times New Roman" w:eastAsia="Times New Roman" w:hAnsi="Times New Roman"/>
          <w:b w:val="false"/>
          <w:bCs w:val="false"/>
          <w:i w:val="false"/>
          <w:iCs w:val="false"/>
          <w:sz w:val="20"/>
          <w:szCs w:val="20"/>
        </w:rPr>
        <w:t xml:space="preserve">Algorithm 1 summarizes how one radiograph is analyzed and routed. It follows the production pipeline step by step.</w:t>
      </w:r>
    </w:p>
    <w:p>
      <w:pPr>
        <w:keepNext/>
        <w:spacing w:before="120" w:after="40"/>
      </w:pPr>
      <w:r>
        <w:rPr>
          <w:rFonts w:ascii="Times New Roman" w:cs="Times New Roman" w:eastAsia="Times New Roman" w:hAnsi="Times New Roman"/>
          <w:b/>
          <w:bCs/>
          <w:i w:val="false"/>
          <w:iCs w:val="false"/>
          <w:sz w:val="16"/>
          <w:szCs w:val="16"/>
        </w:rPr>
        <w:t xml:space="preserve">Algorithm 1: Per-image analysis and review routing (as implemented)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rPr>
          <w:cantSplit/>
        </w:trPr>
        <w:tc>
          <w:tcPr>
            <w:tcW w:type="dxa" w:w="5040"/>
            <w:tcBorders>
              <w:top w:val="single" w:color="000000" w:sz="6"/>
              <w:left w:val="none" w:color="FFFFFF" w:sz="0"/>
              <w:bottom w:val="single" w:color="000000" w:sz="6"/>
              <w:right w:val="none" w:color="FFFFFF" w:sz="0"/>
            </w:tcBorders>
            <w:tcMar>
              <w:top w:type="dxa" w:w="40"/>
              <w:left w:type="dxa" w:w="40"/>
              <w:bottom w:type="dxa" w:w="40"/>
              <w:right w:type="dxa" w:w="40"/>
            </w:tcMar>
          </w:tcPr>
          <w:p>
            <w:pPr>
              <w:keepNext/>
              <w:spacing w:after="10"/>
              <w:ind w:left="200" w:hanging="200"/>
            </w:pPr>
            <w:r>
              <w:rPr>
                <w:rFonts w:ascii="Times New Roman" w:cs="Times New Roman" w:eastAsia="Times New Roman" w:hAnsi="Times New Roman"/>
                <w:b/>
                <w:bCs/>
                <w:i w:val="false"/>
                <w:iCs w:val="false"/>
                <w:sz w:val="16"/>
                <w:szCs w:val="16"/>
              </w:rPr>
              <w:t xml:space="preserve">Input:</w:t>
            </w:r>
            <w:r>
              <w:rPr>
                <w:rFonts w:ascii="Times New Roman" w:cs="Times New Roman" w:eastAsia="Times New Roman" w:hAnsi="Times New Roman"/>
                <w:b w:val="false"/>
                <w:bCs w:val="false"/>
                <w:i w:val="false"/>
                <w:iCs w:val="false"/>
                <w:sz w:val="16"/>
                <w:szCs w:val="16"/>
              </w:rPr>
              <w:t xml:space="preserve"> radiograph </w:t>
            </w:r>
            <w:r>
              <w:rPr>
                <w:rFonts w:ascii="Times New Roman" w:cs="Times New Roman" w:eastAsia="Times New Roman" w:hAnsi="Times New Roman"/>
                <w:b w:val="false"/>
                <w:bCs w:val="false"/>
                <w:i/>
                <w:iCs/>
                <w:sz w:val="16"/>
                <w:szCs w:val="16"/>
              </w:rPr>
              <w:t xml:space="preserve">I</w:t>
            </w:r>
            <w:r>
              <w:rPr>
                <w:rFonts w:ascii="Times New Roman" w:cs="Times New Roman" w:eastAsia="Times New Roman" w:hAnsi="Times New Roman"/>
                <w:b w:val="false"/>
                <w:bCs w:val="false"/>
                <w:i w:val="false"/>
                <w:iCs w:val="false"/>
                <w:sz w:val="16"/>
                <w:szCs w:val="16"/>
              </w:rPr>
              <w:t xml:space="preserve"> (RGB, values in [0, 1]); thresholds τ</w:t>
            </w:r>
            <w:r>
              <w:rPr>
                <w:rFonts w:ascii="Times New Roman" w:cs="Times New Roman" w:eastAsia="Times New Roman" w:hAnsi="Times New Roman"/>
                <w:b w:val="false"/>
                <w:bCs w:val="false"/>
                <w:i w:val="false"/>
                <w:iCs w:val="false"/>
                <w:sz w:val="16"/>
                <w:szCs w:val="16"/>
                <w:vertAlign w:val="subscript"/>
              </w:rPr>
              <w:t xml:space="preserve">H</w:t>
            </w:r>
            <w:r>
              <w:rPr>
                <w:rFonts w:ascii="Times New Roman" w:cs="Times New Roman" w:eastAsia="Times New Roman" w:hAnsi="Times New Roman"/>
                <w:b w:val="false"/>
                <w:bCs w:val="false"/>
                <w:i w:val="false"/>
                <w:iCs w:val="false"/>
                <w:sz w:val="16"/>
                <w:szCs w:val="16"/>
              </w:rPr>
              <w:t xml:space="preserve"> = 0.397, τ</w:t>
            </w:r>
            <w:r>
              <w:rPr>
                <w:rFonts w:ascii="Times New Roman" w:cs="Times New Roman" w:eastAsia="Times New Roman" w:hAnsi="Times New Roman"/>
                <w:b w:val="false"/>
                <w:bCs w:val="false"/>
                <w:i w:val="false"/>
                <w:iCs w:val="false"/>
                <w:sz w:val="16"/>
                <w:szCs w:val="16"/>
                <w:vertAlign w:val="subscript"/>
              </w:rPr>
              <w:t xml:space="preserve">JS</w:t>
            </w:r>
            <w:r>
              <w:rPr>
                <w:rFonts w:ascii="Times New Roman" w:cs="Times New Roman" w:eastAsia="Times New Roman" w:hAnsi="Times New Roman"/>
                <w:b w:val="false"/>
                <w:bCs w:val="false"/>
                <w:i w:val="false"/>
                <w:iCs w:val="false"/>
                <w:sz w:val="16"/>
                <w:szCs w:val="16"/>
              </w:rPr>
              <w:t xml:space="preserve"> = 0.076, τ</w:t>
            </w:r>
            <w:r>
              <w:rPr>
                <w:rFonts w:ascii="Times New Roman" w:cs="Times New Roman" w:eastAsia="Times New Roman" w:hAnsi="Times New Roman"/>
                <w:b w:val="false"/>
                <w:bCs w:val="false"/>
                <w:i w:val="false"/>
                <w:iCs w:val="false"/>
                <w:sz w:val="16"/>
                <w:szCs w:val="16"/>
                <w:vertAlign w:val="subscript"/>
              </w:rPr>
              <w:t xml:space="preserve">M</w:t>
            </w:r>
            <w:r>
              <w:rPr>
                <w:rFonts w:ascii="Times New Roman" w:cs="Times New Roman" w:eastAsia="Times New Roman" w:hAnsi="Times New Roman"/>
                <w:b w:val="false"/>
                <w:bCs w:val="false"/>
                <w:i w:val="false"/>
                <w:iCs w:val="false"/>
                <w:sz w:val="16"/>
                <w:szCs w:val="16"/>
              </w:rPr>
              <w:t xml:space="preserve"> = 0.30, τ</w:t>
            </w:r>
            <w:r>
              <w:rPr>
                <w:rFonts w:ascii="Times New Roman" w:cs="Times New Roman" w:eastAsia="Times New Roman" w:hAnsi="Times New Roman"/>
                <w:b w:val="false"/>
                <w:bCs w:val="false"/>
                <w:i w:val="false"/>
                <w:iCs w:val="false"/>
                <w:sz w:val="16"/>
                <w:szCs w:val="16"/>
                <w:vertAlign w:val="subscript"/>
              </w:rPr>
              <w:t xml:space="preserve">D</w:t>
            </w:r>
            <w:r>
              <w:rPr>
                <w:rFonts w:ascii="Times New Roman" w:cs="Times New Roman" w:eastAsia="Times New Roman" w:hAnsi="Times New Roman"/>
                <w:b w:val="false"/>
                <w:bCs w:val="false"/>
                <w:i w:val="false"/>
                <w:iCs w:val="false"/>
                <w:sz w:val="16"/>
                <w:szCs w:val="16"/>
              </w:rPr>
              <w:t xml:space="preserve"> = 0.50</w:t>
            </w:r>
          </w:p>
          <w:p>
            <w:pPr>
              <w:keepNext/>
              <w:spacing w:after="10"/>
              <w:ind w:left="200" w:hanging="200"/>
            </w:pPr>
            <w:r>
              <w:rPr>
                <w:rFonts w:ascii="Times New Roman" w:cs="Times New Roman" w:eastAsia="Times New Roman" w:hAnsi="Times New Roman"/>
                <w:b w:val="false"/>
                <w:bCs w:val="false"/>
                <w:i w:val="false"/>
                <w:iCs w:val="false"/>
                <w:sz w:val="16"/>
                <w:szCs w:val="16"/>
              </w:rPr>
              <w:t xml:space="preserve">1: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 tooth detector(</w:t>
            </w:r>
            <w:r>
              <w:rPr>
                <w:rFonts w:ascii="Times New Roman" w:cs="Times New Roman" w:eastAsia="Times New Roman" w:hAnsi="Times New Roman"/>
                <w:b w:val="false"/>
                <w:bCs w:val="false"/>
                <w:i/>
                <w:iCs/>
                <w:sz w:val="16"/>
                <w:szCs w:val="16"/>
              </w:rPr>
              <w:t xml:space="preserve">I</w:t>
            </w:r>
            <w:r>
              <w:rPr>
                <w:rFonts w:ascii="Times New Roman" w:cs="Times New Roman" w:eastAsia="Times New Roman" w:hAnsi="Times New Roman"/>
                <w:b w:val="false"/>
                <w:bCs w:val="false"/>
                <w:i w:val="false"/>
                <w:iCs w:val="false"/>
                <w:sz w:val="16"/>
                <w:szCs w:val="16"/>
              </w:rPr>
              <w:t xml:space="preserve">), keeping boxes with score ≥ 0.3</w:t>
            </w:r>
          </w:p>
          <w:p>
            <w:pPr>
              <w:keepNext/>
              <w:spacing w:after="10"/>
              <w:ind w:left="200" w:hanging="200"/>
            </w:pPr>
            <w:r>
              <w:rPr>
                <w:rFonts w:ascii="Times New Roman" w:cs="Times New Roman" w:eastAsia="Times New Roman" w:hAnsi="Times New Roman"/>
                <w:b w:val="false"/>
                <w:bCs w:val="false"/>
                <w:i w:val="false"/>
                <w:iCs w:val="false"/>
                <w:sz w:val="16"/>
                <w:szCs w:val="16"/>
              </w:rPr>
              <w:t xml:space="preserve">2: assign FDI codes to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from the numbering model (score order, IoU ≥ 0.5); run the consistency check</w:t>
            </w:r>
          </w:p>
          <w:p>
            <w:pPr>
              <w:keepNext/>
              <w:spacing w:after="10"/>
              <w:ind w:left="200" w:hanging="200"/>
            </w:pPr>
            <w:r>
              <w:rPr>
                <w:rFonts w:ascii="Times New Roman" w:cs="Times New Roman" w:eastAsia="Times New Roman" w:hAnsi="Times New Roman"/>
                <w:b w:val="false"/>
                <w:bCs w:val="false"/>
                <w:i w:val="false"/>
                <w:iCs w:val="false"/>
                <w:sz w:val="16"/>
                <w:szCs w:val="16"/>
              </w:rPr>
              <w:t xml:space="preserve">3: </w:t>
            </w:r>
            <w:r>
              <w:rPr>
                <w:rFonts w:ascii="Times New Roman" w:cs="Times New Roman" w:eastAsia="Times New Roman" w:hAnsi="Times New Roman"/>
                <w:b w:val="false"/>
                <w:bCs w:val="false"/>
                <w:i/>
                <w:iCs/>
                <w:sz w:val="16"/>
                <w:szCs w:val="16"/>
              </w:rPr>
              <w:t xml:space="preserve">M</w:t>
            </w:r>
            <w:r>
              <w:rPr>
                <w:rFonts w:ascii="Times New Roman" w:cs="Times New Roman" w:eastAsia="Times New Roman" w:hAnsi="Times New Roman"/>
                <w:b w:val="false"/>
                <w:bCs w:val="false"/>
                <w:i w:val="false"/>
                <w:iCs w:val="false"/>
                <w:sz w:val="16"/>
                <w:szCs w:val="16"/>
              </w:rPr>
              <w:t xml:space="preserve"> ← segmenter(</w:t>
            </w:r>
            <w:r>
              <w:rPr>
                <w:rFonts w:ascii="Times New Roman" w:cs="Times New Roman" w:eastAsia="Times New Roman" w:hAnsi="Times New Roman"/>
                <w:b w:val="false"/>
                <w:bCs w:val="false"/>
                <w:i/>
                <w:iCs/>
                <w:sz w:val="16"/>
                <w:szCs w:val="16"/>
              </w:rPr>
              <w:t xml:space="preserve">I</w:t>
            </w:r>
            <w:r>
              <w:rPr>
                <w:rFonts w:ascii="Times New Roman" w:cs="Times New Roman" w:eastAsia="Times New Roman" w:hAnsi="Times New Roman"/>
                <w:b w:val="false"/>
                <w:bCs w:val="false"/>
                <w:i w:val="false"/>
                <w:iCs w:val="false"/>
                <w:sz w:val="16"/>
                <w:szCs w:val="16"/>
              </w:rPr>
              <w:t xml:space="preserve">); match </w:t>
            </w:r>
            <w:r>
              <w:rPr>
                <w:rFonts w:ascii="Times New Roman" w:cs="Times New Roman" w:eastAsia="Times New Roman" w:hAnsi="Times New Roman"/>
                <w:b w:val="false"/>
                <w:bCs w:val="false"/>
                <w:i/>
                <w:iCs/>
                <w:sz w:val="16"/>
                <w:szCs w:val="16"/>
              </w:rPr>
              <w:t xml:space="preserve">M</w:t>
            </w:r>
            <w:r>
              <w:rPr>
                <w:rFonts w:ascii="Times New Roman" w:cs="Times New Roman" w:eastAsia="Times New Roman" w:hAnsi="Times New Roman"/>
                <w:b w:val="false"/>
                <w:bCs w:val="false"/>
                <w:i w:val="false"/>
                <w:iCs w:val="false"/>
                <w:sz w:val="16"/>
                <w:szCs w:val="16"/>
              </w:rPr>
              <w:t xml:space="preserve"> to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one-to-one at IoU ≥ 0.5</w:t>
            </w:r>
          </w:p>
          <w:p>
            <w:pPr>
              <w:keepNext/>
              <w:spacing w:after="10"/>
              <w:ind w:left="200" w:hanging="200"/>
            </w:pPr>
            <w:r>
              <w:rPr>
                <w:rFonts w:ascii="Times New Roman" w:cs="Times New Roman" w:eastAsia="Times New Roman" w:hAnsi="Times New Roman"/>
                <w:b w:val="false"/>
                <w:bCs w:val="false"/>
                <w:i w:val="false"/>
                <w:iCs w:val="false"/>
                <w:sz w:val="16"/>
                <w:szCs w:val="16"/>
              </w:rPr>
              <w:t xml:space="preserve">4: repeat detection and segmentation on the flipped image (instability signals)</w:t>
            </w:r>
          </w:p>
          <w:p>
            <w:pPr>
              <w:keepNext/>
              <w:spacing w:after="10"/>
              <w:ind w:left="200" w:hanging="200"/>
            </w:pPr>
            <w:r>
              <w:rPr>
                <w:rFonts w:ascii="Times New Roman" w:cs="Times New Roman" w:eastAsia="Times New Roman" w:hAnsi="Times New Roman"/>
                <w:b w:val="false"/>
                <w:bCs w:val="false"/>
                <w:i w:val="false"/>
                <w:iCs w:val="false"/>
                <w:sz w:val="16"/>
                <w:szCs w:val="16"/>
              </w:rPr>
              <w:t xml:space="preserve">5: </w:t>
            </w:r>
            <w:r>
              <w:rPr>
                <w:rFonts w:ascii="Times New Roman" w:cs="Times New Roman" w:eastAsia="Times New Roman" w:hAnsi="Times New Roman"/>
                <w:b/>
                <w:bCs/>
                <w:i w:val="false"/>
                <w:iCs w:val="false"/>
                <w:sz w:val="16"/>
                <w:szCs w:val="16"/>
              </w:rPr>
              <w:t xml:space="preserve">for</w:t>
            </w:r>
            <w:r>
              <w:rPr>
                <w:rFonts w:ascii="Times New Roman" w:cs="Times New Roman" w:eastAsia="Times New Roman" w:hAnsi="Times New Roman"/>
                <w:b w:val="false"/>
                <w:bCs w:val="false"/>
                <w:i w:val="false"/>
                <w:iCs w:val="false"/>
                <w:sz w:val="16"/>
                <w:szCs w:val="16"/>
              </w:rPr>
              <w:t xml:space="preserve"> each box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bCs/>
                <w:i w:val="false"/>
                <w:iCs w:val="false"/>
                <w:sz w:val="16"/>
                <w:szCs w:val="16"/>
              </w:rPr>
              <w:t xml:space="preserve">do</w:t>
            </w:r>
          </w:p>
          <w:p>
            <w:pPr>
              <w:keepNext/>
              <w:spacing w:after="10"/>
              <w:ind w:left="420" w:hanging="200"/>
            </w:pPr>
            <w:r>
              <w:rPr>
                <w:rFonts w:ascii="Times New Roman" w:cs="Times New Roman" w:eastAsia="Times New Roman" w:hAnsi="Times New Roman"/>
                <w:b w:val="false"/>
                <w:bCs w:val="false"/>
                <w:i w:val="false"/>
                <w:iCs w:val="false"/>
                <w:sz w:val="16"/>
                <w:szCs w:val="16"/>
              </w:rPr>
              <w:t xml:space="preserve">6: </w:t>
            </w:r>
            <w:r>
              <w:rPr>
                <w:rFonts w:ascii="Times New Roman" w:cs="Times New Roman" w:eastAsia="Times New Roman" w:hAnsi="Times New Roman"/>
                <w:b/>
                <w:bCs/>
                <w:i w:val="false"/>
                <w:iCs w:val="false"/>
                <w:sz w:val="16"/>
                <w:szCs w:val="16"/>
              </w:rPr>
              <w:t xml:space="preserve">p</w:t>
            </w:r>
            <w:r>
              <w:rPr>
                <w:rFonts w:ascii="Times New Roman" w:cs="Times New Roman" w:eastAsia="Times New Roman" w:hAnsi="Times New Roman"/>
                <w:b w:val="false"/>
                <w:bCs w:val="false"/>
                <w:i w:val="false"/>
                <w:iCs w:val="false"/>
                <w:sz w:val="16"/>
                <w:szCs w:val="16"/>
              </w:rPr>
              <w:t xml:space="preserve"> ← classifier(crop(</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bCs/>
                <w:i w:val="false"/>
                <w:iCs w:val="false"/>
                <w:sz w:val="16"/>
                <w:szCs w:val="16"/>
              </w:rPr>
              <w:t xml:space="preserve">q</w:t>
            </w:r>
            <w:r>
              <w:rPr>
                <w:rFonts w:ascii="Times New Roman" w:cs="Times New Roman" w:eastAsia="Times New Roman" w:hAnsi="Times New Roman"/>
                <w:b w:val="false"/>
                <w:bCs w:val="false"/>
                <w:i w:val="false"/>
                <w:iCs w:val="false"/>
                <w:sz w:val="16"/>
                <w:szCs w:val="16"/>
              </w:rPr>
              <w:t xml:space="preserve"> ← classifier(flip(crop(</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w:t>
            </w:r>
          </w:p>
          <w:p>
            <w:pPr>
              <w:keepNext/>
              <w:spacing w:after="10"/>
              <w:ind w:left="420" w:hanging="200"/>
            </w:pPr>
            <w:r>
              <w:rPr>
                <w:rFonts w:ascii="Times New Roman" w:cs="Times New Roman" w:eastAsia="Times New Roman" w:hAnsi="Times New Roman"/>
                <w:b w:val="false"/>
                <w:bCs w:val="false"/>
                <w:i w:val="false"/>
                <w:iCs w:val="false"/>
                <w:sz w:val="16"/>
                <w:szCs w:val="16"/>
              </w:rPr>
              <w:t xml:space="preserve">7: compute </w:t>
            </w:r>
            <w:r>
              <w:rPr>
                <w:rFonts w:ascii="Times New Roman" w:cs="Times New Roman" w:eastAsia="Times New Roman" w:hAnsi="Times New Roman"/>
                <w:b w:val="false"/>
                <w:bCs w:val="false"/>
                <w:i/>
                <w:iCs/>
                <w:sz w:val="16"/>
                <w:szCs w:val="16"/>
              </w:rPr>
              <w:t xml:space="preserve">H</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bCs/>
                <w:i w:val="false"/>
                <w:iCs w:val="false"/>
                <w:sz w:val="16"/>
                <w:szCs w:val="16"/>
              </w:rPr>
              <w:t xml:space="preserve">p</w:t>
            </w:r>
            <w:r>
              <w:rPr>
                <w:rFonts w:ascii="Times New Roman" w:cs="Times New Roman" w:eastAsia="Times New Roman" w:hAnsi="Times New Roman"/>
                <w:b w:val="false"/>
                <w:bCs w:val="false"/>
                <w:i w:val="false"/>
                <w:iCs w:val="false"/>
                <w:sz w:val="16"/>
                <w:szCs w:val="16"/>
              </w:rPr>
              <w:t xml:space="preserve">), JS(</w:t>
            </w:r>
            <w:r>
              <w:rPr>
                <w:rFonts w:ascii="Times New Roman" w:cs="Times New Roman" w:eastAsia="Times New Roman" w:hAnsi="Times New Roman"/>
                <w:b/>
                <w:bCs/>
                <w:i w:val="false"/>
                <w:iCs w:val="false"/>
                <w:sz w:val="16"/>
                <w:szCs w:val="16"/>
              </w:rPr>
              <w:t xml:space="preserve">p</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bCs/>
                <w:i w:val="false"/>
                <w:iCs w:val="false"/>
                <w:sz w:val="16"/>
                <w:szCs w:val="16"/>
              </w:rPr>
              <w:t xml:space="preserve">q</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u</w:t>
            </w:r>
            <w:r>
              <w:rPr>
                <w:rFonts w:ascii="Times New Roman" w:cs="Times New Roman" w:eastAsia="Times New Roman" w:hAnsi="Times New Roman"/>
                <w:b w:val="false"/>
                <w:bCs w:val="false"/>
                <w:i w:val="false"/>
                <w:iCs w:val="false"/>
                <w:sz w:val="16"/>
                <w:szCs w:val="16"/>
                <w:vertAlign w:val="subscript"/>
              </w:rPr>
              <w:t xml:space="preserve">mask</w:t>
            </w:r>
            <w:r>
              <w:rPr>
                <w:rFonts w:ascii="Times New Roman" w:cs="Times New Roman" w:eastAsia="Times New Roman" w:hAnsi="Times New Roman"/>
                <w:b w:val="false"/>
                <w:bCs w:val="false"/>
                <w:i w:val="false"/>
                <w:iCs w:val="false"/>
                <w:sz w:val="16"/>
                <w:szCs w:val="16"/>
              </w:rPr>
              <w:t xml:space="preserve"> and detection instability</w:t>
            </w:r>
          </w:p>
          <w:p>
            <w:pPr>
              <w:keepNext/>
              <w:spacing w:after="10"/>
              <w:ind w:left="420" w:hanging="200"/>
            </w:pPr>
            <w:r>
              <w:rPr>
                <w:rFonts w:ascii="Times New Roman" w:cs="Times New Roman" w:eastAsia="Times New Roman" w:hAnsi="Times New Roman"/>
                <w:b w:val="false"/>
                <w:bCs w:val="false"/>
                <w:i w:val="false"/>
                <w:iCs w:val="false"/>
                <w:sz w:val="16"/>
                <w:szCs w:val="16"/>
              </w:rPr>
              <w:t xml:space="preserve">8: flags ← {</w:t>
            </w:r>
            <w:r>
              <w:rPr>
                <w:rFonts w:ascii="Times New Roman" w:cs="Times New Roman" w:eastAsia="Times New Roman" w:hAnsi="Times New Roman"/>
                <w:b w:val="false"/>
                <w:bCs w:val="false"/>
                <w:i/>
                <w:iCs/>
                <w:sz w:val="16"/>
                <w:szCs w:val="16"/>
              </w:rPr>
              <w:t xml:space="preserve">H</w:t>
            </w:r>
            <w:r>
              <w:rPr>
                <w:rFonts w:ascii="Times New Roman" w:cs="Times New Roman" w:eastAsia="Times New Roman" w:hAnsi="Times New Roman"/>
                <w:b w:val="false"/>
                <w:bCs w:val="false"/>
                <w:i w:val="false"/>
                <w:iCs w:val="false"/>
                <w:sz w:val="16"/>
                <w:szCs w:val="16"/>
              </w:rPr>
              <w:t xml:space="preserve"> ≥ τ</w:t>
            </w:r>
            <w:r>
              <w:rPr>
                <w:rFonts w:ascii="Times New Roman" w:cs="Times New Roman" w:eastAsia="Times New Roman" w:hAnsi="Times New Roman"/>
                <w:b w:val="false"/>
                <w:bCs w:val="false"/>
                <w:i w:val="false"/>
                <w:iCs w:val="false"/>
                <w:sz w:val="16"/>
                <w:szCs w:val="16"/>
                <w:vertAlign w:val="subscript"/>
              </w:rPr>
              <w:t xml:space="preserve">H</w:t>
            </w:r>
            <w:r>
              <w:rPr>
                <w:rFonts w:ascii="Times New Roman" w:cs="Times New Roman" w:eastAsia="Times New Roman" w:hAnsi="Times New Roman"/>
                <w:b w:val="false"/>
                <w:bCs w:val="false"/>
                <w:i w:val="false"/>
                <w:iCs w:val="false"/>
                <w:sz w:val="16"/>
                <w:szCs w:val="16"/>
              </w:rPr>
              <w:t xml:space="preserve">, JS ≥ τ</w:t>
            </w:r>
            <w:r>
              <w:rPr>
                <w:rFonts w:ascii="Times New Roman" w:cs="Times New Roman" w:eastAsia="Times New Roman" w:hAnsi="Times New Roman"/>
                <w:b w:val="false"/>
                <w:bCs w:val="false"/>
                <w:i w:val="false"/>
                <w:iCs w:val="false"/>
                <w:sz w:val="16"/>
                <w:szCs w:val="16"/>
                <w:vertAlign w:val="subscript"/>
              </w:rPr>
              <w:t xml:space="preserve">JS</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u</w:t>
            </w:r>
            <w:r>
              <w:rPr>
                <w:rFonts w:ascii="Times New Roman" w:cs="Times New Roman" w:eastAsia="Times New Roman" w:hAnsi="Times New Roman"/>
                <w:b w:val="false"/>
                <w:bCs w:val="false"/>
                <w:i w:val="false"/>
                <w:iCs w:val="false"/>
                <w:sz w:val="16"/>
                <w:szCs w:val="16"/>
                <w:vertAlign w:val="subscript"/>
              </w:rPr>
              <w:t xml:space="preserve">mask</w:t>
            </w:r>
            <w:r>
              <w:rPr>
                <w:rFonts w:ascii="Times New Roman" w:cs="Times New Roman" w:eastAsia="Times New Roman" w:hAnsi="Times New Roman"/>
                <w:b w:val="false"/>
                <w:bCs w:val="false"/>
                <w:i w:val="false"/>
                <w:iCs w:val="false"/>
                <w:sz w:val="16"/>
                <w:szCs w:val="16"/>
              </w:rPr>
              <w:t xml:space="preserve"> ≥ τ</w:t>
            </w:r>
            <w:r>
              <w:rPr>
                <w:rFonts w:ascii="Times New Roman" w:cs="Times New Roman" w:eastAsia="Times New Roman" w:hAnsi="Times New Roman"/>
                <w:b w:val="false"/>
                <w:bCs w:val="false"/>
                <w:i w:val="false"/>
                <w:iCs w:val="false"/>
                <w:sz w:val="16"/>
                <w:szCs w:val="16"/>
                <w:vertAlign w:val="subscript"/>
              </w:rPr>
              <w:t xml:space="preserve">M</w:t>
            </w:r>
            <w:r>
              <w:rPr>
                <w:rFonts w:ascii="Times New Roman" w:cs="Times New Roman" w:eastAsia="Times New Roman" w:hAnsi="Times New Roman"/>
                <w:b w:val="false"/>
                <w:bCs w:val="false"/>
                <w:i w:val="false"/>
                <w:iCs w:val="false"/>
                <w:sz w:val="16"/>
                <w:szCs w:val="16"/>
              </w:rPr>
              <w:t xml:space="preserve">, score &lt; τ</w:t>
            </w:r>
            <w:r>
              <w:rPr>
                <w:rFonts w:ascii="Times New Roman" w:cs="Times New Roman" w:eastAsia="Times New Roman" w:hAnsi="Times New Roman"/>
                <w:b w:val="false"/>
                <w:bCs w:val="false"/>
                <w:i w:val="false"/>
                <w:iCs w:val="false"/>
                <w:sz w:val="16"/>
                <w:szCs w:val="16"/>
                <w:vertAlign w:val="subscript"/>
              </w:rPr>
              <w:t xml:space="preserve">D</w:t>
            </w:r>
            <w:r>
              <w:rPr>
                <w:rFonts w:ascii="Times New Roman" w:cs="Times New Roman" w:eastAsia="Times New Roman" w:hAnsi="Times New Roman"/>
                <w:b w:val="false"/>
                <w:bCs w:val="false"/>
                <w:i w:val="false"/>
                <w:iCs w:val="false"/>
                <w:sz w:val="16"/>
                <w:szCs w:val="16"/>
              </w:rPr>
              <w:t xml:space="preserve">, no matched mask, number needs review, not found on flipped image}</w:t>
            </w:r>
          </w:p>
          <w:p>
            <w:pPr>
              <w:keepNext/>
              <w:spacing w:after="10"/>
              <w:ind w:left="420" w:hanging="200"/>
            </w:pPr>
            <w:r>
              <w:rPr>
                <w:rFonts w:ascii="Times New Roman" w:cs="Times New Roman" w:eastAsia="Times New Roman" w:hAnsi="Times New Roman"/>
                <w:b w:val="false"/>
                <w:bCs w:val="false"/>
                <w:i w:val="false"/>
                <w:iCs w:val="false"/>
                <w:sz w:val="16"/>
                <w:szCs w:val="16"/>
              </w:rPr>
              <w:t xml:space="preserve">9: status ← “abstained” if </w:t>
            </w:r>
            <w:r>
              <w:rPr>
                <w:rFonts w:ascii="Times New Roman" w:cs="Times New Roman" w:eastAsia="Times New Roman" w:hAnsi="Times New Roman"/>
                <w:b w:val="false"/>
                <w:bCs w:val="false"/>
                <w:i/>
                <w:iCs/>
                <w:sz w:val="16"/>
                <w:szCs w:val="16"/>
              </w:rPr>
              <w:t xml:space="preserve">H</w:t>
            </w:r>
            <w:r>
              <w:rPr>
                <w:rFonts w:ascii="Times New Roman" w:cs="Times New Roman" w:eastAsia="Times New Roman" w:hAnsi="Times New Roman"/>
                <w:b w:val="false"/>
                <w:bCs w:val="false"/>
                <w:i w:val="false"/>
                <w:iCs w:val="false"/>
                <w:sz w:val="16"/>
                <w:szCs w:val="16"/>
              </w:rPr>
              <w:t xml:space="preserve"> ≥ τ</w:t>
            </w:r>
            <w:r>
              <w:rPr>
                <w:rFonts w:ascii="Times New Roman" w:cs="Times New Roman" w:eastAsia="Times New Roman" w:hAnsi="Times New Roman"/>
                <w:b w:val="false"/>
                <w:bCs w:val="false"/>
                <w:i w:val="false"/>
                <w:iCs w:val="false"/>
                <w:sz w:val="16"/>
                <w:szCs w:val="16"/>
                <w:vertAlign w:val="subscript"/>
              </w:rPr>
              <w:t xml:space="preserve">H</w:t>
            </w:r>
            <w:r>
              <w:rPr>
                <w:rFonts w:ascii="Times New Roman" w:cs="Times New Roman" w:eastAsia="Times New Roman" w:hAnsi="Times New Roman"/>
                <w:b w:val="false"/>
                <w:bCs w:val="false"/>
                <w:i w:val="false"/>
                <w:iCs w:val="false"/>
                <w:sz w:val="16"/>
                <w:szCs w:val="16"/>
              </w:rPr>
              <w:t xml:space="preserve"> (top class still shown); review ← flags ≠ ∅ or number unassigned</w:t>
            </w:r>
          </w:p>
          <w:p>
            <w:pPr>
              <w:keepNext/>
              <w:spacing w:after="10"/>
              <w:ind w:left="200" w:hanging="200"/>
            </w:pPr>
            <w:r>
              <w:rPr>
                <w:rFonts w:ascii="Times New Roman" w:cs="Times New Roman" w:eastAsia="Times New Roman" w:hAnsi="Times New Roman"/>
                <w:b w:val="false"/>
                <w:bCs w:val="false"/>
                <w:i w:val="false"/>
                <w:iCs w:val="false"/>
                <w:sz w:val="16"/>
                <w:szCs w:val="16"/>
              </w:rPr>
              <w:t xml:space="preserve">10: </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 ← weighted mean of the available image-level signals (7); store region records</w:t>
            </w:r>
          </w:p>
          <w:p>
            <w:pPr>
              <w:keepNext w:val="false"/>
              <w:spacing w:after="10"/>
              <w:ind w:left="200" w:hanging="200"/>
            </w:pPr>
            <w:r>
              <w:rPr>
                <w:rFonts w:ascii="Times New Roman" w:cs="Times New Roman" w:eastAsia="Times New Roman" w:hAnsi="Times New Roman"/>
                <w:b w:val="false"/>
                <w:bCs w:val="false"/>
                <w:i w:val="false"/>
                <w:iCs w:val="false"/>
                <w:sz w:val="16"/>
                <w:szCs w:val="16"/>
              </w:rPr>
              <w:t xml:space="preserve">11: draft the report as an unconfirmed draft; place the image in the review queue ordered by </w:t>
            </w:r>
            <w:r>
              <w:rPr>
                <w:rFonts w:ascii="Times New Roman" w:cs="Times New Roman" w:eastAsia="Times New Roman" w:hAnsi="Times New Roman"/>
                <w:b w:val="false"/>
                <w:bCs w:val="false"/>
                <w:i/>
                <w:iCs/>
                <w:sz w:val="16"/>
                <w:szCs w:val="16"/>
              </w:rPr>
              <w:t xml:space="preserve">S</w:t>
            </w:r>
          </w:p>
        </w:tc>
      </w:tr>
    </w:tbl>
    <w:p>
      <w:pPr>
        <w:spacing w:after="80"/>
      </w:pPr>
    </w:p>
    <w:p>
      <w:pPr>
        <w:keepNext/>
        <w:spacing w:before="120" w:after="60"/>
        <w:jc w:val="center"/>
      </w:pPr>
      <w:r>
        <w:drawing>
          <wp:inline distT="0" distB="0" distL="0" distR="0">
            <wp:extent cx="3154680" cy="2927604"/>
            <wp:effectExtent t="0" r="0" b="0" l="0"/>
            <wp:docPr id="1" name="fig5_uncertainty_review" descr="Uncertainty-aware review routing. Upper part: thresholds and routing deployed in the application. Lower dashed panel: methods evaluated offline only, which are not active in the application."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extLst>
                        <a:ext uri="{96DAC541-7B7A-43D3-8B79-37D633B846F1}">
                          <asvg:svgBlip xmlns:asvg="http://schemas.microsoft.com/office/drawing/2016/SVG/main" r:embed="rId16"/>
                        </a:ext>
                      </a:extLst>
                    </a:blip>
                    <a:srcRect/>
                    <a:stretch>
                      <a:fillRect/>
                    </a:stretch>
                  </pic:blipFill>
                  <pic:spPr bwMode="auto">
                    <a:xfrm>
                      <a:off x="0" y="0"/>
                      <a:ext cx="3154680" cy="2927604"/>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5.  Uncertainty-aware review routing. Upper part: thresholds and routing deployed in the application. Lower dashed panel: methods evaluated offline only, which are not active in the application.</w:t>
      </w:r>
    </w:p>
    <w:p>
      <w:pPr>
        <w:pStyle w:val="Heading2"/>
      </w:pPr>
      <w:r>
        <w:rPr>
          <w:rFonts w:ascii="Times New Roman" w:cs="Times New Roman" w:eastAsia="Times New Roman" w:hAnsi="Times New Roman"/>
          <w:b w:val="false"/>
          <w:bCs w:val="false"/>
          <w:i w:val="false"/>
          <w:iCs w:val="false"/>
        </w:rPr>
        <w:t xml:space="preserve">F. Human Review and Reports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 reviewer can confirm, correct or reject a region’s class, set or clear its tooth number, or mark the image for specialist review or as unusable. Each record stores the model output the reviewer saw. A changed decision creates a new revision, and an identical resubmission is refused. Approval requires a second named person. Reviewer names are self-declared and stored as such, and nothing is labeled expert-verified. Only approved records on unlabeled-pool or uploaded images can be exported for training. Reports are drafted from structured findings with fixed templates in English, Hindi and Marathi. A validator rejects text that cites teeth, labels or numbers absent from the findings, and every report remains an unconfirmed research draft until a named reviewer signs it. The Hindi and Marathi wording has not been reviewed by a native-speaking dental professional.</w:t>
      </w:r>
    </w:p>
    <w:p>
      <w:pPr>
        <w:pStyle w:val="Heading1"/>
      </w:pPr>
      <w:r>
        <w:rPr>
          <w:rFonts w:ascii="Times New Roman" w:cs="Times New Roman" w:eastAsia="Times New Roman" w:hAnsi="Times New Roman"/>
          <w:b w:val="false"/>
          <w:bCs w:val="false"/>
          <w:i w:val="false"/>
          <w:iCs w:val="false"/>
        </w:rPr>
        <w:t xml:space="preserve">VII. Model Architectures and Training Configuration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IV lists the training configuration recorded in each checkpoint’s sidecar file. All models are torchvision implementations. Detectors start from COCO weights [34] and the classifier from ImageNet weights [31]; these are general-domain, not dental, starting points. All models use AdamW with weight decay 10</w:t>
      </w:r>
      <w:r>
        <w:rPr>
          <w:rFonts w:ascii="Times New Roman" w:cs="Times New Roman" w:eastAsia="Times New Roman" w:hAnsi="Times New Roman"/>
          <w:b w:val="false"/>
          <w:bCs w:val="false"/>
          <w:i w:val="false"/>
          <w:iCs w:val="false"/>
          <w:sz w:val="20"/>
          <w:szCs w:val="20"/>
          <w:vertAlign w:val="superscript"/>
        </w:rPr>
        <w:t xml:space="preserve">−4</w:t>
      </w:r>
      <w:r>
        <w:rPr>
          <w:rFonts w:ascii="Times New Roman" w:cs="Times New Roman" w:eastAsia="Times New Roman" w:hAnsi="Times New Roman"/>
          <w:b w:val="false"/>
          <w:bCs w:val="false"/>
          <w:i w:val="false"/>
          <w:iCs w:val="false"/>
          <w:sz w:val="20"/>
          <w:szCs w:val="20"/>
        </w:rPr>
        <w:t xml:space="preserve">, a cosine learning-rate schedule and seed 42, and each keeps the epoch that scores best on validation. Horizontal flipping is used for the one-class detector and segmenter but not for the numbering model, because a flip would swap left and right FDI codes. Training ran on an NVIDIA RTX 3050 Laptop GPU (4 GB) with PyTorch 2.6 and CUDA 12.4.</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Training Configuration of the Four Deployed Checkpoints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50"/>
        <w:gridCol w:w="1700"/>
        <w:gridCol w:w="1100"/>
        <w:gridCol w:w="1190"/>
      </w:tblGrid>
      <w:tr>
        <w:trPr>
          <w:cantSplit/>
          <w:tblHeader/>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Model</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Architecture (init.)</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Epochs / batch / lr</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Selection on val.</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Tooth detector</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Faster R-CNN R50-FPN, 1 class (COCO)</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12 / 2 / 1e-4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mAP@[.5:.95]</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FDI numbering</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Faster R-CNN R50-FPN, 32 classes (COCO)</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16 / 2 / 1e-4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mAP@[.5:.95]</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Segmenter</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Mask R-CNN R50-FPN, 1 class (COCO)</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8 / 1 / 1e-4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mAP@[.5:.95]</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Finding classifier</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ResNet-50, 4 classes (ImageNet V2)</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15 / 32 / 3e-4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macro-F1 (epoch 5)</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Data/checkpoints/*.json sidecars. Classifier augmentation: horizontal flip p = 0.5 and multiplicative contrast jitter of ±5 %. The detector, numbering and segmentation models used 440 training and 69 validation radiographs. The checkpoints are legacy: image-level training membership was not recorded (Section XIII).</w:t>
      </w:r>
    </w:p>
    <w:p>
      <w:pPr>
        <w:pStyle w:val="Heading1"/>
      </w:pPr>
      <w:r>
        <w:rPr>
          <w:rFonts w:ascii="Times New Roman" w:cs="Times New Roman" w:eastAsia="Times New Roman" w:hAnsi="Times New Roman"/>
          <w:b w:val="false"/>
          <w:bCs w:val="false"/>
          <w:i w:val="false"/>
          <w:iCs w:val="false"/>
        </w:rPr>
        <w:t xml:space="preserve">VIII. Experimental Setup and Evaluation Metrics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7 maps each task and study to its metrics and splits. Detection and segmentation use COCO-style average precision (AP). For one class, AP is the area under the precision envelope with all-point interpolation,</w:t>
      </w:r>
    </w:p>
    <w:p>
      <w:pPr>
        <w:keepLines/>
        <w:tabs>
          <w:tab w:val="center" w:pos="2520"/>
          <w:tab w:val="right" w:pos="5040"/>
        </w:tabs>
        <w:spacing w:before="60" w:after="60"/>
      </w:pPr>
      <w:r>
        <w:rPr>
          <w:rFonts w:ascii="Times New Roman" w:cs="Times New Roman" w:eastAsia="Times New Roman" w:hAnsi="Times New Roman"/>
        </w:rPr>
        <w:tab/>
      </w:r>
      <m:oMath>
        <m:r>
          <m:rPr>
            <m:sty m:val="p"/>
          </m:rPr>
          <m:t>AP</m:t>
        </m:r>
        <m:r>
          <m:t>=</m:t>
        </m:r>
        <m:nary>
          <m:naryPr>
            <m:chr m:val="∑"/>
            <m:limLoc m:val="undOvr"/>
            <m:supHide m:val="1"/>
          </m:naryPr>
          <m:sub>
            <m:r>
              <m:t>k</m:t>
            </m:r>
          </m:sub>
          <m:sup/>
          <m:e>
            <m:d>
              <m:dPr/>
              <m:e>
                <m:sSub>
                  <m:sSubPr/>
                  <m:e>
                    <m:r>
                      <m:t>r</m:t>
                    </m:r>
                  </m:e>
                  <m:sub>
                    <m:r>
                      <m:t>k</m:t>
                    </m:r>
                  </m:sub>
                </m:sSub>
                <m:r>
                  <m:t>−</m:t>
                </m:r>
                <m:sSub>
                  <m:sSubPr/>
                  <m:e>
                    <m:r>
                      <m:t>r</m:t>
                    </m:r>
                  </m:e>
                  <m:sub>
                    <m:r>
                      <m:t>k−1</m:t>
                    </m:r>
                  </m:sub>
                </m:sSub>
              </m:e>
            </m:d>
            <m:r>
              <m:rPr>
                <m:sty m:val="p"/>
              </m:rPr>
              <m:t> max</m:t>
            </m:r>
            <m:sSub>
              <m:sSubPr/>
              <m:e>
                <m:r>
                  <m:t>p</m:t>
                </m:r>
              </m:e>
              <m:sub>
                <m:r>
                  <m:t>r≥rₖ</m:t>
                </m:r>
              </m:sub>
            </m:sSub>
          </m:e>
        </m:nary>
      </m:oMath>
      <w:r>
        <w:rPr>
          <w:rFonts w:ascii="Times New Roman" w:cs="Times New Roman" w:eastAsia="Times New Roman" w:hAnsi="Times New Roman"/>
          <w:sz w:val="20"/>
          <w:szCs w:val="20"/>
        </w:rPr>
        <w:tab/>
        <w:t xml:space="preserve">(9)</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vertAlign w:val="subscript"/>
        </w:rPr>
        <w:t xml:space="preserve">k</w:t>
      </w:r>
      <w:r>
        <w:rPr>
          <w:rFonts w:ascii="Times New Roman" w:cs="Times New Roman" w:eastAsia="Times New Roman" w:hAnsi="Times New Roman"/>
          <w:b w:val="false"/>
          <w:bCs w:val="false"/>
          <w:i w:val="false"/>
          <w:iCs w:val="false"/>
          <w:sz w:val="20"/>
          <w:szCs w:val="20"/>
        </w:rPr>
        <w:t xml:space="preserve"> are recall levels and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precision. AP50 uses an IoU match threshold of 0.5, and mAP averages AP over IoU 0.50:0.05:0.95. Precision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and recall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rPr>
        <w:t xml:space="preserve"> are also reported at the operating point (score ≥ 0.3, IoU ≥ 0.5) from true positives (TP), false positives (FP) and false negatives (FN):</w:t>
      </w:r>
    </w:p>
    <w:p>
      <w:pPr>
        <w:keepLines/>
        <w:tabs>
          <w:tab w:val="center" w:pos="2520"/>
          <w:tab w:val="right" w:pos="5040"/>
        </w:tabs>
        <w:spacing w:before="60" w:after="60"/>
      </w:pPr>
      <w:r>
        <w:rPr>
          <w:rFonts w:ascii="Times New Roman" w:cs="Times New Roman" w:eastAsia="Times New Roman" w:hAnsi="Times New Roman"/>
        </w:rPr>
        <w:tab/>
      </w:r>
      <m:oMath>
        <m:r>
          <m:t>P=</m:t>
        </m:r>
        <m:f>
          <m:num>
            <m:r>
              <m:rPr>
                <m:sty m:val="p"/>
              </m:rPr>
              <m:t>TP</m:t>
            </m:r>
          </m:num>
          <m:den>
            <m:r>
              <m:rPr>
                <m:sty m:val="p"/>
              </m:rPr>
              <m:t>TP</m:t>
            </m:r>
            <m:r>
              <m:t>+</m:t>
            </m:r>
            <m:r>
              <m:rPr>
                <m:sty m:val="p"/>
              </m:rPr>
              <m:t>FP</m:t>
            </m:r>
          </m:den>
        </m:f>
        <m:r>
          <m:t>,  R=</m:t>
        </m:r>
        <m:f>
          <m:num>
            <m:r>
              <m:rPr>
                <m:sty m:val="p"/>
              </m:rPr>
              <m:t>TP</m:t>
            </m:r>
          </m:num>
          <m:den>
            <m:r>
              <m:rPr>
                <m:sty m:val="p"/>
              </m:rPr>
              <m:t>TP</m:t>
            </m:r>
            <m:r>
              <m:t>+</m:t>
            </m:r>
            <m:r>
              <m:rPr>
                <m:sty m:val="p"/>
              </m:rPr>
              <m:t>FN</m:t>
            </m:r>
          </m:den>
        </m:f>
        <m:r>
          <m:t>,  </m:t>
        </m:r>
        <m:r>
          <m:rPr>
            <m:sty m:val="p"/>
          </m:rPr>
          <m:t>F1</m:t>
        </m:r>
        <m:r>
          <m:t>=</m:t>
        </m:r>
        <m:f>
          <m:num>
            <m:r>
              <m:t>2PR</m:t>
            </m:r>
          </m:num>
          <m:den>
            <m:r>
              <m:t>P+R</m:t>
            </m:r>
          </m:den>
        </m:f>
      </m:oMath>
      <w:r>
        <w:rPr>
          <w:rFonts w:ascii="Times New Roman" w:cs="Times New Roman" w:eastAsia="Times New Roman" w:hAnsi="Times New Roman"/>
          <w:sz w:val="20"/>
          <w:szCs w:val="20"/>
        </w:rPr>
        <w:tab/>
        <w:t xml:space="preserve">(10)</w:t>
      </w:r>
    </w:p>
    <w:p>
      <w:pPr>
        <w:spacing w:after="60"/>
        <w:ind w:firstLine="0"/>
        <w:jc w:val="both"/>
      </w:pPr>
      <w:r>
        <w:rPr>
          <w:rFonts w:ascii="Times New Roman" w:cs="Times New Roman" w:eastAsia="Times New Roman" w:hAnsi="Times New Roman"/>
          <w:b w:val="false"/>
          <w:bCs w:val="false"/>
          <w:i w:val="false"/>
          <w:iCs w:val="false"/>
          <w:sz w:val="20"/>
          <w:szCs w:val="20"/>
        </w:rPr>
        <w:t xml:space="preserve">For classification, macro-F1 (F1</w:t>
      </w:r>
      <w:r>
        <w:rPr>
          <w:rFonts w:ascii="Times New Roman" w:cs="Times New Roman" w:eastAsia="Times New Roman" w:hAnsi="Times New Roman"/>
          <w:b w:val="false"/>
          <w:bCs w:val="false"/>
          <w:i w:val="false"/>
          <w:iCs w:val="false"/>
          <w:sz w:val="20"/>
          <w:szCs w:val="20"/>
          <w:vertAlign w:val="subscript"/>
        </w:rPr>
        <w:t xml:space="preserve">macro</w:t>
      </w:r>
      <w:r>
        <w:rPr>
          <w:rFonts w:ascii="Times New Roman" w:cs="Times New Roman" w:eastAsia="Times New Roman" w:hAnsi="Times New Roman"/>
          <w:b w:val="false"/>
          <w:bCs w:val="false"/>
          <w:i w:val="false"/>
          <w:iCs w:val="false"/>
          <w:sz w:val="20"/>
          <w:szCs w:val="20"/>
        </w:rPr>
        <w:t xml:space="preserve">) is the unweighted mean of the per-class F1 values,</w:t>
      </w:r>
    </w:p>
    <w:p>
      <w:pPr>
        <w:keepLines/>
        <w:tabs>
          <w:tab w:val="center" w:pos="2520"/>
          <w:tab w:val="right" w:pos="5040"/>
        </w:tabs>
        <w:spacing w:before="60" w:after="60"/>
      </w:pPr>
      <w:r>
        <w:rPr>
          <w:rFonts w:ascii="Times New Roman" w:cs="Times New Roman" w:eastAsia="Times New Roman" w:hAnsi="Times New Roman"/>
        </w:rPr>
        <w:tab/>
      </w:r>
      <m:oMath>
        <m:sSub>
          <m:sSubPr/>
          <m:e>
            <m:r>
              <m:rPr>
                <m:sty m:val="p"/>
              </m:rPr>
              <m:t>F1</m:t>
            </m:r>
          </m:e>
          <m:sub>
            <m:r>
              <m:rPr>
                <m:sty m:val="p"/>
              </m:rPr>
              <m:t>macro</m:t>
            </m:r>
          </m:sub>
        </m:sSub>
        <m:r>
          <m:t>=</m:t>
        </m:r>
        <m:f>
          <m:num>
            <m:r>
              <m:t>1</m:t>
            </m:r>
          </m:num>
          <m:den>
            <m:r>
              <m:t>K</m:t>
            </m:r>
          </m:den>
        </m:f>
        <m:nary>
          <m:naryPr>
            <m:chr m:val="∑"/>
            <m:limLoc m:val="undOvr"/>
          </m:naryPr>
          <m:sub>
            <m:r>
              <m:t>k=1</m:t>
            </m:r>
          </m:sub>
          <m:sup>
            <m:r>
              <m:t>K</m:t>
            </m:r>
          </m:sup>
          <m:e>
            <m:sSub>
              <m:sSubPr/>
              <m:e>
                <m:r>
                  <m:rPr>
                    <m:sty m:val="p"/>
                  </m:rPr>
                  <m:t>F1</m:t>
                </m:r>
              </m:e>
              <m:sub>
                <m:r>
                  <m:t>k</m:t>
                </m:r>
              </m:sub>
            </m:sSub>
          </m:e>
        </m:nary>
      </m:oMath>
      <w:r>
        <w:rPr>
          <w:rFonts w:ascii="Times New Roman" w:cs="Times New Roman" w:eastAsia="Times New Roman" w:hAnsi="Times New Roman"/>
          <w:sz w:val="20"/>
          <w:szCs w:val="20"/>
        </w:rPr>
        <w:tab/>
        <w:t xml:space="preserve">(11)</w:t>
      </w:r>
    </w:p>
    <w:p>
      <w:pPr>
        <w:spacing w:after="60"/>
        <w:ind w:firstLine="0"/>
        <w:jc w:val="both"/>
      </w:pPr>
      <w:r>
        <w:rPr>
          <w:rFonts w:ascii="Times New Roman" w:cs="Times New Roman" w:eastAsia="Times New Roman" w:hAnsi="Times New Roman"/>
          <w:b w:val="false"/>
          <w:bCs w:val="false"/>
          <w:i w:val="false"/>
          <w:iCs w:val="false"/>
          <w:sz w:val="20"/>
          <w:szCs w:val="20"/>
        </w:rPr>
        <w:t xml:space="preserve">Per-class sensitivity, specificity and one-vs-rest ROC AUC are reported for the test split. Mask IoU is computed on a grid subsampled by a factor of four. Numbering is scored on ground-truth teeth: </w:t>
      </w:r>
      <w:r>
        <w:rPr>
          <w:rFonts w:ascii="Times New Roman" w:cs="Times New Roman" w:eastAsia="Times New Roman" w:hAnsi="Times New Roman"/>
          <w:b w:val="false"/>
          <w:bCs w:val="false"/>
          <w:i/>
          <w:iCs/>
          <w:sz w:val="20"/>
          <w:szCs w:val="20"/>
        </w:rPr>
        <w:t xml:space="preserve">coverage</w:t>
      </w:r>
      <w:r>
        <w:rPr>
          <w:rFonts w:ascii="Times New Roman" w:cs="Times New Roman" w:eastAsia="Times New Roman" w:hAnsi="Times New Roman"/>
          <w:b w:val="false"/>
          <w:bCs w:val="false"/>
          <w:i w:val="false"/>
          <w:iCs w:val="false"/>
          <w:sz w:val="20"/>
          <w:szCs w:val="20"/>
        </w:rPr>
        <w:t xml:space="preserve"> is the fraction matched by a numbered prediction at IoU ≥ 0.5, </w:t>
      </w:r>
      <w:r>
        <w:rPr>
          <w:rFonts w:ascii="Times New Roman" w:cs="Times New Roman" w:eastAsia="Times New Roman" w:hAnsi="Times New Roman"/>
          <w:b w:val="false"/>
          <w:bCs w:val="false"/>
          <w:i/>
          <w:iCs/>
          <w:sz w:val="20"/>
          <w:szCs w:val="20"/>
        </w:rPr>
        <w:t xml:space="preserve">exact accuracy</w:t>
      </w:r>
      <w:r>
        <w:rPr>
          <w:rFonts w:ascii="Times New Roman" w:cs="Times New Roman" w:eastAsia="Times New Roman" w:hAnsi="Times New Roman"/>
          <w:b w:val="false"/>
          <w:bCs w:val="false"/>
          <w:i w:val="false"/>
          <w:iCs w:val="false"/>
          <w:sz w:val="20"/>
          <w:szCs w:val="20"/>
        </w:rPr>
        <w:t xml:space="preserve"> is the fraction of matched teeth with the correct FDI code, and </w:t>
      </w:r>
      <w:r>
        <w:rPr>
          <w:rFonts w:ascii="Times New Roman" w:cs="Times New Roman" w:eastAsia="Times New Roman" w:hAnsi="Times New Roman"/>
          <w:b w:val="false"/>
          <w:bCs w:val="false"/>
          <w:i/>
          <w:iCs/>
          <w:sz w:val="20"/>
          <w:szCs w:val="20"/>
        </w:rPr>
        <w:t xml:space="preserve">strict accuracy</w:t>
      </w:r>
      <w:r>
        <w:rPr>
          <w:rFonts w:ascii="Times New Roman" w:cs="Times New Roman" w:eastAsia="Times New Roman" w:hAnsi="Times New Roman"/>
          <w:b w:val="false"/>
          <w:bCs w:val="false"/>
          <w:i w:val="false"/>
          <w:iCs w:val="false"/>
          <w:sz w:val="20"/>
          <w:szCs w:val="20"/>
        </w:rPr>
        <w:t xml:space="preserve"> counts correct codes over all ground-truth teeth, so that missed teeth count as errors.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Calibration uses the expected calibration error with 15 equal-width confidence bins </w:t>
      </w:r>
      <w:r>
        <w:rPr>
          <w:rFonts w:ascii="Times New Roman" w:cs="Times New Roman" w:eastAsia="Times New Roman" w:hAnsi="Times New Roman"/>
          <w:b w:val="false"/>
          <w:bCs w:val="false"/>
          <w:i/>
          <w:iCs/>
          <w:sz w:val="20"/>
          <w:szCs w:val="20"/>
        </w:rPr>
        <w:t xml:space="preserve">B</w:t>
      </w:r>
      <w:r>
        <w:rPr>
          <w:rFonts w:ascii="Times New Roman" w:cs="Times New Roman" w:eastAsia="Times New Roman" w:hAnsi="Times New Roman"/>
          <w:b w:val="false"/>
          <w:bCs w:val="false"/>
          <w:i w:val="false"/>
          <w:iCs w:val="false"/>
          <w:sz w:val="20"/>
          <w:szCs w:val="20"/>
          <w:vertAlign w:val="subscript"/>
        </w:rPr>
        <w:t xml:space="preserve">m</w:t>
      </w:r>
      <w:r>
        <w:rPr>
          <w:rFonts w:ascii="Times New Roman" w:cs="Times New Roman" w:eastAsia="Times New Roman" w:hAnsi="Times New Roman"/>
          <w:b w:val="false"/>
          <w:bCs w:val="false"/>
          <w:i w:val="false"/>
          <w:iCs w:val="false"/>
          <w:sz w:val="20"/>
          <w:szCs w:val="20"/>
        </w:rPr>
        <w:t xml:space="preserve"> [22],</w:t>
      </w:r>
    </w:p>
    <w:p>
      <w:pPr>
        <w:keepLines/>
        <w:tabs>
          <w:tab w:val="center" w:pos="2520"/>
          <w:tab w:val="right" w:pos="5040"/>
        </w:tabs>
        <w:spacing w:before="60" w:after="60"/>
      </w:pPr>
      <w:r>
        <w:rPr>
          <w:rFonts w:ascii="Times New Roman" w:cs="Times New Roman" w:eastAsia="Times New Roman" w:hAnsi="Times New Roman"/>
        </w:rPr>
        <w:tab/>
      </w:r>
      <m:oMath>
        <m:r>
          <m:rPr>
            <m:sty m:val="p"/>
          </m:rPr>
          <m:t>ECE</m:t>
        </m:r>
        <m:r>
          <m:t>=</m:t>
        </m:r>
        <m:nary>
          <m:naryPr>
            <m:chr m:val="∑"/>
            <m:limLoc m:val="undOvr"/>
          </m:naryPr>
          <m:sub>
            <m:r>
              <m:t>m=1</m:t>
            </m:r>
          </m:sub>
          <m:sup>
            <m:r>
              <m:t>15</m:t>
            </m:r>
          </m:sup>
          <m:e>
            <m:f>
              <m:num>
                <m:r>
                  <m:t>|Bₘ|</m:t>
                </m:r>
              </m:num>
              <m:den>
                <m:r>
                  <m:t>n</m:t>
                </m:r>
              </m:den>
            </m:f>
            <m:r>
              <m:t>|</m:t>
            </m:r>
            <m:r>
              <m:rPr>
                <m:sty m:val="p"/>
              </m:rPr>
              <m:t>acc</m:t>
            </m:r>
            <m:d>
              <m:dPr/>
              <m:e>
                <m:r>
                  <m:t>Bₘ</m:t>
                </m:r>
              </m:e>
            </m:d>
            <m:r>
              <m:t>−</m:t>
            </m:r>
            <m:r>
              <m:rPr>
                <m:sty m:val="p"/>
              </m:rPr>
              <m:t>conf</m:t>
            </m:r>
            <m:d>
              <m:dPr/>
              <m:e>
                <m:r>
                  <m:t>Bₘ</m:t>
                </m:r>
              </m:e>
            </m:d>
            <m:r>
              <m:t>|</m:t>
            </m:r>
          </m:e>
        </m:nary>
      </m:oMath>
      <w:r>
        <w:rPr>
          <w:rFonts w:ascii="Times New Roman" w:cs="Times New Roman" w:eastAsia="Times New Roman" w:hAnsi="Times New Roman"/>
          <w:sz w:val="20"/>
          <w:szCs w:val="20"/>
        </w:rPr>
        <w:tab/>
        <w:t xml:space="preserve">(12)</w:t>
      </w:r>
    </w:p>
    <w:p>
      <w:pPr>
        <w:spacing w:after="60"/>
        <w:ind w:firstLine="0"/>
        <w:jc w:val="both"/>
      </w:pPr>
      <w:r>
        <w:rPr>
          <w:rFonts w:ascii="Times New Roman" w:cs="Times New Roman" w:eastAsia="Times New Roman" w:hAnsi="Times New Roman"/>
          <w:b w:val="false"/>
          <w:bCs w:val="false"/>
          <w:i w:val="false"/>
          <w:iCs w:val="false"/>
          <w:sz w:val="20"/>
          <w:szCs w:val="20"/>
        </w:rPr>
        <w:t xml:space="preserve">and the multi-class Brier score [35],</w:t>
      </w:r>
    </w:p>
    <w:p>
      <w:pPr>
        <w:keepLines/>
        <w:tabs>
          <w:tab w:val="center" w:pos="2520"/>
          <w:tab w:val="right" w:pos="5040"/>
        </w:tabs>
        <w:spacing w:before="60" w:after="60"/>
      </w:pPr>
      <w:r>
        <w:rPr>
          <w:rFonts w:ascii="Times New Roman" w:cs="Times New Roman" w:eastAsia="Times New Roman" w:hAnsi="Times New Roman"/>
        </w:rPr>
        <w:tab/>
      </w:r>
      <m:oMath>
        <m:r>
          <m:rPr>
            <m:sty m:val="p"/>
          </m:rPr>
          <m:t>BS</m:t>
        </m:r>
        <m:r>
          <m:t>=</m:t>
        </m:r>
        <m:f>
          <m:num>
            <m:r>
              <m:t>1</m:t>
            </m:r>
          </m:num>
          <m:den>
            <m:r>
              <m:t>n</m:t>
            </m:r>
          </m:den>
        </m:f>
        <m:nary>
          <m:naryPr>
            <m:chr m:val="∑"/>
            <m:limLoc m:val="undOvr"/>
            <m:supHide m:val="1"/>
          </m:naryPr>
          <m:sub>
            <m:r>
              <m:t>i</m:t>
            </m:r>
          </m:sub>
          <m:sup/>
          <m:e>
            <m:nary>
              <m:naryPr>
                <m:chr m:val="∑"/>
                <m:limLoc m:val="undOvr"/>
                <m:supHide m:val="1"/>
              </m:naryPr>
              <m:sub>
                <m:r>
                  <m:t>k</m:t>
                </m:r>
              </m:sub>
              <m:sup/>
              <m:e>
                <m:sSup>
                  <m:sSupPr/>
                  <m:e>
                    <m:d>
                      <m:dPr/>
                      <m:e>
                        <m:sSub>
                          <m:sSubPr/>
                          <m:e>
                            <m:r>
                              <m:t>p</m:t>
                            </m:r>
                          </m:e>
                          <m:sub>
                            <m:r>
                              <m:t>ik</m:t>
                            </m:r>
                          </m:sub>
                        </m:sSub>
                        <m:r>
                          <m:t>−</m:t>
                        </m:r>
                        <m:sSub>
                          <m:sSubPr/>
                          <m:e>
                            <m:r>
                              <m:t>y</m:t>
                            </m:r>
                          </m:e>
                          <m:sub>
                            <m:r>
                              <m:t>ik</m:t>
                            </m:r>
                          </m:sub>
                        </m:sSub>
                      </m:e>
                    </m:d>
                  </m:e>
                  <m:sup>
                    <m:r>
                      <m:t>2</m:t>
                    </m:r>
                  </m:sup>
                </m:sSup>
              </m:e>
            </m:nary>
          </m:e>
        </m:nary>
      </m:oMath>
      <w:r>
        <w:rPr>
          <w:rFonts w:ascii="Times New Roman" w:cs="Times New Roman" w:eastAsia="Times New Roman" w:hAnsi="Times New Roman"/>
          <w:sz w:val="20"/>
          <w:szCs w:val="20"/>
        </w:rPr>
        <w:tab/>
        <w:t xml:space="preserve">(13)</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y</w:t>
      </w:r>
      <w:r>
        <w:rPr>
          <w:rFonts w:ascii="Times New Roman" w:cs="Times New Roman" w:eastAsia="Times New Roman" w:hAnsi="Times New Roman"/>
          <w:b w:val="false"/>
          <w:bCs w:val="false"/>
          <w:i w:val="false"/>
          <w:iCs w:val="false"/>
          <w:sz w:val="20"/>
          <w:szCs w:val="20"/>
          <w:vertAlign w:val="subscript"/>
        </w:rPr>
        <w:t xml:space="preserve">ik</w:t>
      </w:r>
      <w:r>
        <w:rPr>
          <w:rFonts w:ascii="Times New Roman" w:cs="Times New Roman" w:eastAsia="Times New Roman" w:hAnsi="Times New Roman"/>
          <w:b w:val="false"/>
          <w:bCs w:val="false"/>
          <w:i w:val="false"/>
          <w:iCs w:val="false"/>
          <w:sz w:val="20"/>
          <w:szCs w:val="20"/>
        </w:rPr>
        <w:t xml:space="preserve"> is the one-hot label. Temperature scaling [20] divides the logits </w:t>
      </w:r>
      <w:r>
        <w:rPr>
          <w:rFonts w:ascii="Times New Roman" w:cs="Times New Roman" w:eastAsia="Times New Roman" w:hAnsi="Times New Roman"/>
          <w:b/>
          <w:bCs/>
          <w:i w:val="false"/>
          <w:iCs w:val="false"/>
          <w:sz w:val="20"/>
          <w:szCs w:val="20"/>
        </w:rPr>
        <w:t xml:space="preserve">z</w:t>
      </w:r>
      <w:r>
        <w:rPr>
          <w:rFonts w:ascii="Times New Roman" w:cs="Times New Roman" w:eastAsia="Times New Roman" w:hAnsi="Times New Roman"/>
          <w:b w:val="false"/>
          <w:bCs w:val="false"/>
          <w:i w:val="false"/>
          <w:iCs w:val="false"/>
          <w:sz w:val="20"/>
          <w:szCs w:val="20"/>
        </w:rPr>
        <w:t xml:space="preserve"> by a scalar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fitted by negative log-likelihood on the calibration split (grid 0.5–5.0, step 0.05):</w:t>
      </w:r>
    </w:p>
    <w:p>
      <w:pPr>
        <w:keepLines/>
        <w:tabs>
          <w:tab w:val="center" w:pos="2520"/>
          <w:tab w:val="right" w:pos="5040"/>
        </w:tabs>
        <w:spacing w:before="60" w:after="60"/>
      </w:pPr>
      <w:r>
        <w:rPr>
          <w:rFonts w:ascii="Times New Roman" w:cs="Times New Roman" w:eastAsia="Times New Roman" w:hAnsi="Times New Roman"/>
        </w:rPr>
        <w:tab/>
      </w:r>
      <m:oMath>
        <m:sSub>
          <m:sSubPr/>
          <m:e>
            <m:r>
              <m:t>p</m:t>
            </m:r>
          </m:e>
          <m:sub>
            <m:r>
              <m:t>k</m:t>
            </m:r>
          </m:sub>
        </m:sSub>
        <m:r>
          <m:t>=</m:t>
        </m:r>
        <m:f>
          <m:num>
            <m:r>
              <m:rPr>
                <m:sty m:val="p"/>
              </m:rPr>
              <m:t>exp</m:t>
            </m:r>
            <m:d>
              <m:dPr/>
              <m:e>
                <m:sSub>
                  <m:sSubPr/>
                  <m:e>
                    <m:r>
                      <m:t>z</m:t>
                    </m:r>
                  </m:e>
                  <m:sub>
                    <m:r>
                      <m:t>k</m:t>
                    </m:r>
                  </m:sub>
                </m:sSub>
                <m:r>
                  <m:t>/T</m:t>
                </m:r>
              </m:e>
            </m:d>
          </m:num>
          <m:den>
            <m:nary>
              <m:naryPr>
                <m:chr m:val="∑"/>
                <m:limLoc m:val="undOvr"/>
                <m:supHide m:val="1"/>
              </m:naryPr>
              <m:sub>
                <m:r>
                  <m:t>j</m:t>
                </m:r>
              </m:sub>
              <m:sup/>
              <m:e>
                <m:r>
                  <m:rPr>
                    <m:sty m:val="p"/>
                  </m:rPr>
                  <m:t>exp</m:t>
                </m:r>
                <m:d>
                  <m:dPr/>
                  <m:e>
                    <m:sSub>
                      <m:sSubPr/>
                      <m:e>
                        <m:r>
                          <m:t>z</m:t>
                        </m:r>
                      </m:e>
                      <m:sub>
                        <m:r>
                          <m:t>j</m:t>
                        </m:r>
                      </m:sub>
                    </m:sSub>
                    <m:r>
                      <m:t>/T</m:t>
                    </m:r>
                  </m:e>
                </m:d>
              </m:e>
            </m:nary>
          </m:den>
        </m:f>
      </m:oMath>
      <w:r>
        <w:rPr>
          <w:rFonts w:ascii="Times New Roman" w:cs="Times New Roman" w:eastAsia="Times New Roman" w:hAnsi="Times New Roman"/>
          <w:sz w:val="20"/>
          <w:szCs w:val="20"/>
        </w:rPr>
        <w:tab/>
        <w:t xml:space="preserve">(14)</w:t>
      </w:r>
    </w:p>
    <w:p>
      <w:pPr>
        <w:spacing w:after="60"/>
        <w:ind w:firstLine="0"/>
        <w:jc w:val="both"/>
      </w:pPr>
      <w:r>
        <w:rPr>
          <w:rFonts w:ascii="Times New Roman" w:cs="Times New Roman" w:eastAsia="Times New Roman" w:hAnsi="Times New Roman"/>
          <w:b w:val="false"/>
          <w:bCs w:val="false"/>
          <w:i w:val="false"/>
          <w:iCs w:val="false"/>
          <w:sz w:val="20"/>
          <w:szCs w:val="20"/>
        </w:rPr>
        <w:t xml:space="preserve">For abstention rules [17], coverage is the fraction of crops that receive a class and risk is the error rate among them:</w:t>
      </w:r>
    </w:p>
    <w:p>
      <w:pPr>
        <w:keepLines/>
        <w:tabs>
          <w:tab w:val="center" w:pos="2520"/>
          <w:tab w:val="right" w:pos="5040"/>
        </w:tabs>
        <w:spacing w:before="60" w:after="60"/>
      </w:pPr>
      <w:r>
        <w:rPr>
          <w:rFonts w:ascii="Times New Roman" w:cs="Times New Roman" w:eastAsia="Times New Roman" w:hAnsi="Times New Roman"/>
        </w:rPr>
        <w:tab/>
      </w:r>
      <m:oMath>
        <m:r>
          <m:rPr>
            <m:sty m:val="p"/>
          </m:rPr>
          <m:t>cov</m:t>
        </m:r>
        <m:r>
          <m:t>=</m:t>
        </m:r>
        <m:f>
          <m:num>
            <m:r>
              <m:t>|</m:t>
            </m:r>
            <m:r>
              <m:rPr>
                <m:sty m:val="p"/>
              </m:rPr>
              <m:t>acc.</m:t>
            </m:r>
            <m:r>
              <m:t>|</m:t>
            </m:r>
          </m:num>
          <m:den>
            <m:r>
              <m:t>n</m:t>
            </m:r>
          </m:den>
        </m:f>
        <m:r>
          <m:t>,  </m:t>
        </m:r>
        <m:r>
          <m:rPr>
            <m:sty m:val="p"/>
          </m:rPr>
          <m:t>risk</m:t>
        </m:r>
        <m:r>
          <m:t>=</m:t>
        </m:r>
        <m:f>
          <m:num>
            <m:r>
              <m:t>|</m:t>
            </m:r>
            <m:r>
              <m:rPr>
                <m:sty m:val="p"/>
              </m:rPr>
              <m:t>wrong</m:t>
            </m:r>
            <m:r>
              <m:t>∩</m:t>
            </m:r>
            <m:r>
              <m:rPr>
                <m:sty m:val="p"/>
              </m:rPr>
              <m:t>acc.</m:t>
            </m:r>
            <m:r>
              <m:t>|</m:t>
            </m:r>
          </m:num>
          <m:den>
            <m:r>
              <m:t>|</m:t>
            </m:r>
            <m:r>
              <m:rPr>
                <m:sty m:val="p"/>
              </m:rPr>
              <m:t>acc.</m:t>
            </m:r>
            <m:r>
              <m:t>|</m:t>
            </m:r>
          </m:den>
        </m:f>
      </m:oMath>
      <w:r>
        <w:rPr>
          <w:rFonts w:ascii="Times New Roman" w:cs="Times New Roman" w:eastAsia="Times New Roman" w:hAnsi="Times New Roman"/>
          <w:sz w:val="20"/>
          <w:szCs w:val="20"/>
        </w:rPr>
        <w:tab/>
        <w:t xml:space="preserve">(15)</w:t>
      </w:r>
    </w:p>
    <w:p>
      <w:pPr>
        <w:spacing w:after="60"/>
        <w:ind w:firstLine="0"/>
        <w:jc w:val="both"/>
      </w:pPr>
      <w:r>
        <w:rPr>
          <w:rFonts w:ascii="Times New Roman" w:cs="Times New Roman" w:eastAsia="Times New Roman" w:hAnsi="Times New Roman"/>
          <w:b w:val="false"/>
          <w:bCs w:val="false"/>
          <w:i w:val="false"/>
          <w:iCs w:val="false"/>
          <w:sz w:val="20"/>
          <w:szCs w:val="20"/>
        </w:rPr>
        <w:t xml:space="preserve">The ability of a signal to rank errors is summarized by the AUROC: the probability that a randomly chosen misclassified crop scores higher than a correctly classified one, with ties counted as one half.</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data protocol behind all splits is summarized in Fig. 6; the roles of the splits are those of Section IV-C.</w:t>
      </w:r>
    </w:p>
    <w:p>
      <w:pPr>
        <w:keepNext/>
        <w:spacing w:before="120" w:after="60"/>
        <w:jc w:val="center"/>
      </w:pPr>
      <w:r>
        <w:drawing>
          <wp:inline distT="0" distB="0" distL="0" distR="0">
            <wp:extent cx="3154680" cy="3797808"/>
            <wp:effectExtent t="0" r="0" b="0" l="0"/>
            <wp:docPr id="1" name="fig6_dataset_splits" descr="Dataset splitting and integrity protocol: pixel-hash grouping, seeded split into four splits, duplicate and leakage checks, and the gated test evaluation. Film counts are distinct labeled radiographs; the dashed note states what cannot be checked."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extLst>
                        <a:ext uri="{96DAC541-7B7A-43D3-8B79-37D633B846F1}">
                          <asvg:svgBlip xmlns:asvg="http://schemas.microsoft.com/office/drawing/2016/SVG/main" r:embed="rId18"/>
                        </a:ext>
                      </a:extLst>
                    </a:blip>
                    <a:srcRect/>
                    <a:stretch>
                      <a:fillRect/>
                    </a:stretch>
                  </pic:blipFill>
                  <pic:spPr bwMode="auto">
                    <a:xfrm>
                      <a:off x="0" y="0"/>
                      <a:ext cx="3154680" cy="3797808"/>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6.  Dataset splitting and integrity protocol: pixel-hash grouping, seeded split into four splits, duplicate and leakage checks, and the gated test evaluation. Film counts are distinct labeled radiographs; the dashed note states what cannot be checked.</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Three conditions apply to every result below. First, validation also selected each model’s training epoch, so validation numbers are optimistic. Second, the internal test split was evaluated once for each of the four checkpoints on 2026-10-14, after model selection. Third, all models were trained with one seed on one dataset, so no confidence intervals over seeds exist for the deployed models.</w:t>
      </w:r>
    </w:p>
    <w:p>
      <w:pPr>
        <w:pStyle w:val="Heading1"/>
      </w:pPr>
      <w:r>
        <w:rPr>
          <w:rFonts w:ascii="Times New Roman" w:cs="Times New Roman" w:eastAsia="Times New Roman" w:hAnsi="Times New Roman"/>
          <w:b w:val="false"/>
          <w:bCs w:val="false"/>
          <w:i w:val="false"/>
          <w:iCs w:val="false"/>
        </w:rPr>
        <w:t xml:space="preserve">IX. Quantitative Results</w:t>
      </w:r>
    </w:p>
    <w:p>
      <w:pPr>
        <w:pStyle w:val="Heading2"/>
      </w:pPr>
      <w:r>
        <w:rPr>
          <w:rFonts w:ascii="Times New Roman" w:cs="Times New Roman" w:eastAsia="Times New Roman" w:hAnsi="Times New Roman"/>
          <w:b w:val="false"/>
          <w:bCs w:val="false"/>
          <w:i w:val="false"/>
          <w:iCs w:val="false"/>
        </w:rPr>
        <w:t xml:space="preserve">A. Tooth Detection and Segmentation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V reports detection and segmentation. On the 63 test radiographs (1,790 teeth), the detector reaches AP50 0.966 and recall 0.974 at the operating point. The segmenter’s mask AP50 is 0.974, and matched instances have mean mask IoU 0.780 and mean Dice 0.873. The much lower mAP@[.5:.95] (0.515 for detection) shows that boxes are close to the annotation but not tight, which Section X confirms.</w:t>
      </w:r>
    </w:p>
    <w:p>
      <w:pPr>
        <w:keepNext/>
        <w:spacing w:before="120" w:after="60"/>
        <w:jc w:val="center"/>
      </w:pPr>
      <w:r>
        <w:drawing>
          <wp:inline distT="0" distB="0" distL="0" distR="0">
            <wp:extent cx="3154680" cy="1850136"/>
            <wp:effectExtent t="0" r="0" b="0" l="0"/>
            <wp:docPr id="1" name="fig7_evaluation_framework" descr="Experimental evaluation framework: each task or study, its metrics and the splits on which it was evaluated. Classification on ground-truth crops and end-to-end evaluation on detector crops are listed separately."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extLst>
                        <a:ext uri="{96DAC541-7B7A-43D3-8B79-37D633B846F1}">
                          <asvg:svgBlip xmlns:asvg="http://schemas.microsoft.com/office/drawing/2016/SVG/main" r:embed="rId20"/>
                        </a:ext>
                      </a:extLst>
                    </a:blip>
                    <a:srcRect/>
                    <a:stretch>
                      <a:fillRect/>
                    </a:stretch>
                  </pic:blipFill>
                  <pic:spPr bwMode="auto">
                    <a:xfrm>
                      <a:off x="0" y="0"/>
                      <a:ext cx="3154680" cy="1850136"/>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7.  Experimental evaluation framework: each task or study, its metrics and the splits on which it was evaluated. Classification on ground-truth crops and end-to-end evaluation on detector crops are listed separately.</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Tooth Detection and Instance Segmentation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40"/>
        <w:gridCol w:w="850"/>
        <w:gridCol w:w="850"/>
        <w:gridCol w:w="850"/>
        <w:gridCol w:w="850"/>
      </w:tblGrid>
      <w:tr>
        <w:trPr>
          <w:cantSplit/>
          <w:tblHeader/>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Metric</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Det. val</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Det. test</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Seg. val</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Seg. test</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Radiographs / GT teeth</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 / 2,000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 / 1,790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 / 2,000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 / 1,790</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mAP@[.5:.95]</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0.560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0.515</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0.569</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0.530</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AP50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0.978</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0.966</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0.981</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0.974</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Mask AP50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0.980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0.974</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Mean mask IoU / Dice (matched)</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n.r.</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0.780 / 0.873</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TP / FP / FN @ 0.3</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1968/78/32</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1743/73/47</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1972/70/28</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1754/69/36</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Precision @ 0.3</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0.962</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0.966</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0.962</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Recall @ 0.3</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0.984</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0.974</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0.986</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0.980</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eval_dentex_teeth_detection_v1_{val,test}.json and eval_dentex_teeth_segmentation_v1_{val,test}.json, rounded to three decimals. n.r. = not recorded in the validation report. Mask IoU is computed on a 4× subsampled grid; 1,753 matched test instances.</w:t>
      </w:r>
    </w:p>
    <w:p>
      <w:pPr>
        <w:pStyle w:val="Heading2"/>
      </w:pPr>
      <w:r>
        <w:rPr>
          <w:rFonts w:ascii="Times New Roman" w:cs="Times New Roman" w:eastAsia="Times New Roman" w:hAnsi="Times New Roman"/>
          <w:b w:val="false"/>
          <w:bCs w:val="false"/>
          <w:i w:val="false"/>
          <w:iCs w:val="false"/>
        </w:rPr>
        <w:t xml:space="preserve">B. FDI Tooth Numbering</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VI reports numbering. On test, 96.9 % of ground-truth teeth are matched by a numbered prediction, and 96.8 % of those receive the exact FDI code. Counting missed teeth as errors gives a strict accuracy of 93.8 %. Quadrant accuracy is almost perfect (0.999), so most errors put the wrong index within the correct quadrant. The test result is higher than the validation result (exact accuracy 0.968 vs. 0.936). With 63 and 69 radiographs this difference is within the range expected from small samples, and we do not interpret it.</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FDI Tooth Numbering</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240"/>
        <w:gridCol w:w="1400"/>
        <w:gridCol w:w="1400"/>
      </w:tblGrid>
      <w:tr>
        <w:trPr>
          <w:cantSplit/>
          <w:tblHeader/>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Metric</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Validation</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Test</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Radiographs / GT teeth</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 / 2,000</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 / 1,790</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mAP@[.5:.95] / AP50 (32 classes)</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0.524 / 0.928</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0.507 / 0.952</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Precision / recall @ 0.3 (any class)</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0.872 / 0.992</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0.882 / 0.983</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Coverage (matched / GT)</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0.979 (1,957)</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0.969 (1,734)</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Exact accuracy among matched</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0.936</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0.968</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Quadrant accuracy among matched</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0.997</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0.999</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Strict accuracy over all GT teeth</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0.916</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0.938</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Lowest per-tooth exact accuracy</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36: 0.825; 47: 0.862</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47: 0.912; 27: 0.917</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eval_dentex_fdi_numbering_v1_{val,test}.json. Third molars (18, 28, 38, 48) have the fewest ground-truth teeth (34–50 per split), so their per-tooth accuracies are the least stable.</w:t>
      </w:r>
    </w:p>
    <w:p>
      <w:pPr>
        <w:pStyle w:val="Heading2"/>
      </w:pPr>
      <w:r>
        <w:rPr>
          <w:rFonts w:ascii="Times New Roman" w:cs="Times New Roman" w:eastAsia="Times New Roman" w:hAnsi="Times New Roman"/>
          <w:b w:val="false"/>
          <w:bCs w:val="false"/>
          <w:i w:val="false"/>
          <w:iCs w:val="false"/>
        </w:rPr>
        <w:t xml:space="preserve">C. Finding Classification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VII reports the classifier on ground-truth finding crops. Test accuracy is 0.785 and macro-F1 0.646. Impacted teeth are recognized reliably (F1 0.926, AUC 0.990), and Caries reasonably well (F1 0.842). Deep Caries (F1 0.453) and Periapical Lesion (F1 0.364, recall 0.308) are poor. The confusion matrices in Table VIII show the main error: Caries and Deep Caries are confused in both directions (30 and 22 test crops), and 9 of the 13 test Periapical Lesions are labeled as some form of caries. Macro ROC AUC is 0.910, so the scores rank classes better than the argmax decisions suggest.</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Finding Classification on Ground-Truth Crops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90"/>
        <w:gridCol w:w="450"/>
        <w:gridCol w:w="520"/>
        <w:gridCol w:w="520"/>
        <w:gridCol w:w="520"/>
        <w:gridCol w:w="450"/>
        <w:gridCol w:w="750"/>
        <w:gridCol w:w="640"/>
      </w:tblGrid>
      <w:tr>
        <w:trPr>
          <w:cantSplit/>
          <w:tblHeader/>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Class</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Split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P</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R</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F1</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n</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Spec.</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AUC</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Caries</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0.885</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0.863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0.874</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205</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0.866</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0.820</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0.842</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228</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0.770</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0.895</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Deep Caries</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0.500</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0.467</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0.483</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45</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0.414</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0.500</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0.453</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48</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0.889</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0.834</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Impacted</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0.919</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0.944</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0.932</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72</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0.887</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0.969</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0.926</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65</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0.972</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0.990</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Periapical Lesion</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0.467</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0.778</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0.583</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0.444</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0.308</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0.364</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13</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0.985</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0.921</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Macro / accuracy</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0.693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0.763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0.718</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331</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acc. 0.825</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0.653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0.649</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0.646</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354</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acc. 0.785</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0.910</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eval_dentex_findings_classification_v1_{val,test}.json (65 and 73 radiographs). Specificity and AUC (one-vs-rest) were computed for the test split only. The validation macro-F1 was also the epoch-selection criterion.</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VIII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Confusion Matrices of the Finding Classifier (Rows: True Class)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440"/>
        <w:gridCol w:w="900"/>
        <w:gridCol w:w="900"/>
        <w:gridCol w:w="900"/>
        <w:gridCol w:w="900"/>
      </w:tblGrid>
      <w:tr>
        <w:trPr>
          <w:cantSplit/>
          <w:tblHeader/>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True \ predicted</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Caries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Deep C.</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Impacted</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Periap.</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Caries (val / test)</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177 / 187</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18 / 30</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 / 6</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 / 5</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Deep Caries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20 / 22</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21 / 24</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 / 2</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 / 0</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Impacted</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 / 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 / 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68 / 63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 / 0</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Periapical Lesion</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 / 6</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 / 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 / 0</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7 / 4</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Each cell gives validation / test counts of ground-truth crops. Source: same reports as Table VII.</w:t>
      </w:r>
    </w:p>
    <w:p>
      <w:pPr>
        <w:pStyle w:val="Heading1"/>
      </w:pPr>
      <w:r>
        <w:rPr>
          <w:rFonts w:ascii="Times New Roman" w:cs="Times New Roman" w:eastAsia="Times New Roman" w:hAnsi="Times New Roman"/>
          <w:b w:val="false"/>
          <w:bCs w:val="false"/>
          <w:i w:val="false"/>
          <w:iCs w:val="false"/>
        </w:rPr>
        <w:t xml:space="preserve">X. Detailed Results and Error Analysis</w:t>
      </w:r>
    </w:p>
    <w:p>
      <w:pPr>
        <w:pStyle w:val="Heading2"/>
      </w:pPr>
      <w:r>
        <w:rPr>
          <w:rFonts w:ascii="Times New Roman" w:cs="Times New Roman" w:eastAsia="Times New Roman" w:hAnsi="Times New Roman"/>
          <w:b w:val="false"/>
          <w:bCs w:val="false"/>
          <w:i w:val="false"/>
          <w:iCs w:val="false"/>
        </w:rPr>
        <w:t xml:space="preserve">A. End-to-End Validation: Detector Boxes Instead of Ground Truth</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classifier numbers above assume perfect boxes. A dedicated study ran the production path—detector, then crop, then classifier—on the 65 validation radiographs of the findings sub-set (331 findings) without touching calibration or test data (Table IX). It first confirmed that production and evaluation pre-processing give byte-identical pixels and identical predictions on all 331 crops, which rules out a train/inference pre-processing mismatch.</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Detection precision could be scored only on the 24 radiographs that also have a complete tooth annotation. On those, the detector found 716 of 719 teeth at IoU 0.5, but only 582 at IoU 0.75. On the 65 finding radiographs, detector boxes matched 323 of the 331 findings. Of the 8 unmatched findings, 4 were genuine detector misses. The other 4 were teeth carrying two findings, where one detector box can match only one annotation.</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IX</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End-to-End Validation (65 Radiographs, 331 Findings)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640"/>
        <w:gridCol w:w="900"/>
        <w:gridCol w:w="1500"/>
      </w:tblGrid>
      <w:tr>
        <w:trPr>
          <w:cantSplit/>
          <w:tblHeader/>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Measure</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GT boxes</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Detector boxes</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 on 24 fully annotated films: P / R / F1 @ IoU 0.5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0.977 / 0.996 / 0.986</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Same at IoU 0.75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0.794 / 0.809 / 0.802</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Same 323 matched teeth: accuracy</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0.830</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0.811</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Same 323 teeth: macro-F1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0.717</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0.649</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Same 323 teeth: macro recall</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0.777</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0.688</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All 331 findings (miss = wrong): accuracy</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0.825</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0.792</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All 331: macro-F1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0.718</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0.634</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All 331: Deep Caries recall (n = 45)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0.467</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0.333</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All 331: Periapical Lesion recall (n = 9)</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0.778</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0.444</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Unlabeled detector boxes given a finding class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1,580 of 1,903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Data/reports/end_to_end_validation_evaluation.md/.json (2026-10-15). Validation also selected the epochs, so all numbers are optimistic.</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accuracy loss from 0.825 to 0.792 (11 findings) breaks down into 20 findings that became wrong with detector boxes, 14 that became right, and 5 correct findings lost to non-matching. Predictions changed for about 10 % of teeth even when the detector box overlapped the annotation with IoU 0.8–1.0. The classifier is therefore sensitive to small crop shifts, not only to badly placed boxes. The loss is concentrated in the two rare classes: Periapical Lesion recall fell from 7/9 to 4/9 and its precision on matched teeth from 0.46 to 0.29. Eight of the 331 findings (2.4 %) sit on teeth with a second finding, including 4 of the 9 validation Periapical Lesions, and a single-label classifier cannot be right for both.</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largest practical limitation is outside these metrics. Of 1,903 detector boxes on the 65 radiographs, 1,580 match no annotated finding. Because the classifier has no “no finding” class, the application shows a closest finding class for each of them. On the 24 fully annotated films, 584 such boxes cover real teeth without a finding label, and the classifier called them Caries 475, Periapical Lesion 71, Deep Caries 23 and Impacted 15 times. DENTEX does not certify that unlabeled teeth are healthy, so these outputs cannot be scored as false positives, but the user sees them. This is a design limitation, not a threshold problem.</w:t>
      </w:r>
    </w:p>
    <w:p>
      <w:pPr>
        <w:pStyle w:val="Heading2"/>
      </w:pPr>
      <w:r>
        <w:rPr>
          <w:rFonts w:ascii="Times New Roman" w:cs="Times New Roman" w:eastAsia="Times New Roman" w:hAnsi="Times New Roman"/>
          <w:b w:val="false"/>
          <w:bCs w:val="false"/>
          <w:i w:val="false"/>
          <w:iCs w:val="false"/>
        </w:rPr>
        <w:t xml:space="preserve">B. Attempts to Improve the Classifier (Ablations)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 summarizes the controlled experiments run to improve the finding classifier. All were evaluated on validation only, with acceptance criteria fixed before the results were known. The criteria were a detector-box macro-F1 gain larger than 0.027 in at least four of five paired seeds, no loss of Deep Caries or Periapical Lesion recall, and limits on per-class losses. None of the experiments met them.</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Classifier-Improvement Experiments (Validation, 5 Seeds)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50"/>
        <w:gridCol w:w="1790"/>
        <w:gridCol w:w="1000"/>
        <w:gridCol w:w="1000"/>
      </w:tblGrid>
      <w:tr>
        <w:trPr>
          <w:cantSplit/>
          <w:tblHeader/>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4"/>
                <w:szCs w:val="14"/>
              </w:rPr>
              <w:t xml:space="preserve">Study</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4"/>
                <w:szCs w:val="14"/>
              </w:rPr>
              <w:t xml:space="preserve">Variant</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4"/>
                <w:szCs w:val="14"/>
              </w:rPr>
              <w:t xml:space="preserve">Macro-F1</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4"/>
                <w:szCs w:val="14"/>
              </w:rPr>
              <w:t xml:space="preserve">Verdict</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Class imbalance, GT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inverse-freq. weights, cap 5 (C0)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0.764 ± 0.027</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weighted sampler</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0.766 ± 0.009</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oversampling</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0.774 ± 0.016</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focal loss (γ = 2)</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0.750 ± 0.022</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square-root weights</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0.742 ± 0.024</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 rebalancing</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0.751 ± 0.017</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reference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minority geometric aug.</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0.751 ± 0.020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Crop jitter, det.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C0r (baseline)</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0.723 ± 0.016</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jittered training boxes</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0.720 ± 0.038</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rejected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Training recipe, det.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production recipe P</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0.722 ± 0.045</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experimental recipe E</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0.724 ± 0.015</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rejected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Kaggle re-run, det.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BASE</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0.726 ± 0.026</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6 variants (best mean gain +0.004)</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0.712–0.730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none accepted</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docs/audit_evidence/ml_improvement/imbalance/report.md, Data/reports/crop_robustness_experiment.md, training_recipe_comparison_results.md, checkpoints/kaggle_candidates/dc9c505b/README.md. GT-box and detector-box rows are not comparable with each other. Every alternative imbalance method lowered Deep Caries recall relative to C0.</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Two findings from these studies matter for interpreting Table VII. First, re-running the production trainer with seed 42 reproduced the deployed classifier bit for bit. Five seeds of the same recipe gave detector-box macro-F1 between 0.651 (the deployed seed) and 0.776. The deployed checkpoint is therefore the weakest of five draws of its recipe, not evidence that the recipe is worse. Choosing the best seed by validation score would, however, be selection on validation, so no replacement was promoted. Second, crop jitter shifted the operating point toward the minority classes (Deep Caries recall +0.117) at the cost of precision, instead of making predictions more stable.</w:t>
      </w:r>
    </w:p>
    <w:p>
      <w:pPr>
        <w:pStyle w:val="Heading1"/>
      </w:pPr>
      <w:r>
        <w:rPr>
          <w:rFonts w:ascii="Times New Roman" w:cs="Times New Roman" w:eastAsia="Times New Roman" w:hAnsi="Times New Roman"/>
          <w:b w:val="false"/>
          <w:bCs w:val="false"/>
          <w:i w:val="false"/>
          <w:iCs w:val="false"/>
        </w:rPr>
        <w:t xml:space="preserve">XI. Uncertainty Estimation, Calibration and Human Review</w:t>
      </w:r>
    </w:p>
    <w:p>
      <w:pPr>
        <w:pStyle w:val="Heading2"/>
      </w:pPr>
      <w:r>
        <w:rPr>
          <w:rFonts w:ascii="Times New Roman" w:cs="Times New Roman" w:eastAsia="Times New Roman" w:hAnsi="Times New Roman"/>
          <w:b w:val="false"/>
          <w:bCs w:val="false"/>
          <w:i w:val="false"/>
          <w:iCs w:val="false"/>
        </w:rPr>
        <w:t xml:space="preserve">A. Error Capture and Calibration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XI reports the classifier’s uncertainty on ground-truth crops, with thresholds and the temperature fitted on the calibration split and then applied once to the test split. On test, the entropy flag marks 54.2 % of crops. Their error rate is 34.4 %, against 6.2 % for unflagged crops, and they contain 86.8 % of all errors (66 of 76). The flag therefore catches most errors, but it misses 13.2 % of them and sends more than half of all regions to review. The signals carry real information about errors (AUROC 0.768 for entropy and 0.745 for flip disagreement). On test, the simpler 1 − max-probability score ranked errors slightly better (0.790).</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Uncertainty and Calibration of the Finding Classifier</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440"/>
        <w:gridCol w:w="1150"/>
        <w:gridCol w:w="1450"/>
      </w:tblGrid>
      <w:tr>
        <w:trPr>
          <w:cantSplit/>
          <w:tblHeader/>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Measure</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Calibration</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Test</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Crops / accuracy</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324 / 0.830</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354 / 0.785</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ECE (15 bins) / Brier, raw scores</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0.071 / 0.277</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0.048 / 0.291</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ECE / Brier after temperature T = 0.95</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0.076 / 0.276</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0.036 / 0.291</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AUROC for errors: entropy</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0.721</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0.768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AUROC: flip disagreement</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0.709</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0.745</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AUROC: 1 − max probability</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0.713</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0.790</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Flagged by entropy ≥ 0.397</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threshold fitted</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54.2 %</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Error rate flagged / unflagged</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0.344 / 0.062</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Errors inside flagged set</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0.868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Flip-unstable (≥ 0.076): share; error rate vs. stable</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90th pct.</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9.3 %; 0.485 vs. 0.187</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Data/reports/uncertainty_evaluation.json (2026-10-14; test-ledger entry 5). Temperature scaling is not applied in the application.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Temperature scaling gives a mixed result. The fitted temperature (0.95) is close to 1. It lowered test ECE from 0.048 to 0.036 but raised calibration ECE from 0.071 to 0.076, on the very split it was fitted on, and left the Brier score almost unchanged. Because the effect is small and inconsistent between splits, the application keeps raw scores and labels them as uncalibrated.</w:t>
      </w:r>
    </w:p>
    <w:p>
      <w:pPr>
        <w:pStyle w:val="Heading2"/>
      </w:pPr>
      <w:r>
        <w:rPr>
          <w:rFonts w:ascii="Times New Roman" w:cs="Times New Roman" w:eastAsia="Times New Roman" w:hAnsi="Times New Roman"/>
          <w:b w:val="false"/>
          <w:bCs w:val="false"/>
          <w:i w:val="false"/>
          <w:iCs w:val="false"/>
        </w:rPr>
        <w:t xml:space="preserve">B. Flip-Instability Signals of the Detector and Segmenter</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 separate check on 30 validation radiographs, run through the live API with the real models, tested whether flip instability flags poor masks or false detections (Table XII). Mask instability ranked masks with IoU below 0.8 only weakly (AUROC 0.593), and detection instability ranked false positives with AUROC 0.644. With only 27 false positives among 878 detections, this second estimate rests on few events. Neither signal should be presented as a validated error detector.</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Flip-Instability Validation (30 Validation Radiographs)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40"/>
        <w:gridCol w:w="700"/>
        <w:gridCol w:w="2300"/>
        <w:gridCol w:w="700"/>
      </w:tblGrid>
      <w:tr>
        <w:trPr>
          <w:cantSplit/>
          <w:tblHeader/>
        </w:trPr>
        <w:tc>
          <w:tcPr>
            <w:tcW w:type="dxa" w:w="1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Signal</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Regions</w:t>
            </w:r>
          </w:p>
        </w:tc>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Target event</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AUROC</w:t>
            </w:r>
          </w:p>
        </w:tc>
      </w:tr>
      <w:tr>
        <w:trPr>
          <w:cantSplit/>
        </w:trPr>
        <w:tc>
          <w:tcPr>
            <w:tcW w:type="dxa" w:w="1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Mask instability</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851</w:t>
            </w:r>
          </w:p>
        </w:tc>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mask IoU vs. GT &lt; 0.8 (51.8 %)</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0.593</w:t>
            </w:r>
          </w:p>
        </w:tc>
      </w:tr>
      <w:tr>
        <w:trPr>
          <w:cantSplit/>
        </w:trPr>
        <w:tc>
          <w:tcPr>
            <w:tcW w:type="dxa" w:w="1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Detection instability</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878</w:t>
            </w:r>
          </w:p>
        </w:tc>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false-positive box (27; 3.1 %)</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0.644</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Data/reports/instability_validation.json (2026-10-14). Error rate above vs. at or below the median mask signal: 0.598 vs. 0.439.</w:t>
      </w:r>
    </w:p>
    <w:p>
      <w:pPr>
        <w:pStyle w:val="Heading2"/>
      </w:pPr>
      <w:r>
        <w:rPr>
          <w:rFonts w:ascii="Times New Roman" w:cs="Times New Roman" w:eastAsia="Times New Roman" w:hAnsi="Times New Roman"/>
          <w:b w:val="false"/>
          <w:bCs w:val="false"/>
          <w:i w:val="false"/>
          <w:iCs w:val="false"/>
        </w:rPr>
        <w:t xml:space="preserve">C. Abstention Rules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An offline experiment compared 33 abstention rules—entropy, maximum-probability and top-2-margin thresholds—on detector crops (Table XIII). Rules were selected on calibration and confirmed on validation, and the test split was never read. Only “abstain if max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&lt; 0.75” passed the calibration criteria. It raised validation coverage from 0.520 to 0.638 at almost the same risk (bootstrap 95 % CI of the risk difference −0.018 to +0.026). It failed the minority-class criterion, however: Periapical Lesion precision fell from 0.50 to 0.43. The production entropy rule was therefore kept. The candidate would also have named a class for 345 instead of 250 of the 584 unlabeled tooth boxes, whose correctness cannot be measured.</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Abstention Rules on Detector Crops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40"/>
        <w:gridCol w:w="800"/>
        <w:gridCol w:w="650"/>
        <w:gridCol w:w="950"/>
        <w:gridCol w:w="1000"/>
      </w:tblGrid>
      <w:tr>
        <w:trPr>
          <w:cantSplit/>
          <w:tblHeader/>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Rule / split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Coverage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Risk</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Macro-F1 (all)</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PL P / R</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Entropy ≥ 0.397, cal.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0.506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0.093</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0.570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0.80 / 0.50</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max p &lt; 0.75, cal.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0.623</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0.096</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0.620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0.75 / 0.56</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Entropy ≥ 0.397, val.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0.520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0.119</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0.518</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0.50 / 0.43</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max p &lt; 0.75, val.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0.638</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0.121</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0.571</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0.43 / 0.43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docs/audit_evidence/ml_improvement/abstention/report.md (2026-10-15). Calibration 318 and validation 323 matched findings. “All” counts abstained and missing crops as not recalled. PL = Periapical Lesion; precision is over accepted crops.</w:t>
      </w:r>
    </w:p>
    <w:p>
      <w:pPr>
        <w:pStyle w:val="Heading2"/>
      </w:pPr>
      <w:r>
        <w:rPr>
          <w:rFonts w:ascii="Times New Roman" w:cs="Times New Roman" w:eastAsia="Times New Roman" w:hAnsi="Times New Roman"/>
          <w:b w:val="false"/>
          <w:bCs w:val="false"/>
          <w:i w:val="false"/>
          <w:iCs w:val="false"/>
        </w:rPr>
        <w:t xml:space="preserve">D. Human Review in Practice</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review mechanism is implemented and unit-tested, but its clinical value is unmeasured. No study with qualified dental reviewers has been run, reviewer identities are not verified, and retraining with approved reviews is implemented but has never been executed. In the archived UI audit (2026-10-14) on an unlabeled DENTEX validation radiograph, the application reported 32 regions, 27 with a number and 30 with a mask, and recommended 26 of the 32 for review. The review rate matches the high flag rate of Table XI: with the present thresholds, a large share of the work moves to the reviewer.</w:t>
      </w:r>
    </w:p>
    <w:p>
      <w:pPr>
        <w:pStyle w:val="Heading1"/>
      </w:pPr>
      <w:r>
        <w:rPr>
          <w:rFonts w:ascii="Times New Roman" w:cs="Times New Roman" w:eastAsia="Times New Roman" w:hAnsi="Times New Roman"/>
          <w:b w:val="false"/>
          <w:bCs w:val="false"/>
          <w:i w:val="false"/>
          <w:iCs w:val="false"/>
        </w:rPr>
        <w:t xml:space="preserve">XII. Active Learning, Inference Cost and Software Verification</w:t>
      </w:r>
    </w:p>
    <w:p>
      <w:pPr>
        <w:pStyle w:val="Heading2"/>
      </w:pPr>
      <w:r>
        <w:rPr>
          <w:rFonts w:ascii="Times New Roman" w:cs="Times New Roman" w:eastAsia="Times New Roman" w:hAnsi="Times New Roman"/>
          <w:b w:val="false"/>
          <w:bCs w:val="false"/>
          <w:i w:val="false"/>
          <w:iCs w:val="false"/>
        </w:rPr>
        <w:t xml:space="preserve">A. Active Learning</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application can rank unlabeled pool radiographs by uncertainty for annotation. A simulated study measured whether this saves labels (Table XIV). Labels already present in the training split were revealed on selection, and a ResNet-18 was retrained at each budget (160 px, 8 epochs, three seeds). Entropy and combined selection did not beat random selection. Paired differences against random over budgets 120–300 averaged −0.005 (entropy, better in 7 of 12) and −0.011 (combined, better in 4 of 12), well within seed variation [23]. The study measures label efficiency, not annotator effort, and the Label Studio loop was not exercised against a live server.</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Active Learning: Validation Macro-F1 (Mean ± SD, 3 Seeds)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80"/>
        <w:gridCol w:w="1320"/>
        <w:gridCol w:w="1320"/>
        <w:gridCol w:w="1320"/>
      </w:tblGrid>
      <w:tr>
        <w:trPr>
          <w:cantSplit/>
          <w:tblHeader/>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Labeled films</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Random</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Entropy</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Combined</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0.553 ± 0.053</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0.553 ± 0.053</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0.553 ± 0.053</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120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0.626 ± 0.014</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0.639 ± 0.011</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0.618 ± 0.013</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180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0.680 ± 0.019</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0.665 ± 0.035</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0.640 ± 0.013</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240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0.712 ± 0.029</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0.695 ± 0.010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0.702 ± 0.026</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300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0.706 ± 0.014</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0.706 ± 0.029</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0.720 ± 0.027</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Data/reports/active_learning_experiment.md/.json (pool 476 radiographs; evaluation 331 validation crops). Paired differences: docs/UNCERTAINTY_AND_ACTIVE_LEARNING.md.</w:t>
      </w:r>
    </w:p>
    <w:p>
      <w:pPr>
        <w:pStyle w:val="Heading2"/>
      </w:pPr>
      <w:r>
        <w:rPr>
          <w:rFonts w:ascii="Times New Roman" w:cs="Times New Roman" w:eastAsia="Times New Roman" w:hAnsi="Times New Roman"/>
          <w:b w:val="false"/>
          <w:bCs w:val="false"/>
          <w:i w:val="false"/>
          <w:iCs w:val="false"/>
        </w:rPr>
        <w:t xml:space="preserve">B. Inference Cost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XV gives inference times on the RTX 3050 Laptop GPU for 10 panoramic images of up to 3,076 × 1,536 pixels, after two warm-up runs. Detection takes about 0.1 s per image and segmentation about 0.3 s, with peak GPU memory up to 1.65 GB. The detection-plus-numbering harness runs the detector twice, so it overstates the application’s cost. In the same UI audit, the application reported 1.92 s for the full analysis of one image, including the flipped passes.</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Inference Benchmark (RTX 3050 Laptop GPU, 10 Images)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500"/>
        <w:gridCol w:w="660"/>
        <w:gridCol w:w="760"/>
        <w:gridCol w:w="660"/>
        <w:gridCol w:w="660"/>
        <w:gridCol w:w="800"/>
      </w:tblGrid>
      <w:tr>
        <w:trPr>
          <w:cantSplit/>
          <w:tblHeader/>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Stage</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Mean s</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Median s</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p95 s</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Img/s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Peak MB</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0.110</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0.099</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0.153</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9.08</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613</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Segmentation</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0.285</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0.298</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0.339</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3.51</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1,653</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 + numbering</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0.334</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0.332</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0.367</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2.99</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985</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Detection + classification</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0.252</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0.246</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0.291</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3.96</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1,039</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Data/reports/benchmark_inference.json (2026-10-14), 0 failures. The report lists 11 distinct image sizes because they were collected over all 12 loaded files, including the two byte-identical warm-up copies (2872 × 1504 px) excluded from timing; the 10 timed images have 10 distinct sizes.</w:t>
      </w:r>
    </w:p>
    <w:p>
      <w:pPr>
        <w:pStyle w:val="Heading2"/>
      </w:pPr>
      <w:r>
        <w:rPr>
          <w:rFonts w:ascii="Times New Roman" w:cs="Times New Roman" w:eastAsia="Times New Roman" w:hAnsi="Times New Roman"/>
          <w:b w:val="false"/>
          <w:bCs w:val="false"/>
          <w:i w:val="false"/>
          <w:iCs w:val="false"/>
        </w:rPr>
        <w:t xml:space="preserve">C. Software Verification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project test suite reported 309 passing tests and no failures after the last training run (reports/training_summary.md). The tests cover label mapping, split isolation, abstention rules, the final-result rule and resumed-training determinism. These tests verify software behavior, not clinical performance.</w:t>
      </w:r>
    </w:p>
    <w:p>
      <w:pPr>
        <w:pStyle w:val="Heading1"/>
      </w:pPr>
      <w:r>
        <w:rPr>
          <w:rFonts w:ascii="Times New Roman" w:cs="Times New Roman" w:eastAsia="Times New Roman" w:hAnsi="Times New Roman"/>
          <w:b w:val="false"/>
          <w:bCs w:val="false"/>
          <w:i w:val="false"/>
          <w:iCs w:val="false"/>
        </w:rPr>
        <w:t xml:space="preserve">XIII. Data Integrity and Reproducibility</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XVI summarizes the leakage check of 2026-10-15: 17 of 18 checks passed and one gave a warning. No radiograph, identified by file-byte hash, appears in two splits. No image used for training or epoch selection of any model is in the test split. Near-duplicate candidates found by perceptual hashing were all rejected by a pixel-correlation test (r ≥ 0.97); embedding-based detection [24] is an alternative that we have not applied. The warning concerns three unlabeled </w:t>
      </w:r>
      <w:r>
        <w:rPr>
          <w:rFonts w:ascii="Times New Roman" w:cs="Times New Roman" w:eastAsia="Times New Roman" w:hAnsi="Times New Roman"/>
          <w:b w:val="false"/>
          <w:bCs w:val="false"/>
          <w:i/>
          <w:iCs/>
          <w:sz w:val="20"/>
          <w:szCs w:val="20"/>
        </w:rPr>
        <w:t xml:space="preserve">validation_data</w:t>
      </w:r>
      <w:r>
        <w:rPr>
          <w:rFonts w:ascii="Times New Roman" w:cs="Times New Roman" w:eastAsia="Times New Roman" w:hAnsi="Times New Roman"/>
          <w:b w:val="false"/>
          <w:bCs w:val="false"/>
          <w:i w:val="false"/>
          <w:iCs w:val="false"/>
          <w:sz w:val="20"/>
          <w:szCs w:val="20"/>
        </w:rPr>
        <w:t xml:space="preserve"> images that duplicate test radiographs; they are not used in any metric. These checks prove only the absence of identical or near-identical films across splits. DENTEX has no patient identifiers, so two different radiographs of the same patient could fall into different splits. Patient-level leakage therefore cannot be excluded [11].</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XVI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Leakage Checks (Held-Out Test Split)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3240"/>
        <w:gridCol w:w="800"/>
        <w:gridCol w:w="1000"/>
      </w:tblGrid>
      <w:tr>
        <w:trPr>
          <w:cantSplit/>
          <w:tblHeader/>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Check (unit: SHA-256 of file bytes)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Overlap</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Result</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All six split pairs (train/val/cal/test)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Per task: training images vs. all test films (4 tasks)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Per task: epoch-selection images vs. all test films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Unlabeled pool (after duplicate exclusion) vs. 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Approved-review training items vs. val/cal/test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Near duplicates across splits (r ≥ 0.97)</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validation_data (unlabeled) vs. 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warning</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Data/reports/leakage_check.md. Distinct annotated radiographs: train 794, validation 113, calibration 113, test 113.</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Use of the test split is gated in code. A test evaluation needs an explicit flag, a named authorizer, a written reason and a prior validation report for the same checkpoint hash. Partial test runs and repeated test runs for the same purpose are refused, and every run is appended to a hash-chained ledger. Table XVII lists all recorded uses. The four deployed checkpoints were test-evaluated on 2026-10-14, before the authorization fields existed, so their entries have no authorizer. We also found two uses outside the ledger. The Kaggle re-run evaluated its BASE recipe once on the test split on 2026-10-16 (ground-truth-box macro-F1 0.693 ± 0.030 over five seeds), and a later external-data run evaluated its five BASE seeds on the same split on 2026-10-24 (0.705 ± 0.031). Neither run selected or changed a deployed model, and neither result is used elsewhere in this paper. Disclosure records were prepared for both, but the entries have not yet been appended to the ledger.</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XVII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Recorded Uses of the Internal Test Split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380"/>
        <w:gridCol w:w="2020"/>
        <w:gridCol w:w="980"/>
        <w:gridCol w:w="980"/>
        <w:gridCol w:w="680"/>
      </w:tblGrid>
      <w:tr>
        <w:trPr>
          <w:cantSplit/>
          <w:tblHeader/>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4"/>
                <w:szCs w:val="14"/>
              </w:rPr>
              <w:t xml:space="preserve">#</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4"/>
                <w:szCs w:val="14"/>
              </w:rPr>
              <w:t xml:space="preserve">Checkpoint / run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4"/>
                <w:szCs w:val="14"/>
              </w:rPr>
              <w:t xml:space="preserve">Task</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4"/>
                <w:szCs w:val="14"/>
              </w:rPr>
              <w:t xml:space="preserve">Date</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4"/>
                <w:szCs w:val="14"/>
              </w:rPr>
              <w:t xml:space="preserve">Films</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1</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dentex_fdi_numbering_v1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numbering</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63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dentex_findings_classification_v1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classification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73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3</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dentex_teeth_detection_v1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detection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63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4</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dentex_teeth_segmentation_v1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segmentation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63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5</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classifier uncertainty evaluation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calibration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crops</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(6)</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Kaggle BASE, seeds 42–46</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classification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2026-10-16</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73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(7)</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External-data run, BASE seeds 42–46</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classification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2026-10-24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73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Entries 1–5: Data/reports/test_set_ledger.json. Entries (6) and (7) are not in the ledger; sources: reports/p5_disclosure_entry.json and kaggle/artifacts_external_run1/ledger_disclosure_entry.json.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Reproducibility is supported but limited. Every evaluation report records the dataset fingerprint, manifest and split hashes, and the software versions. Checkpoint SHA-256 values match the prefixes recorded at training time. The four deployed checkpoints are, however, legacy: they were trained before image-level training manifests existed. Their recorded image counts match the current split, which is consistent with, but does not prove, training on exactly these images. Checkpoints trained later carry a manifest that the model registry verifies.</w:t>
      </w:r>
    </w:p>
    <w:p>
      <w:pPr>
        <w:pStyle w:val="Heading1"/>
      </w:pPr>
      <w:r>
        <w:rPr>
          <w:rFonts w:ascii="Times New Roman" w:cs="Times New Roman" w:eastAsia="Times New Roman" w:hAnsi="Times New Roman"/>
          <w:b w:val="false"/>
          <w:bCs w:val="false"/>
          <w:i w:val="false"/>
          <w:iCs w:val="false"/>
        </w:rPr>
        <w:t xml:space="preserve">XIV. Limitations and Ethical Considerations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evidence has clear boundaries. All models were trained and tested on one dataset, from three institutions, with one seed and a single hold-out split, so performance on other scanners, pediatric patients or unusual images is unknown. The validation and test splits are small (65–73 radiographs per task), and Periapical Lesion has only 9 validation and 13 test findings, so its metrics move by large steps when a single crop changes. Validation numbers are optimistic because validation chose the epochs. The internal test split has now been used, so later results on it are not untouched estimates, and an external test set would be needed for an unbiased estimate. Patient-level leakage cannot be excluded.</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classifier’s design limits what the system can say. It has no healthy class, returns one label per tooth, names a closest finding for every detected tooth, and its scores are not calibrated probabilities. The entropy flag sends more than half of the regions to review and still misses 13 % of errors. The thresholds are provisional, and no study has measured whether review by qualified clinicians improves accuracy or safety. Reviewer identities are self-declared, and the Hindi and Marathi report wording has not been reviewed by native-speaking dental professionals.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Ethically, DentaMind AI is a research prototype. It does not diagnose, and its reports are marked as unconfirmed drafts that require a qualified professional’s review. We make no claim of clinical validation, autonomous diagnosis or improved patient outcomes. DENTEX images are de-identified public research data released under the CC BY-NC-SA 4.0 license [9], and its terms apply to any reuse. All figures are schematic diagrams; no radiograph is reproduced.</w:t>
      </w:r>
    </w:p>
    <w:p>
      <w:pPr>
        <w:pStyle w:val="Heading1"/>
      </w:pPr>
      <w:r>
        <w:rPr>
          <w:rFonts w:ascii="Times New Roman" w:cs="Times New Roman" w:eastAsia="Times New Roman" w:hAnsi="Times New Roman"/>
          <w:b w:val="false"/>
          <w:bCs w:val="false"/>
          <w:i w:val="false"/>
          <w:iCs w:val="false"/>
        </w:rPr>
        <w:t xml:space="preserve">XV. Conclusion and Future Work</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On DENTEX, standard detectors localize and number teeth well: test AP50 is 0.966 for detection and mask AP50 0.974 for segmentation, and 96.8 % of matched teeth receive the exact FDI number. Finding classification is the weak link. Macro-F1 is 0.646 on ground-truth test crops, and on validation it drops from 0.718 to 0.634 once the classifier receives detector boxes; Deep Caries and Periapical Lesion are recognized poorly in both settings. Uncertainty flags capture most classifier errors, but only by routing more than half of all regions to review. None of the four controlled attempts to improve the classifier met its pre-set criteria, and active learning did not outperform random selection. We report these negative results because they mark the limits of what the system can currently claim, and because they show where effort is most needed: better labels for the rare classes, a “no finding” class, and external data.</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Future work follows directly from these limits: a separately sourced external test set evaluated once under the documented protocol; patient identifiers that allow patient-grouped splits; labels for teeth without findings, so that a “no finding” class and real false-positive rates become measurable; a multi-label formulation for teeth with several findings; and a reader study with qualified dentists to measure whether uncertainty-guided review improves accuracy. After the evaluation reported here, a radiograph-grouped five-fold cross-validation of the baseline ResNet-50 classifier recipe was run on the DENTEX training and validation pool (541 radiographs, 2,851 findings, five seeds). Its out-of-fold macro-F1 was 0.677 ± 0.008 on detector boxes and 0.698 ± 0.007 on ground-truth boxes (mean ± SD over seeds). It is reported separately, was not used to select any model in this paper, and does not change the results above.</w:t>
      </w:r>
    </w:p>
    <w:p>
      <w:pPr>
        <w:pStyle w:val="Heading1"/>
      </w:pPr>
      <w:r>
        <w:rPr>
          <w:rFonts w:ascii="Times New Roman" w:cs="Times New Roman" w:eastAsia="Times New Roman" w:hAnsi="Times New Roman"/>
          <w:b w:val="false"/>
          <w:bCs w:val="false"/>
          <w:i w:val="false"/>
          <w:iCs w:val="false"/>
        </w:rPr>
        <w:t xml:space="preserve">Acknowledgment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authors thank their guide, Dr. Pradnya Narkhede, Department of Computer Engineering, PCCOE, for guidance and supervision. AI-generated content is disclosed following IEEE policy. The text of all sections, the figure-drawing code and the resulting diagrams (Figs. 1–7), and the reference search were produced with the assistance of an AI system (Claude, Anthropic), working from the project’s own source code and evaluation reports. Every reported number was reconciled against those reports, and every added reference was checked against its bibliographic record. The authors are responsible for the content of this paper.</w:t>
      </w:r>
    </w:p>
    <w:p>
      <w:pPr>
        <w:pStyle w:val="Heading1"/>
      </w:pPr>
      <w:r>
        <w:rPr>
          <w:rFonts w:ascii="Times New Roman" w:cs="Times New Roman" w:eastAsia="Times New Roman" w:hAnsi="Times New Roman"/>
          <w:b w:val="false"/>
          <w:bCs w:val="false"/>
          <w:i w:val="false"/>
          <w:iCs w:val="false"/>
        </w:rPr>
        <w:t xml:space="preserve">References</w:t>
      </w:r>
    </w:p>
    <w:p>
      <w:pPr>
        <w:tabs>
          <w:tab w:val="left" w:pos="400"/>
        </w:tabs>
        <w:spacing w:after="30"/>
        <w:ind w:left="400" w:hanging="400"/>
        <w:jc w:val="left"/>
      </w:pPr>
      <w:r>
        <w:rPr>
          <w:rFonts w:ascii="Times New Roman" w:cs="Times New Roman" w:eastAsia="Times New Roman" w:hAnsi="Times New Roman"/>
          <w:sz w:val="16"/>
          <w:szCs w:val="16"/>
        </w:rPr>
        <w:t xml:space="preserve">[1]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R. H. Putra, E. R. Astuti, D. K. Putri, M. Widiasri, P. A. M. Laksanti, H. Majidah, and N. Yoda, “Automated permanent tooth detection and numbering on panoramic radiograph using a deep learning approach,” </w:t>
      </w:r>
      <w:r>
        <w:rPr>
          <w:rFonts w:ascii="Times New Roman" w:cs="Times New Roman" w:eastAsia="Times New Roman" w:hAnsi="Times New Roman"/>
          <w:b w:val="false"/>
          <w:bCs w:val="false"/>
          <w:i/>
          <w:iCs/>
          <w:sz w:val="16"/>
          <w:szCs w:val="16"/>
        </w:rPr>
        <w:t xml:space="preserve">Oral Surg. Oral Med. Oral Pathol. Oral Radiol.</w:t>
      </w:r>
      <w:r>
        <w:rPr>
          <w:rFonts w:ascii="Times New Roman" w:cs="Times New Roman" w:eastAsia="Times New Roman" w:hAnsi="Times New Roman"/>
          <w:b w:val="false"/>
          <w:bCs w:val="false"/>
          <w:i w:val="false"/>
          <w:iCs w:val="false"/>
          <w:sz w:val="16"/>
          <w:szCs w:val="16"/>
        </w:rPr>
        <w:t xml:space="preserve">, vol. 137, no. 5, pp. 537–544, May 2024, doi: 10.1016/j.oooo.2023.06.003.</w:t>
      </w:r>
    </w:p>
    <w:p>
      <w:pPr>
        <w:tabs>
          <w:tab w:val="left" w:pos="400"/>
        </w:tabs>
        <w:spacing w:after="30"/>
        <w:ind w:left="400" w:hanging="400"/>
        <w:jc w:val="left"/>
      </w:pPr>
      <w:r>
        <w:rPr>
          <w:rFonts w:ascii="Times New Roman" w:cs="Times New Roman" w:eastAsia="Times New Roman" w:hAnsi="Times New Roman"/>
          <w:sz w:val="16"/>
          <w:szCs w:val="16"/>
        </w:rPr>
        <w:t xml:space="preserve">[2]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R. B. Peker and C. O. Kurtoglu, “Evaluation of the performance of a YOLOv10-based deep learning model for tooth detection and numbering on panoramic radiographs of patients in the mixed dentition period,” </w:t>
      </w:r>
      <w:r>
        <w:rPr>
          <w:rFonts w:ascii="Times New Roman" w:cs="Times New Roman" w:eastAsia="Times New Roman" w:hAnsi="Times New Roman"/>
          <w:b w:val="false"/>
          <w:bCs w:val="false"/>
          <w:i/>
          <w:iCs/>
          <w:sz w:val="16"/>
          <w:szCs w:val="16"/>
        </w:rPr>
        <w:t xml:space="preserve">Diagnostics</w:t>
      </w:r>
      <w:r>
        <w:rPr>
          <w:rFonts w:ascii="Times New Roman" w:cs="Times New Roman" w:eastAsia="Times New Roman" w:hAnsi="Times New Roman"/>
          <w:b w:val="false"/>
          <w:bCs w:val="false"/>
          <w:i w:val="false"/>
          <w:iCs w:val="false"/>
          <w:sz w:val="16"/>
          <w:szCs w:val="16"/>
        </w:rPr>
        <w:t xml:space="preserve">, vol. 15, no. 4, Art. no. 405, Feb. 2025, doi: 10.3390/diagnostics15040405.</w:t>
      </w:r>
    </w:p>
    <w:p>
      <w:pPr>
        <w:tabs>
          <w:tab w:val="left" w:pos="400"/>
        </w:tabs>
        <w:spacing w:after="30"/>
        <w:ind w:left="400" w:hanging="400"/>
        <w:jc w:val="left"/>
      </w:pPr>
      <w:r>
        <w:rPr>
          <w:rFonts w:ascii="Times New Roman" w:cs="Times New Roman" w:eastAsia="Times New Roman" w:hAnsi="Times New Roman"/>
          <w:sz w:val="16"/>
          <w:szCs w:val="16"/>
        </w:rPr>
        <w:t xml:space="preserve">[3]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Z. Tang, T. Mameno, T. Hayami, C. Lee, S. Date, K. Ikebe, and K. Nozaki, “Assessment of the impact of missing teeth on deep learning-based tooth numbering method from panoramic X-rays,” </w:t>
      </w:r>
      <w:r>
        <w:rPr>
          <w:rFonts w:ascii="Times New Roman" w:cs="Times New Roman" w:eastAsia="Times New Roman" w:hAnsi="Times New Roman"/>
          <w:b w:val="false"/>
          <w:bCs w:val="false"/>
          <w:i/>
          <w:iCs/>
          <w:sz w:val="16"/>
          <w:szCs w:val="16"/>
        </w:rPr>
        <w:t xml:space="preserve">IEEE Access</w:t>
      </w:r>
      <w:r>
        <w:rPr>
          <w:rFonts w:ascii="Times New Roman" w:cs="Times New Roman" w:eastAsia="Times New Roman" w:hAnsi="Times New Roman"/>
          <w:b w:val="false"/>
          <w:bCs w:val="false"/>
          <w:i w:val="false"/>
          <w:iCs w:val="false"/>
          <w:sz w:val="16"/>
          <w:szCs w:val="16"/>
        </w:rPr>
        <w:t xml:space="preserve">, vol. 13, pp. 50274–50281, 2025, doi: 10.1109/ACCESS.2025.3552203.</w:t>
      </w:r>
    </w:p>
    <w:p>
      <w:pPr>
        <w:tabs>
          <w:tab w:val="left" w:pos="400"/>
        </w:tabs>
        <w:spacing w:after="30"/>
        <w:ind w:left="400" w:hanging="400"/>
        <w:jc w:val="left"/>
      </w:pPr>
      <w:r>
        <w:rPr>
          <w:rFonts w:ascii="Times New Roman" w:cs="Times New Roman" w:eastAsia="Times New Roman" w:hAnsi="Times New Roman"/>
          <w:sz w:val="16"/>
          <w:szCs w:val="16"/>
        </w:rPr>
        <w:t xml:space="preserve">[4]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Y. Zhang, Y. Yu, Q. Li, H. Chen, Y. Liang, J. Chen, and J. Yin, “A reliable multi-stage system for tooth instance segmentation and numbering in panoramic radiographs,” </w:t>
      </w:r>
      <w:r>
        <w:rPr>
          <w:rFonts w:ascii="Times New Roman" w:cs="Times New Roman" w:eastAsia="Times New Roman" w:hAnsi="Times New Roman"/>
          <w:b w:val="false"/>
          <w:bCs w:val="false"/>
          <w:i/>
          <w:iCs/>
          <w:sz w:val="16"/>
          <w:szCs w:val="16"/>
        </w:rPr>
        <w:t xml:space="preserve">IEEE J. Biomed. Health Inform.</w:t>
      </w:r>
      <w:r>
        <w:rPr>
          <w:rFonts w:ascii="Times New Roman" w:cs="Times New Roman" w:eastAsia="Times New Roman" w:hAnsi="Times New Roman"/>
          <w:b w:val="false"/>
          <w:bCs w:val="false"/>
          <w:i w:val="false"/>
          <w:iCs w:val="false"/>
          <w:sz w:val="16"/>
          <w:szCs w:val="16"/>
        </w:rPr>
        <w:t xml:space="preserve">, early access, pp. 1–13, 2025, doi: 10.1109/JBHI.2025.3643805.</w:t>
      </w:r>
    </w:p>
    <w:p>
      <w:pPr>
        <w:tabs>
          <w:tab w:val="left" w:pos="400"/>
        </w:tabs>
        <w:spacing w:after="30"/>
        <w:ind w:left="400" w:hanging="400"/>
        <w:jc w:val="left"/>
      </w:pPr>
      <w:r>
        <w:rPr>
          <w:rFonts w:ascii="Times New Roman" w:cs="Times New Roman" w:eastAsia="Times New Roman" w:hAnsi="Times New Roman"/>
          <w:sz w:val="16"/>
          <w:szCs w:val="16"/>
        </w:rPr>
        <w:t xml:space="preserve">[5]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W. Brahmi, I. Jdey, and F. Drira, “Exploring the role of convolutional neural networks (CNN) in dental radiography segmentation: A comprehensive systematic literature review,” </w:t>
      </w:r>
      <w:r>
        <w:rPr>
          <w:rFonts w:ascii="Times New Roman" w:cs="Times New Roman" w:eastAsia="Times New Roman" w:hAnsi="Times New Roman"/>
          <w:b w:val="false"/>
          <w:bCs w:val="false"/>
          <w:i/>
          <w:iCs/>
          <w:sz w:val="16"/>
          <w:szCs w:val="16"/>
        </w:rPr>
        <w:t xml:space="preserve">Eng. Appl. Artif. Intell.</w:t>
      </w:r>
      <w:r>
        <w:rPr>
          <w:rFonts w:ascii="Times New Roman" w:cs="Times New Roman" w:eastAsia="Times New Roman" w:hAnsi="Times New Roman"/>
          <w:b w:val="false"/>
          <w:bCs w:val="false"/>
          <w:i w:val="false"/>
          <w:iCs w:val="false"/>
          <w:sz w:val="16"/>
          <w:szCs w:val="16"/>
        </w:rPr>
        <w:t xml:space="preserve">, vol. 133, Art. no. 108510, Jul. 2024, doi: 10.1016/j.engappai.2024.108510.</w:t>
      </w:r>
    </w:p>
    <w:p>
      <w:pPr>
        <w:tabs>
          <w:tab w:val="left" w:pos="400"/>
        </w:tabs>
        <w:spacing w:after="30"/>
        <w:ind w:left="400" w:hanging="400"/>
        <w:jc w:val="left"/>
      </w:pPr>
      <w:r>
        <w:rPr>
          <w:rFonts w:ascii="Times New Roman" w:cs="Times New Roman" w:eastAsia="Times New Roman" w:hAnsi="Times New Roman"/>
          <w:sz w:val="16"/>
          <w:szCs w:val="16"/>
        </w:rPr>
        <w:t xml:space="preserve">[6]</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V. Szabó, K. Orhan, C. Dobó-Nagy, D. S. Veres, D. Manulis, M. Ezhov, A. Sanders, and B. T. Szabó, “Deep learning-based periapical lesion detection on panoramic radiographs,” </w:t>
      </w:r>
      <w:r>
        <w:rPr>
          <w:rFonts w:ascii="Times New Roman" w:cs="Times New Roman" w:eastAsia="Times New Roman" w:hAnsi="Times New Roman"/>
          <w:b w:val="false"/>
          <w:bCs w:val="false"/>
          <w:i/>
          <w:iCs/>
          <w:sz w:val="16"/>
          <w:szCs w:val="16"/>
        </w:rPr>
        <w:t xml:space="preserve">Diagnostics</w:t>
      </w:r>
      <w:r>
        <w:rPr>
          <w:rFonts w:ascii="Times New Roman" w:cs="Times New Roman" w:eastAsia="Times New Roman" w:hAnsi="Times New Roman"/>
          <w:b w:val="false"/>
          <w:bCs w:val="false"/>
          <w:i w:val="false"/>
          <w:iCs w:val="false"/>
          <w:sz w:val="16"/>
          <w:szCs w:val="16"/>
        </w:rPr>
        <w:t xml:space="preserve">, vol. 15, no. 4, Art. no. 510, Feb. 2025, doi: 10.3390/diagnostics15040510.</w:t>
      </w:r>
    </w:p>
    <w:p>
      <w:pPr>
        <w:tabs>
          <w:tab w:val="left" w:pos="400"/>
        </w:tabs>
        <w:spacing w:after="30"/>
        <w:ind w:left="400" w:hanging="400"/>
        <w:jc w:val="left"/>
      </w:pPr>
      <w:r>
        <w:rPr>
          <w:rFonts w:ascii="Times New Roman" w:cs="Times New Roman" w:eastAsia="Times New Roman" w:hAnsi="Times New Roman"/>
          <w:sz w:val="16"/>
          <w:szCs w:val="16"/>
        </w:rPr>
        <w:t xml:space="preserve">[7]</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Z. Raeisi, S. Rokhva, F. Rahmani, A. Goodarzi, and H. Najafzadeh, “Multi-label diagnosis of dental conditions from panoramic x-rays using attention-enhanced deep learning,” </w:t>
      </w:r>
      <w:r>
        <w:rPr>
          <w:rFonts w:ascii="Times New Roman" w:cs="Times New Roman" w:eastAsia="Times New Roman" w:hAnsi="Times New Roman"/>
          <w:b w:val="false"/>
          <w:bCs w:val="false"/>
          <w:i/>
          <w:iCs/>
          <w:sz w:val="16"/>
          <w:szCs w:val="16"/>
        </w:rPr>
        <w:t xml:space="preserve">Oral Maxillofac. Surg.</w:t>
      </w:r>
      <w:r>
        <w:rPr>
          <w:rFonts w:ascii="Times New Roman" w:cs="Times New Roman" w:eastAsia="Times New Roman" w:hAnsi="Times New Roman"/>
          <w:b w:val="false"/>
          <w:bCs w:val="false"/>
          <w:i w:val="false"/>
          <w:iCs w:val="false"/>
          <w:sz w:val="16"/>
          <w:szCs w:val="16"/>
        </w:rPr>
        <w:t xml:space="preserve">, vol. 29, no. 1, Art. no. 166, Oct. 2025, doi: 10.1007/s10006-025-01463-y.</w:t>
      </w:r>
    </w:p>
    <w:p>
      <w:pPr>
        <w:tabs>
          <w:tab w:val="left" w:pos="400"/>
        </w:tabs>
        <w:spacing w:after="30"/>
        <w:ind w:left="400" w:hanging="400"/>
        <w:jc w:val="left"/>
      </w:pPr>
      <w:r>
        <w:rPr>
          <w:rFonts w:ascii="Times New Roman" w:cs="Times New Roman" w:eastAsia="Times New Roman" w:hAnsi="Times New Roman"/>
          <w:sz w:val="16"/>
          <w:szCs w:val="16"/>
        </w:rPr>
        <w:t xml:space="preserve">[8]</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A. Bittar, R. Dascanio, and M. Özcan, “Artificial intelligence for dental caries detection: An umbrella review,” </w:t>
      </w:r>
      <w:r>
        <w:rPr>
          <w:rFonts w:ascii="Times New Roman" w:cs="Times New Roman" w:eastAsia="Times New Roman" w:hAnsi="Times New Roman"/>
          <w:b w:val="false"/>
          <w:bCs w:val="false"/>
          <w:i/>
          <w:iCs/>
          <w:sz w:val="16"/>
          <w:szCs w:val="16"/>
        </w:rPr>
        <w:t xml:space="preserve">J. Dent.</w:t>
      </w:r>
      <w:r>
        <w:rPr>
          <w:rFonts w:ascii="Times New Roman" w:cs="Times New Roman" w:eastAsia="Times New Roman" w:hAnsi="Times New Roman"/>
          <w:b w:val="false"/>
          <w:bCs w:val="false"/>
          <w:i w:val="false"/>
          <w:iCs w:val="false"/>
          <w:sz w:val="16"/>
          <w:szCs w:val="16"/>
        </w:rPr>
        <w:t xml:space="preserve">, vol. 175, Art. no. 106944, Dec. 2026, doi: 10.1016/j.jdent.2026.106944.</w:t>
      </w:r>
    </w:p>
    <w:p>
      <w:pPr>
        <w:tabs>
          <w:tab w:val="left" w:pos="400"/>
        </w:tabs>
        <w:spacing w:after="30"/>
        <w:ind w:left="400" w:hanging="400"/>
        <w:jc w:val="left"/>
      </w:pPr>
      <w:r>
        <w:rPr>
          <w:rFonts w:ascii="Times New Roman" w:cs="Times New Roman" w:eastAsia="Times New Roman" w:hAnsi="Times New Roman"/>
          <w:sz w:val="16"/>
          <w:szCs w:val="16"/>
        </w:rPr>
        <w:t xml:space="preserve">[9]</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I. E. Hamamci, S. Er, O. F. Durugol, G. R. Cakmak, E. de la Rosa, E. Simsar, et al., “DENTEX: Dental enumeration and tooth pathosis detection benchmark for panoramic X-ray,” </w:t>
      </w:r>
      <w:r>
        <w:rPr>
          <w:rFonts w:ascii="Times New Roman" w:cs="Times New Roman" w:eastAsia="Times New Roman" w:hAnsi="Times New Roman"/>
          <w:b w:val="false"/>
          <w:bCs w:val="false"/>
          <w:i/>
          <w:iCs/>
          <w:sz w:val="16"/>
          <w:szCs w:val="16"/>
        </w:rPr>
        <w:t xml:space="preserve">arXiv preprint</w:t>
      </w:r>
      <w:r>
        <w:rPr>
          <w:rFonts w:ascii="Times New Roman" w:cs="Times New Roman" w:eastAsia="Times New Roman" w:hAnsi="Times New Roman"/>
          <w:b w:val="false"/>
          <w:bCs w:val="false"/>
          <w:i w:val="false"/>
          <w:iCs w:val="false"/>
          <w:sz w:val="16"/>
          <w:szCs w:val="16"/>
        </w:rPr>
        <w:t xml:space="preserve"> arXiv:2305.19112, 2023, doi: 10.48550/arXiv.2305.19112.</w:t>
      </w:r>
    </w:p>
    <w:p>
      <w:pPr>
        <w:tabs>
          <w:tab w:val="left" w:pos="400"/>
        </w:tabs>
        <w:spacing w:after="30"/>
        <w:ind w:left="400" w:hanging="400"/>
        <w:jc w:val="left"/>
      </w:pPr>
      <w:r>
        <w:rPr>
          <w:rFonts w:ascii="Times New Roman" w:cs="Times New Roman" w:eastAsia="Times New Roman" w:hAnsi="Times New Roman"/>
          <w:sz w:val="16"/>
          <w:szCs w:val="16"/>
        </w:rPr>
        <w:t xml:space="preserve">[10]</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I. E. Hamamci, S. Er, E. Simsar, A. Sekuboyina, M. Gundogar, B. Stadlinger, A. Mehl, and B. Menze, “Diffusion-based hierarchical multi-label object detection to analyze panoramic dental X-rays,” in </w:t>
      </w:r>
      <w:r>
        <w:rPr>
          <w:rFonts w:ascii="Times New Roman" w:cs="Times New Roman" w:eastAsia="Times New Roman" w:hAnsi="Times New Roman"/>
          <w:b w:val="false"/>
          <w:bCs w:val="false"/>
          <w:i/>
          <w:iCs/>
          <w:sz w:val="16"/>
          <w:szCs w:val="16"/>
        </w:rPr>
        <w:t xml:space="preserve">Medical Image Computing and Computer Assisted Intervention (MICCAI 2023)</w:t>
      </w:r>
      <w:r>
        <w:rPr>
          <w:rFonts w:ascii="Times New Roman" w:cs="Times New Roman" w:eastAsia="Times New Roman" w:hAnsi="Times New Roman"/>
          <w:b w:val="false"/>
          <w:bCs w:val="false"/>
          <w:i w:val="false"/>
          <w:iCs w:val="false"/>
          <w:sz w:val="16"/>
          <w:szCs w:val="16"/>
        </w:rPr>
        <w:t xml:space="preserve">, Lecture Notes in Computer Science. Cham, Switzerland: Springer, 2023, pp. 389–399, doi: 10.1007/978-3-031-43987-2_38.</w:t>
      </w:r>
    </w:p>
    <w:p>
      <w:pPr>
        <w:tabs>
          <w:tab w:val="left" w:pos="400"/>
        </w:tabs>
        <w:spacing w:after="30"/>
        <w:ind w:left="400" w:hanging="400"/>
        <w:jc w:val="left"/>
      </w:pPr>
      <w:r>
        <w:rPr>
          <w:rFonts w:ascii="Times New Roman" w:cs="Times New Roman" w:eastAsia="Times New Roman" w:hAnsi="Times New Roman"/>
          <w:sz w:val="16"/>
          <w:szCs w:val="16"/>
        </w:rPr>
        <w:t xml:space="preserve">[11]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S. Kapoor and A. Narayanan, “Leakage and the reproducibility crisis in machine-learning-based science,” </w:t>
      </w:r>
      <w:r>
        <w:rPr>
          <w:rFonts w:ascii="Times New Roman" w:cs="Times New Roman" w:eastAsia="Times New Roman" w:hAnsi="Times New Roman"/>
          <w:b w:val="false"/>
          <w:bCs w:val="false"/>
          <w:i/>
          <w:iCs/>
          <w:sz w:val="16"/>
          <w:szCs w:val="16"/>
        </w:rPr>
        <w:t xml:space="preserve">Patterns</w:t>
      </w:r>
      <w:r>
        <w:rPr>
          <w:rFonts w:ascii="Times New Roman" w:cs="Times New Roman" w:eastAsia="Times New Roman" w:hAnsi="Times New Roman"/>
          <w:b w:val="false"/>
          <w:bCs w:val="false"/>
          <w:i w:val="false"/>
          <w:iCs w:val="false"/>
          <w:sz w:val="16"/>
          <w:szCs w:val="16"/>
        </w:rPr>
        <w:t xml:space="preserve">, vol. 4, no. 9, Art. no. 100804, Sep. 2023, doi: 10.1016/j.patter.2023.100804.</w:t>
      </w:r>
    </w:p>
    <w:p>
      <w:pPr>
        <w:tabs>
          <w:tab w:val="left" w:pos="400"/>
        </w:tabs>
        <w:spacing w:after="30"/>
        <w:ind w:left="400" w:hanging="400"/>
        <w:jc w:val="left"/>
      </w:pPr>
      <w:r>
        <w:rPr>
          <w:rFonts w:ascii="Times New Roman" w:cs="Times New Roman" w:eastAsia="Times New Roman" w:hAnsi="Times New Roman"/>
          <w:sz w:val="16"/>
          <w:szCs w:val="16"/>
        </w:rPr>
        <w:t xml:space="preserve">[12]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Y. Huang, Z. Sun, J. Chen, T. Yang, L. Xie, and X. Lin, “Near-duplicate contamination inflates brain MRI benchmark performance: A size-matched, multi-seed MedNeXt-B study,” </w:t>
      </w:r>
      <w:r>
        <w:rPr>
          <w:rFonts w:ascii="Times New Roman" w:cs="Times New Roman" w:eastAsia="Times New Roman" w:hAnsi="Times New Roman"/>
          <w:b w:val="false"/>
          <w:bCs w:val="false"/>
          <w:i/>
          <w:iCs/>
          <w:sz w:val="16"/>
          <w:szCs w:val="16"/>
        </w:rPr>
        <w:t xml:space="preserve">Front. Med.</w:t>
      </w:r>
      <w:r>
        <w:rPr>
          <w:rFonts w:ascii="Times New Roman" w:cs="Times New Roman" w:eastAsia="Times New Roman" w:hAnsi="Times New Roman"/>
          <w:b w:val="false"/>
          <w:bCs w:val="false"/>
          <w:i w:val="false"/>
          <w:iCs w:val="false"/>
          <w:sz w:val="16"/>
          <w:szCs w:val="16"/>
        </w:rPr>
        <w:t xml:space="preserve">, vol. 13, Art. no. 1955863, Oct. 2026, doi: 10.3389/fmed.2026.1955863.</w:t>
      </w:r>
    </w:p>
    <w:p>
      <w:pPr>
        <w:tabs>
          <w:tab w:val="left" w:pos="400"/>
        </w:tabs>
        <w:spacing w:after="30"/>
        <w:ind w:left="400" w:hanging="400"/>
        <w:jc w:val="left"/>
      </w:pPr>
      <w:r>
        <w:rPr>
          <w:rFonts w:ascii="Times New Roman" w:cs="Times New Roman" w:eastAsia="Times New Roman" w:hAnsi="Times New Roman"/>
          <w:sz w:val="16"/>
          <w:szCs w:val="16"/>
        </w:rPr>
        <w:t xml:space="preserve">[13]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A. Yalım, E. Aytugar, F. Kalabalık, and İ. Akdağ, “Comparative analysis of deep learning architectures for automatic tooth segmentation in panoramic dental radiographs: Balancing accuracy and computational efficiency,” </w:t>
      </w:r>
      <w:r>
        <w:rPr>
          <w:rFonts w:ascii="Times New Roman" w:cs="Times New Roman" w:eastAsia="Times New Roman" w:hAnsi="Times New Roman"/>
          <w:b w:val="false"/>
          <w:bCs w:val="false"/>
          <w:i/>
          <w:iCs/>
          <w:sz w:val="16"/>
          <w:szCs w:val="16"/>
        </w:rPr>
        <w:t xml:space="preserve">Diagnostics</w:t>
      </w:r>
      <w:r>
        <w:rPr>
          <w:rFonts w:ascii="Times New Roman" w:cs="Times New Roman" w:eastAsia="Times New Roman" w:hAnsi="Times New Roman"/>
          <w:b w:val="false"/>
          <w:bCs w:val="false"/>
          <w:i w:val="false"/>
          <w:iCs w:val="false"/>
          <w:sz w:val="16"/>
          <w:szCs w:val="16"/>
        </w:rPr>
        <w:t xml:space="preserve">, vol. 16, no. 2, Art. no. 336, Jan. 2026, doi: 10.3390/diagnostics16020336.</w:t>
      </w:r>
    </w:p>
    <w:p>
      <w:pPr>
        <w:tabs>
          <w:tab w:val="left" w:pos="400"/>
        </w:tabs>
        <w:spacing w:after="30"/>
        <w:ind w:left="400" w:hanging="400"/>
        <w:jc w:val="left"/>
      </w:pPr>
      <w:r>
        <w:rPr>
          <w:rFonts w:ascii="Times New Roman" w:cs="Times New Roman" w:eastAsia="Times New Roman" w:hAnsi="Times New Roman"/>
          <w:sz w:val="16"/>
          <w:szCs w:val="16"/>
        </w:rPr>
        <w:t xml:space="preserve">[14]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B. Ayhan, E. Ayan, and Y. Bayraktar, “A novel deep learning-based perspective for tooth numbering and caries detection,” </w:t>
      </w:r>
      <w:r>
        <w:rPr>
          <w:rFonts w:ascii="Times New Roman" w:cs="Times New Roman" w:eastAsia="Times New Roman" w:hAnsi="Times New Roman"/>
          <w:b w:val="false"/>
          <w:bCs w:val="false"/>
          <w:i/>
          <w:iCs/>
          <w:sz w:val="16"/>
          <w:szCs w:val="16"/>
        </w:rPr>
        <w:t xml:space="preserve">Clin. Oral Investig.</w:t>
      </w:r>
      <w:r>
        <w:rPr>
          <w:rFonts w:ascii="Times New Roman" w:cs="Times New Roman" w:eastAsia="Times New Roman" w:hAnsi="Times New Roman"/>
          <w:b w:val="false"/>
          <w:bCs w:val="false"/>
          <w:i w:val="false"/>
          <w:iCs w:val="false"/>
          <w:sz w:val="16"/>
          <w:szCs w:val="16"/>
        </w:rPr>
        <w:t xml:space="preserve">, vol. 28, no. 3, Art. no. 178, Feb. 2024, doi: 10.1007/s00784-024-05566-w.</w:t>
      </w:r>
    </w:p>
    <w:p>
      <w:pPr>
        <w:tabs>
          <w:tab w:val="left" w:pos="400"/>
        </w:tabs>
        <w:spacing w:after="30"/>
        <w:ind w:left="400" w:hanging="400"/>
        <w:jc w:val="left"/>
      </w:pPr>
      <w:r>
        <w:rPr>
          <w:rFonts w:ascii="Times New Roman" w:cs="Times New Roman" w:eastAsia="Times New Roman" w:hAnsi="Times New Roman"/>
          <w:sz w:val="16"/>
          <w:szCs w:val="16"/>
        </w:rPr>
        <w:t xml:space="preserve">[15]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L. Huang, S. Ruan, Y. Xing, and M. Feng, “A review of uncertainty quantification in medical image analysis: Probabilistic and non-probabilistic methods,” </w:t>
      </w:r>
      <w:r>
        <w:rPr>
          <w:rFonts w:ascii="Times New Roman" w:cs="Times New Roman" w:eastAsia="Times New Roman" w:hAnsi="Times New Roman"/>
          <w:b w:val="false"/>
          <w:bCs w:val="false"/>
          <w:i/>
          <w:iCs/>
          <w:sz w:val="16"/>
          <w:szCs w:val="16"/>
        </w:rPr>
        <w:t xml:space="preserve">Med. Image Anal.</w:t>
      </w:r>
      <w:r>
        <w:rPr>
          <w:rFonts w:ascii="Times New Roman" w:cs="Times New Roman" w:eastAsia="Times New Roman" w:hAnsi="Times New Roman"/>
          <w:b w:val="false"/>
          <w:bCs w:val="false"/>
          <w:i w:val="false"/>
          <w:iCs w:val="false"/>
          <w:sz w:val="16"/>
          <w:szCs w:val="16"/>
        </w:rPr>
        <w:t xml:space="preserve">, vol. 97, Art. no. 103223, Oct. 2024, doi: 10.1016/j.media.2024.103223.</w:t>
      </w:r>
    </w:p>
    <w:p>
      <w:pPr>
        <w:tabs>
          <w:tab w:val="left" w:pos="400"/>
        </w:tabs>
        <w:spacing w:after="30"/>
        <w:ind w:left="400" w:hanging="400"/>
        <w:jc w:val="left"/>
      </w:pPr>
      <w:r>
        <w:rPr>
          <w:rFonts w:ascii="Times New Roman" w:cs="Times New Roman" w:eastAsia="Times New Roman" w:hAnsi="Times New Roman"/>
          <w:sz w:val="16"/>
          <w:szCs w:val="16"/>
        </w:rPr>
        <w:t xml:space="preserve">[16]</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B. Lambert, F. Forbes, S. Doyle, H. Dehaene, and M. Dojat, “Trustworthy clinical AI solutions: A unified review of uncertainty quantification in deep learning models for medical image analysis,” </w:t>
      </w:r>
      <w:r>
        <w:rPr>
          <w:rFonts w:ascii="Times New Roman" w:cs="Times New Roman" w:eastAsia="Times New Roman" w:hAnsi="Times New Roman"/>
          <w:b w:val="false"/>
          <w:bCs w:val="false"/>
          <w:i/>
          <w:iCs/>
          <w:sz w:val="16"/>
          <w:szCs w:val="16"/>
        </w:rPr>
        <w:t xml:space="preserve">Artif. Intell. Med.</w:t>
      </w:r>
      <w:r>
        <w:rPr>
          <w:rFonts w:ascii="Times New Roman" w:cs="Times New Roman" w:eastAsia="Times New Roman" w:hAnsi="Times New Roman"/>
          <w:b w:val="false"/>
          <w:bCs w:val="false"/>
          <w:i w:val="false"/>
          <w:iCs w:val="false"/>
          <w:sz w:val="16"/>
          <w:szCs w:val="16"/>
        </w:rPr>
        <w:t xml:space="preserve">, vol. 150, Art. no. 102830, Apr. 2024, doi: 10.1016/j.artmed.2024.102830.</w:t>
      </w:r>
    </w:p>
    <w:p>
      <w:pPr>
        <w:tabs>
          <w:tab w:val="left" w:pos="400"/>
        </w:tabs>
        <w:spacing w:after="30"/>
        <w:ind w:left="400" w:hanging="400"/>
        <w:jc w:val="left"/>
      </w:pPr>
      <w:r>
        <w:rPr>
          <w:rFonts w:ascii="Times New Roman" w:cs="Times New Roman" w:eastAsia="Times New Roman" w:hAnsi="Times New Roman"/>
          <w:sz w:val="16"/>
          <w:szCs w:val="16"/>
        </w:rPr>
        <w:t xml:space="preserve">[17]</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Y. Geifman and R. El-Yaniv, “Selective classification for deep neural networks,” in </w:t>
      </w:r>
      <w:r>
        <w:rPr>
          <w:rFonts w:ascii="Times New Roman" w:cs="Times New Roman" w:eastAsia="Times New Roman" w:hAnsi="Times New Roman"/>
          <w:b w:val="false"/>
          <w:bCs w:val="false"/>
          <w:i/>
          <w:iCs/>
          <w:sz w:val="16"/>
          <w:szCs w:val="16"/>
        </w:rPr>
        <w:t xml:space="preserve">Proc. Adv. Neural Inf. Process. Syst. (NIPS)</w:t>
      </w:r>
      <w:r>
        <w:rPr>
          <w:rFonts w:ascii="Times New Roman" w:cs="Times New Roman" w:eastAsia="Times New Roman" w:hAnsi="Times New Roman"/>
          <w:b w:val="false"/>
          <w:bCs w:val="false"/>
          <w:i w:val="false"/>
          <w:iCs w:val="false"/>
          <w:sz w:val="16"/>
          <w:szCs w:val="16"/>
        </w:rPr>
        <w:t xml:space="preserve">, vol. 30, 2017, pp. 4878–4887.</w:t>
      </w:r>
    </w:p>
    <w:p>
      <w:pPr>
        <w:tabs>
          <w:tab w:val="left" w:pos="400"/>
        </w:tabs>
        <w:spacing w:after="30"/>
        <w:ind w:left="400" w:hanging="400"/>
        <w:jc w:val="left"/>
      </w:pPr>
      <w:r>
        <w:rPr>
          <w:rFonts w:ascii="Times New Roman" w:cs="Times New Roman" w:eastAsia="Times New Roman" w:hAnsi="Times New Roman"/>
          <w:sz w:val="16"/>
          <w:szCs w:val="16"/>
        </w:rPr>
        <w:t xml:space="preserve">[18]</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A. Vazhentsev, I. Sviridov, A. Barseghyan, G. Kuzmin, A. Panchenko, A. Nesterov, A. Shelmanov, and M. Panov, “Uncertainty-aware abstention in medical diagnosis based on medical texts,” </w:t>
      </w:r>
      <w:r>
        <w:rPr>
          <w:rFonts w:ascii="Times New Roman" w:cs="Times New Roman" w:eastAsia="Times New Roman" w:hAnsi="Times New Roman"/>
          <w:b w:val="false"/>
          <w:bCs w:val="false"/>
          <w:i/>
          <w:iCs/>
          <w:sz w:val="16"/>
          <w:szCs w:val="16"/>
        </w:rPr>
        <w:t xml:space="preserve">npj Artif. Intell.</w:t>
      </w:r>
      <w:r>
        <w:rPr>
          <w:rFonts w:ascii="Times New Roman" w:cs="Times New Roman" w:eastAsia="Times New Roman" w:hAnsi="Times New Roman"/>
          <w:b w:val="false"/>
          <w:bCs w:val="false"/>
          <w:i w:val="false"/>
          <w:iCs w:val="false"/>
          <w:sz w:val="16"/>
          <w:szCs w:val="16"/>
        </w:rPr>
        <w:t xml:space="preserve">, 2026, doi: 10.1038/s44387-026-00097-z.</w:t>
      </w:r>
    </w:p>
    <w:p>
      <w:pPr>
        <w:tabs>
          <w:tab w:val="left" w:pos="400"/>
        </w:tabs>
        <w:spacing w:after="30"/>
        <w:ind w:left="400" w:hanging="400"/>
        <w:jc w:val="left"/>
      </w:pPr>
      <w:r>
        <w:rPr>
          <w:rFonts w:ascii="Times New Roman" w:cs="Times New Roman" w:eastAsia="Times New Roman" w:hAnsi="Times New Roman"/>
          <w:sz w:val="16"/>
          <w:szCs w:val="16"/>
        </w:rPr>
        <w:t xml:space="preserve">[19]</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G. Wang, W. Li, M. Aertsen, J. Deprest, S. Ourselin, and T. Vercauteren, “Aleatoric uncertainty estimation with test-time augmentation for medical image segmentation with convolutional neural networks,” </w:t>
      </w:r>
      <w:r>
        <w:rPr>
          <w:rFonts w:ascii="Times New Roman" w:cs="Times New Roman" w:eastAsia="Times New Roman" w:hAnsi="Times New Roman"/>
          <w:b w:val="false"/>
          <w:bCs w:val="false"/>
          <w:i/>
          <w:iCs/>
          <w:sz w:val="16"/>
          <w:szCs w:val="16"/>
        </w:rPr>
        <w:t xml:space="preserve">Neurocomputing</w:t>
      </w:r>
      <w:r>
        <w:rPr>
          <w:rFonts w:ascii="Times New Roman" w:cs="Times New Roman" w:eastAsia="Times New Roman" w:hAnsi="Times New Roman"/>
          <w:b w:val="false"/>
          <w:bCs w:val="false"/>
          <w:i w:val="false"/>
          <w:iCs w:val="false"/>
          <w:sz w:val="16"/>
          <w:szCs w:val="16"/>
        </w:rPr>
        <w:t xml:space="preserve">, vol. 338, pp. 34–45, Apr. 2019, doi: 10.1016/j.neucom.2019.01.103.</w:t>
      </w:r>
    </w:p>
    <w:p>
      <w:pPr>
        <w:tabs>
          <w:tab w:val="left" w:pos="400"/>
        </w:tabs>
        <w:spacing w:after="30"/>
        <w:ind w:left="400" w:hanging="400"/>
        <w:jc w:val="left"/>
      </w:pPr>
      <w:r>
        <w:rPr>
          <w:rFonts w:ascii="Times New Roman" w:cs="Times New Roman" w:eastAsia="Times New Roman" w:hAnsi="Times New Roman"/>
          <w:sz w:val="16"/>
          <w:szCs w:val="16"/>
        </w:rPr>
        <w:t xml:space="preserve">[20]</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C. Guo, G. Pleiss, Y. Sun, and K. Q. Weinberger, “On calibration of modern neural networks,” in </w:t>
      </w:r>
      <w:r>
        <w:rPr>
          <w:rFonts w:ascii="Times New Roman" w:cs="Times New Roman" w:eastAsia="Times New Roman" w:hAnsi="Times New Roman"/>
          <w:b w:val="false"/>
          <w:bCs w:val="false"/>
          <w:i/>
          <w:iCs/>
          <w:sz w:val="16"/>
          <w:szCs w:val="16"/>
        </w:rPr>
        <w:t xml:space="preserve">Proc. 34th Int. Conf. Mach. Learn. (ICML)</w:t>
      </w:r>
      <w:r>
        <w:rPr>
          <w:rFonts w:ascii="Times New Roman" w:cs="Times New Roman" w:eastAsia="Times New Roman" w:hAnsi="Times New Roman"/>
          <w:b w:val="false"/>
          <w:bCs w:val="false"/>
          <w:i w:val="false"/>
          <w:iCs w:val="false"/>
          <w:sz w:val="16"/>
          <w:szCs w:val="16"/>
        </w:rPr>
        <w:t xml:space="preserve">, PMLR, vol. 70, 2017, pp. 1321–1330.</w:t>
      </w:r>
    </w:p>
    <w:p>
      <w:pPr>
        <w:tabs>
          <w:tab w:val="left" w:pos="400"/>
        </w:tabs>
        <w:spacing w:after="30"/>
        <w:ind w:left="400" w:hanging="400"/>
        <w:jc w:val="left"/>
      </w:pPr>
      <w:r>
        <w:rPr>
          <w:rFonts w:ascii="Times New Roman" w:cs="Times New Roman" w:eastAsia="Times New Roman" w:hAnsi="Times New Roman"/>
          <w:sz w:val="16"/>
          <w:szCs w:val="16"/>
        </w:rPr>
        <w:t xml:space="preserve">[21]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S. A. Balanya, J. Maroñas, and D. Ramos, “Adaptive temperature scaling for robust calibration of deep neural networks,” </w:t>
      </w:r>
      <w:r>
        <w:rPr>
          <w:rFonts w:ascii="Times New Roman" w:cs="Times New Roman" w:eastAsia="Times New Roman" w:hAnsi="Times New Roman"/>
          <w:b w:val="false"/>
          <w:bCs w:val="false"/>
          <w:i/>
          <w:iCs/>
          <w:sz w:val="16"/>
          <w:szCs w:val="16"/>
        </w:rPr>
        <w:t xml:space="preserve">Neural Comput. Appl.</w:t>
      </w:r>
      <w:r>
        <w:rPr>
          <w:rFonts w:ascii="Times New Roman" w:cs="Times New Roman" w:eastAsia="Times New Roman" w:hAnsi="Times New Roman"/>
          <w:b w:val="false"/>
          <w:bCs w:val="false"/>
          <w:i w:val="false"/>
          <w:iCs w:val="false"/>
          <w:sz w:val="16"/>
          <w:szCs w:val="16"/>
        </w:rPr>
        <w:t xml:space="preserve">, vol. 36, no. 14, pp. 8073–8095, May 2024, doi: 10.1007/s00521-024-09505-4.</w:t>
      </w:r>
    </w:p>
    <w:p>
      <w:pPr>
        <w:tabs>
          <w:tab w:val="left" w:pos="400"/>
        </w:tabs>
        <w:spacing w:after="30"/>
        <w:ind w:left="400" w:hanging="400"/>
        <w:jc w:val="left"/>
      </w:pPr>
      <w:r>
        <w:rPr>
          <w:rFonts w:ascii="Times New Roman" w:cs="Times New Roman" w:eastAsia="Times New Roman" w:hAnsi="Times New Roman"/>
          <w:sz w:val="16"/>
          <w:szCs w:val="16"/>
        </w:rPr>
        <w:t xml:space="preserve">[22]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M. P. Naeini, G. Cooper, and M. Hauskrecht, “Obtaining well calibrated probabilities using Bayesian binning,” in </w:t>
      </w:r>
      <w:r>
        <w:rPr>
          <w:rFonts w:ascii="Times New Roman" w:cs="Times New Roman" w:eastAsia="Times New Roman" w:hAnsi="Times New Roman"/>
          <w:b w:val="false"/>
          <w:bCs w:val="false"/>
          <w:i/>
          <w:iCs/>
          <w:sz w:val="16"/>
          <w:szCs w:val="16"/>
        </w:rPr>
        <w:t xml:space="preserve">Proc. AAAI Conf. Artif. Intell.</w:t>
      </w:r>
      <w:r>
        <w:rPr>
          <w:rFonts w:ascii="Times New Roman" w:cs="Times New Roman" w:eastAsia="Times New Roman" w:hAnsi="Times New Roman"/>
          <w:b w:val="false"/>
          <w:bCs w:val="false"/>
          <w:i w:val="false"/>
          <w:iCs w:val="false"/>
          <w:sz w:val="16"/>
          <w:szCs w:val="16"/>
        </w:rPr>
        <w:t xml:space="preserve">, vol. 29, no. 1, 2015, doi: 10.1609/aaai.v29i1.9602.</w:t>
      </w:r>
    </w:p>
    <w:p>
      <w:pPr>
        <w:tabs>
          <w:tab w:val="left" w:pos="400"/>
        </w:tabs>
        <w:spacing w:after="30"/>
        <w:ind w:left="400" w:hanging="400"/>
        <w:jc w:val="left"/>
      </w:pPr>
      <w:r>
        <w:rPr>
          <w:rFonts w:ascii="Times New Roman" w:cs="Times New Roman" w:eastAsia="Times New Roman" w:hAnsi="Times New Roman"/>
          <w:sz w:val="16"/>
          <w:szCs w:val="16"/>
        </w:rPr>
        <w:t xml:space="preserve">[23]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H. Wang, Q. Jin, S. Li, S. Liu, M. Wang, and Z. Song, “A comprehensive survey on deep active learning in medical image analysis,” </w:t>
      </w:r>
      <w:r>
        <w:rPr>
          <w:rFonts w:ascii="Times New Roman" w:cs="Times New Roman" w:eastAsia="Times New Roman" w:hAnsi="Times New Roman"/>
          <w:b w:val="false"/>
          <w:bCs w:val="false"/>
          <w:i/>
          <w:iCs/>
          <w:sz w:val="16"/>
          <w:szCs w:val="16"/>
        </w:rPr>
        <w:t xml:space="preserve">Med. Image Anal.</w:t>
      </w:r>
      <w:r>
        <w:rPr>
          <w:rFonts w:ascii="Times New Roman" w:cs="Times New Roman" w:eastAsia="Times New Roman" w:hAnsi="Times New Roman"/>
          <w:b w:val="false"/>
          <w:bCs w:val="false"/>
          <w:i w:val="false"/>
          <w:iCs w:val="false"/>
          <w:sz w:val="16"/>
          <w:szCs w:val="16"/>
        </w:rPr>
        <w:t xml:space="preserve">, vol. 95, Art. no. 103201, Jul. 2024, doi: 10.1016/j.media.2024.103201.</w:t>
      </w:r>
    </w:p>
    <w:p>
      <w:pPr>
        <w:tabs>
          <w:tab w:val="left" w:pos="400"/>
        </w:tabs>
        <w:spacing w:after="30"/>
        <w:ind w:left="400" w:hanging="400"/>
        <w:jc w:val="left"/>
      </w:pPr>
      <w:r>
        <w:rPr>
          <w:rFonts w:ascii="Times New Roman" w:cs="Times New Roman" w:eastAsia="Times New Roman" w:hAnsi="Times New Roman"/>
          <w:sz w:val="16"/>
          <w:szCs w:val="16"/>
        </w:rPr>
        <w:t xml:space="preserve">[24]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T. Truong, F. Khun Jush, and M. Lenga, “Benchmarking pretrained vision embeddings for near- and duplicate detection in medical images,” in </w:t>
      </w:r>
      <w:r>
        <w:rPr>
          <w:rFonts w:ascii="Times New Roman" w:cs="Times New Roman" w:eastAsia="Times New Roman" w:hAnsi="Times New Roman"/>
          <w:b w:val="false"/>
          <w:bCs w:val="false"/>
          <w:i/>
          <w:iCs/>
          <w:sz w:val="16"/>
          <w:szCs w:val="16"/>
        </w:rPr>
        <w:t xml:space="preserve">Proc. IEEE Int. Symp. Biomed. Imaging (ISBI)</w:t>
      </w:r>
      <w:r>
        <w:rPr>
          <w:rFonts w:ascii="Times New Roman" w:cs="Times New Roman" w:eastAsia="Times New Roman" w:hAnsi="Times New Roman"/>
          <w:b w:val="false"/>
          <w:bCs w:val="false"/>
          <w:i w:val="false"/>
          <w:iCs w:val="false"/>
          <w:sz w:val="16"/>
          <w:szCs w:val="16"/>
        </w:rPr>
        <w:t xml:space="preserve">, 2024, pp. 1–5, doi: 10.1109/ISBI56570.2024.10635550.</w:t>
      </w:r>
    </w:p>
    <w:p>
      <w:pPr>
        <w:tabs>
          <w:tab w:val="left" w:pos="400"/>
        </w:tabs>
        <w:spacing w:after="30"/>
        <w:ind w:left="400" w:hanging="400"/>
        <w:jc w:val="left"/>
      </w:pPr>
      <w:r>
        <w:rPr>
          <w:rFonts w:ascii="Times New Roman" w:cs="Times New Roman" w:eastAsia="Times New Roman" w:hAnsi="Times New Roman"/>
          <w:sz w:val="16"/>
          <w:szCs w:val="16"/>
        </w:rPr>
        <w:t xml:space="preserve">[25]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P. Rajpurkar and E. J. Topol, “Beyond assistance: The case for role separation in AI-human radiology workflows,” </w:t>
      </w:r>
      <w:r>
        <w:rPr>
          <w:rFonts w:ascii="Times New Roman" w:cs="Times New Roman" w:eastAsia="Times New Roman" w:hAnsi="Times New Roman"/>
          <w:b w:val="false"/>
          <w:bCs w:val="false"/>
          <w:i/>
          <w:iCs/>
          <w:sz w:val="16"/>
          <w:szCs w:val="16"/>
        </w:rPr>
        <w:t xml:space="preserve">Radiology</w:t>
      </w:r>
      <w:r>
        <w:rPr>
          <w:rFonts w:ascii="Times New Roman" w:cs="Times New Roman" w:eastAsia="Times New Roman" w:hAnsi="Times New Roman"/>
          <w:b w:val="false"/>
          <w:bCs w:val="false"/>
          <w:i w:val="false"/>
          <w:iCs w:val="false"/>
          <w:sz w:val="16"/>
          <w:szCs w:val="16"/>
        </w:rPr>
        <w:t xml:space="preserve">, vol. 316, no. 1, Art. no. e250477, Jul. 2025, doi: 10.1148/radiol.250477.</w:t>
      </w:r>
    </w:p>
    <w:p>
      <w:pPr>
        <w:tabs>
          <w:tab w:val="left" w:pos="400"/>
        </w:tabs>
        <w:spacing w:after="30"/>
        <w:ind w:left="400" w:hanging="400"/>
        <w:jc w:val="left"/>
      </w:pPr>
      <w:r>
        <w:rPr>
          <w:rFonts w:ascii="Times New Roman" w:cs="Times New Roman" w:eastAsia="Times New Roman" w:hAnsi="Times New Roman"/>
          <w:sz w:val="16"/>
          <w:szCs w:val="16"/>
        </w:rPr>
        <w:t xml:space="preserve">[26]</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S. Ren, K. He, R. Girshick, and J. Sun, “Faster R-CNN: Towards real-time object detection with region proposal networks,” </w:t>
      </w:r>
      <w:r>
        <w:rPr>
          <w:rFonts w:ascii="Times New Roman" w:cs="Times New Roman" w:eastAsia="Times New Roman" w:hAnsi="Times New Roman"/>
          <w:b w:val="false"/>
          <w:bCs w:val="false"/>
          <w:i/>
          <w:iCs/>
          <w:sz w:val="16"/>
          <w:szCs w:val="16"/>
        </w:rPr>
        <w:t xml:space="preserve">IEEE Trans. Pattern Anal. Mach. Intell.</w:t>
      </w:r>
      <w:r>
        <w:rPr>
          <w:rFonts w:ascii="Times New Roman" w:cs="Times New Roman" w:eastAsia="Times New Roman" w:hAnsi="Times New Roman"/>
          <w:b w:val="false"/>
          <w:bCs w:val="false"/>
          <w:i w:val="false"/>
          <w:iCs w:val="false"/>
          <w:sz w:val="16"/>
          <w:szCs w:val="16"/>
        </w:rPr>
        <w:t xml:space="preserve">, vol. 39, no. 6, pp. 1137–1149, Jun. 2017, doi: 10.1109/TPAMI.2016.2577031.</w:t>
      </w:r>
    </w:p>
    <w:p>
      <w:pPr>
        <w:tabs>
          <w:tab w:val="left" w:pos="400"/>
        </w:tabs>
        <w:spacing w:after="30"/>
        <w:ind w:left="400" w:hanging="400"/>
        <w:jc w:val="left"/>
      </w:pPr>
      <w:r>
        <w:rPr>
          <w:rFonts w:ascii="Times New Roman" w:cs="Times New Roman" w:eastAsia="Times New Roman" w:hAnsi="Times New Roman"/>
          <w:sz w:val="16"/>
          <w:szCs w:val="16"/>
        </w:rPr>
        <w:t xml:space="preserve">[27]</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K. He, G. Gkioxari, P. Dollár, and R. Girshick, “Mask R-CNN,” in </w:t>
      </w:r>
      <w:r>
        <w:rPr>
          <w:rFonts w:ascii="Times New Roman" w:cs="Times New Roman" w:eastAsia="Times New Roman" w:hAnsi="Times New Roman"/>
          <w:b w:val="false"/>
          <w:bCs w:val="false"/>
          <w:i/>
          <w:iCs/>
          <w:sz w:val="16"/>
          <w:szCs w:val="16"/>
        </w:rPr>
        <w:t xml:space="preserve">Proc. IEEE Int. Conf. Comput. Vis. (ICCV)</w:t>
      </w:r>
      <w:r>
        <w:rPr>
          <w:rFonts w:ascii="Times New Roman" w:cs="Times New Roman" w:eastAsia="Times New Roman" w:hAnsi="Times New Roman"/>
          <w:b w:val="false"/>
          <w:bCs w:val="false"/>
          <w:i w:val="false"/>
          <w:iCs w:val="false"/>
          <w:sz w:val="16"/>
          <w:szCs w:val="16"/>
        </w:rPr>
        <w:t xml:space="preserve">, 2017, pp. 2980–2988, doi: 10.1109/ICCV.2017.322.</w:t>
      </w:r>
    </w:p>
    <w:p>
      <w:pPr>
        <w:tabs>
          <w:tab w:val="left" w:pos="400"/>
        </w:tabs>
        <w:spacing w:after="30"/>
        <w:ind w:left="400" w:hanging="400"/>
        <w:jc w:val="left"/>
      </w:pPr>
      <w:r>
        <w:rPr>
          <w:rFonts w:ascii="Times New Roman" w:cs="Times New Roman" w:eastAsia="Times New Roman" w:hAnsi="Times New Roman"/>
          <w:sz w:val="16"/>
          <w:szCs w:val="16"/>
        </w:rPr>
        <w:t xml:space="preserve">[28]</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K. He, X. Zhang, S. Ren, and J. Sun, “Deep residual learning for image recognition,” in </w:t>
      </w:r>
      <w:r>
        <w:rPr>
          <w:rFonts w:ascii="Times New Roman" w:cs="Times New Roman" w:eastAsia="Times New Roman" w:hAnsi="Times New Roman"/>
          <w:b w:val="false"/>
          <w:bCs w:val="false"/>
          <w:i/>
          <w:iCs/>
          <w:sz w:val="16"/>
          <w:szCs w:val="16"/>
        </w:rPr>
        <w:t xml:space="preserve">Proc. IEEE Conf. Comput. Vis. Pattern Recognit. (CVPR)</w:t>
      </w:r>
      <w:r>
        <w:rPr>
          <w:rFonts w:ascii="Times New Roman" w:cs="Times New Roman" w:eastAsia="Times New Roman" w:hAnsi="Times New Roman"/>
          <w:b w:val="false"/>
          <w:bCs w:val="false"/>
          <w:i w:val="false"/>
          <w:iCs w:val="false"/>
          <w:sz w:val="16"/>
          <w:szCs w:val="16"/>
        </w:rPr>
        <w:t xml:space="preserve">, 2016, pp. 770–778, doi: 10.1109/CVPR.2016.90.</w:t>
      </w:r>
    </w:p>
    <w:p>
      <w:pPr>
        <w:tabs>
          <w:tab w:val="left" w:pos="400"/>
        </w:tabs>
        <w:spacing w:after="30"/>
        <w:ind w:left="400" w:hanging="400"/>
        <w:jc w:val="left"/>
      </w:pPr>
      <w:r>
        <w:rPr>
          <w:rFonts w:ascii="Times New Roman" w:cs="Times New Roman" w:eastAsia="Times New Roman" w:hAnsi="Times New Roman"/>
          <w:sz w:val="16"/>
          <w:szCs w:val="16"/>
        </w:rPr>
        <w:t xml:space="preserve">[29]</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T.-Y. Lin, P. Dollár, R. Girshick, K. He, B. Hariharan, and S. Belongie, “Feature pyramid networks for object detection,” in </w:t>
      </w:r>
      <w:r>
        <w:rPr>
          <w:rFonts w:ascii="Times New Roman" w:cs="Times New Roman" w:eastAsia="Times New Roman" w:hAnsi="Times New Roman"/>
          <w:b w:val="false"/>
          <w:bCs w:val="false"/>
          <w:i/>
          <w:iCs/>
          <w:sz w:val="16"/>
          <w:szCs w:val="16"/>
        </w:rPr>
        <w:t xml:space="preserve">Proc. IEEE Conf. Comput. Vis. Pattern Recognit. (CVPR)</w:t>
      </w:r>
      <w:r>
        <w:rPr>
          <w:rFonts w:ascii="Times New Roman" w:cs="Times New Roman" w:eastAsia="Times New Roman" w:hAnsi="Times New Roman"/>
          <w:b w:val="false"/>
          <w:bCs w:val="false"/>
          <w:i w:val="false"/>
          <w:iCs w:val="false"/>
          <w:sz w:val="16"/>
          <w:szCs w:val="16"/>
        </w:rPr>
        <w:t xml:space="preserve">, 2017, pp. 936–944, doi: 10.1109/CVPR.2017.106.</w:t>
      </w:r>
    </w:p>
    <w:p>
      <w:pPr>
        <w:tabs>
          <w:tab w:val="left" w:pos="400"/>
        </w:tabs>
        <w:spacing w:after="30"/>
        <w:ind w:left="400" w:hanging="400"/>
        <w:jc w:val="left"/>
      </w:pPr>
      <w:r>
        <w:rPr>
          <w:rFonts w:ascii="Times New Roman" w:cs="Times New Roman" w:eastAsia="Times New Roman" w:hAnsi="Times New Roman"/>
          <w:sz w:val="16"/>
          <w:szCs w:val="16"/>
        </w:rPr>
        <w:t xml:space="preserve">[30]</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iCs/>
          <w:sz w:val="16"/>
          <w:szCs w:val="16"/>
        </w:rPr>
        <w:t xml:space="preserve">Dentistry — Designation System for Teeth and Areas of the Oral Cavity</w:t>
      </w:r>
      <w:r>
        <w:rPr>
          <w:rFonts w:ascii="Times New Roman" w:cs="Times New Roman" w:eastAsia="Times New Roman" w:hAnsi="Times New Roman"/>
          <w:b w:val="false"/>
          <w:bCs w:val="false"/>
          <w:i w:val="false"/>
          <w:iCs w:val="false"/>
          <w:sz w:val="16"/>
          <w:szCs w:val="16"/>
        </w:rPr>
        <w:t xml:space="preserve">, ISO Standard 3950:2016, International Organization for Standardization, Geneva, Switzerland, 2016.</w:t>
      </w:r>
    </w:p>
    <w:p>
      <w:pPr>
        <w:tabs>
          <w:tab w:val="left" w:pos="400"/>
        </w:tabs>
        <w:spacing w:after="30"/>
        <w:ind w:left="400" w:hanging="400"/>
        <w:jc w:val="left"/>
      </w:pPr>
      <w:r>
        <w:rPr>
          <w:rFonts w:ascii="Times New Roman" w:cs="Times New Roman" w:eastAsia="Times New Roman" w:hAnsi="Times New Roman"/>
          <w:sz w:val="16"/>
          <w:szCs w:val="16"/>
        </w:rPr>
        <w:t xml:space="preserve">[31]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J. Deng, W. Dong, R. Socher, L.-J. Li, K. Li, and L. Fei-Fei, “ImageNet: A large-scale hierarchical image database,” in </w:t>
      </w:r>
      <w:r>
        <w:rPr>
          <w:rFonts w:ascii="Times New Roman" w:cs="Times New Roman" w:eastAsia="Times New Roman" w:hAnsi="Times New Roman"/>
          <w:b w:val="false"/>
          <w:bCs w:val="false"/>
          <w:i/>
          <w:iCs/>
          <w:sz w:val="16"/>
          <w:szCs w:val="16"/>
        </w:rPr>
        <w:t xml:space="preserve">Proc. IEEE Conf. Comput. Vis. Pattern Recognit. (CVPR)</w:t>
      </w:r>
      <w:r>
        <w:rPr>
          <w:rFonts w:ascii="Times New Roman" w:cs="Times New Roman" w:eastAsia="Times New Roman" w:hAnsi="Times New Roman"/>
          <w:b w:val="false"/>
          <w:bCs w:val="false"/>
          <w:i w:val="false"/>
          <w:iCs w:val="false"/>
          <w:sz w:val="16"/>
          <w:szCs w:val="16"/>
        </w:rPr>
        <w:t xml:space="preserve">, 2009, pp. 248–255, doi: 10.1109/CVPR.2009.5206848.</w:t>
      </w:r>
    </w:p>
    <w:p>
      <w:pPr>
        <w:tabs>
          <w:tab w:val="left" w:pos="400"/>
        </w:tabs>
        <w:spacing w:after="30"/>
        <w:ind w:left="400" w:hanging="400"/>
        <w:jc w:val="left"/>
      </w:pPr>
      <w:r>
        <w:rPr>
          <w:rFonts w:ascii="Times New Roman" w:cs="Times New Roman" w:eastAsia="Times New Roman" w:hAnsi="Times New Roman"/>
          <w:sz w:val="16"/>
          <w:szCs w:val="16"/>
        </w:rPr>
        <w:t xml:space="preserve">[32]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J. Lin, “Divergence measures based on the Shannon entropy,” </w:t>
      </w:r>
      <w:r>
        <w:rPr>
          <w:rFonts w:ascii="Times New Roman" w:cs="Times New Roman" w:eastAsia="Times New Roman" w:hAnsi="Times New Roman"/>
          <w:b w:val="false"/>
          <w:bCs w:val="false"/>
          <w:i/>
          <w:iCs/>
          <w:sz w:val="16"/>
          <w:szCs w:val="16"/>
        </w:rPr>
        <w:t xml:space="preserve">IEEE Trans. Inf. Theory</w:t>
      </w:r>
      <w:r>
        <w:rPr>
          <w:rFonts w:ascii="Times New Roman" w:cs="Times New Roman" w:eastAsia="Times New Roman" w:hAnsi="Times New Roman"/>
          <w:b w:val="false"/>
          <w:bCs w:val="false"/>
          <w:i w:val="false"/>
          <w:iCs w:val="false"/>
          <w:sz w:val="16"/>
          <w:szCs w:val="16"/>
        </w:rPr>
        <w:t xml:space="preserve">, vol. 37, no. 1, pp. 145–151, Jan. 1991, doi: 10.1109/18.61115.</w:t>
      </w:r>
    </w:p>
    <w:p>
      <w:pPr>
        <w:tabs>
          <w:tab w:val="left" w:pos="400"/>
        </w:tabs>
        <w:spacing w:after="30"/>
        <w:ind w:left="400" w:hanging="400"/>
        <w:jc w:val="left"/>
      </w:pPr>
      <w:r>
        <w:rPr>
          <w:rFonts w:ascii="Times New Roman" w:cs="Times New Roman" w:eastAsia="Times New Roman" w:hAnsi="Times New Roman"/>
          <w:sz w:val="16"/>
          <w:szCs w:val="16"/>
        </w:rPr>
        <w:t xml:space="preserve">[33]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W. J. Youden, “Index for rating diagnostic tests,” </w:t>
      </w:r>
      <w:r>
        <w:rPr>
          <w:rFonts w:ascii="Times New Roman" w:cs="Times New Roman" w:eastAsia="Times New Roman" w:hAnsi="Times New Roman"/>
          <w:b w:val="false"/>
          <w:bCs w:val="false"/>
          <w:i/>
          <w:iCs/>
          <w:sz w:val="16"/>
          <w:szCs w:val="16"/>
        </w:rPr>
        <w:t xml:space="preserve">Cancer</w:t>
      </w:r>
      <w:r>
        <w:rPr>
          <w:rFonts w:ascii="Times New Roman" w:cs="Times New Roman" w:eastAsia="Times New Roman" w:hAnsi="Times New Roman"/>
          <w:b w:val="false"/>
          <w:bCs w:val="false"/>
          <w:i w:val="false"/>
          <w:iCs w:val="false"/>
          <w:sz w:val="16"/>
          <w:szCs w:val="16"/>
        </w:rPr>
        <w:t xml:space="preserve">, vol. 3, no. 1, pp. 32–35, 1950, doi: 10.1002/1097-0142(1950)3:1&lt;32::AID-CNCR2820030106&gt;3.0.CO;2-3.</w:t>
      </w:r>
    </w:p>
    <w:p>
      <w:pPr>
        <w:tabs>
          <w:tab w:val="left" w:pos="400"/>
        </w:tabs>
        <w:spacing w:after="30"/>
        <w:ind w:left="400" w:hanging="400"/>
        <w:jc w:val="left"/>
      </w:pPr>
      <w:r>
        <w:rPr>
          <w:rFonts w:ascii="Times New Roman" w:cs="Times New Roman" w:eastAsia="Times New Roman" w:hAnsi="Times New Roman"/>
          <w:sz w:val="16"/>
          <w:szCs w:val="16"/>
        </w:rPr>
        <w:t xml:space="preserve">[34]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T.-Y. Lin, M. Maire, S. Belongie, J. Hays, P. Perona, D. Ramanan, P. Dollár, and C. L. Zitnick, “Microsoft COCO: Common objects in context,” in </w:t>
      </w:r>
      <w:r>
        <w:rPr>
          <w:rFonts w:ascii="Times New Roman" w:cs="Times New Roman" w:eastAsia="Times New Roman" w:hAnsi="Times New Roman"/>
          <w:b w:val="false"/>
          <w:bCs w:val="false"/>
          <w:i/>
          <w:iCs/>
          <w:sz w:val="16"/>
          <w:szCs w:val="16"/>
        </w:rPr>
        <w:t xml:space="preserve">Computer Vision – ECCV 2014</w:t>
      </w:r>
      <w:r>
        <w:rPr>
          <w:rFonts w:ascii="Times New Roman" w:cs="Times New Roman" w:eastAsia="Times New Roman" w:hAnsi="Times New Roman"/>
          <w:b w:val="false"/>
          <w:bCs w:val="false"/>
          <w:i w:val="false"/>
          <w:iCs w:val="false"/>
          <w:sz w:val="16"/>
          <w:szCs w:val="16"/>
        </w:rPr>
        <w:t xml:space="preserve">, Lecture Notes in Computer Science. Cham, Switzerland: Springer, 2014, pp. 740–755, doi: 10.1007/978-3-319-10602-1_48.</w:t>
      </w:r>
    </w:p>
    <w:p>
      <w:pPr>
        <w:tabs>
          <w:tab w:val="left" w:pos="400"/>
        </w:tabs>
        <w:spacing w:after="30"/>
        <w:ind w:left="400" w:hanging="400"/>
        <w:jc w:val="left"/>
      </w:pPr>
      <w:r>
        <w:rPr>
          <w:rFonts w:ascii="Times New Roman" w:cs="Times New Roman" w:eastAsia="Times New Roman" w:hAnsi="Times New Roman"/>
          <w:sz w:val="16"/>
          <w:szCs w:val="16"/>
        </w:rPr>
        <w:t xml:space="preserve">[35]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G. W. Brier, “Verification of forecasts expressed in terms of probability,” </w:t>
      </w:r>
      <w:r>
        <w:rPr>
          <w:rFonts w:ascii="Times New Roman" w:cs="Times New Roman" w:eastAsia="Times New Roman" w:hAnsi="Times New Roman"/>
          <w:b w:val="false"/>
          <w:bCs w:val="false"/>
          <w:i/>
          <w:iCs/>
          <w:sz w:val="16"/>
          <w:szCs w:val="16"/>
        </w:rPr>
        <w:t xml:space="preserve">Mon. Weather Rev.</w:t>
      </w:r>
      <w:r>
        <w:rPr>
          <w:rFonts w:ascii="Times New Roman" w:cs="Times New Roman" w:eastAsia="Times New Roman" w:hAnsi="Times New Roman"/>
          <w:b w:val="false"/>
          <w:bCs w:val="false"/>
          <w:i w:val="false"/>
          <w:iCs w:val="false"/>
          <w:sz w:val="16"/>
          <w:szCs w:val="16"/>
        </w:rPr>
        <w:t xml:space="preserve">, vol. 78, no. 1, pp. 1–3, Jan. 1950, doi: 10.1175/1520-0493(1950)078&lt;0001:VOFEIT&gt;2.0.CO;2.</w:t>
      </w:r>
    </w:p>
    <w:sectPr>
      <w:footerReference w:type="default" r:id="rId7"/>
      <w:type w:val="continuous"/>
      <w:pgSz w:w="12240" w:h="15840" w:orient="portrait"/>
      <w:pgMar w:top="1080" w:right="900" w:bottom="1440" w:left="900" w:header="708" w:footer="72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76" w:hanging="288"/>
      </w:pPr>
      <w:rPr>
        <w:rFonts w:ascii="Times New Roman" w:cs="Times New Roman" w:eastAsia="Times New Roman" w:hAnsi="Times New Roman"/>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00" w:after="100"/>
      <w:jc w:val="center"/>
      <w:outlineLvl w:val="0"/>
    </w:pPr>
    <w:rPr>
      <w:rFonts w:ascii="Times New Roman" w:cs="Times New Roman" w:eastAsia="Times New Roman" w:hAnsi="Times New Roman"/>
      <w:b w:val="false"/>
      <w:bCs w:val="false"/>
      <w:smallCaps/>
      <w:color w:val="000000"/>
      <w:sz w:val="20"/>
      <w:szCs w:val="20"/>
    </w:rPr>
  </w:style>
  <w:style w:type="paragraph" w:styleId="Heading2">
    <w:name w:val="Heading 2"/>
    <w:basedOn w:val="Normal"/>
    <w:next w:val="Normal"/>
    <w:qFormat/>
    <w:pPr>
      <w:keepNext/>
      <w:spacing w:before="120" w:after="60"/>
      <w:outlineLvl w:val="1"/>
    </w:pPr>
    <w:rPr>
      <w:rFonts w:ascii="Times New Roman" w:cs="Times New Roman" w:eastAsia="Times New Roman" w:hAnsi="Times New Roman"/>
      <w:b w:val="false"/>
      <w:bCs w:val="false"/>
      <w:i/>
      <w:i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0cd99471310fc2c665846ada2694291f53a6d0ca.svg"/><Relationship Id="rId9" Type="http://schemas.openxmlformats.org/officeDocument/2006/relationships/image" Target="media/c1247e9018050859652f034255980214b711b256.png"/><Relationship Id="rId10" Type="http://schemas.openxmlformats.org/officeDocument/2006/relationships/image" Target="media/6e7f292ad9769d7b8304838620bb7fdf4b05ce3c.svg"/><Relationship Id="rId11" Type="http://schemas.openxmlformats.org/officeDocument/2006/relationships/image" Target="media/ac6a1a80b62effd4b46884ad3b2c8f033feeabb7.png"/><Relationship Id="rId12" Type="http://schemas.openxmlformats.org/officeDocument/2006/relationships/image" Target="media/e6a3c473c8c757e664e61eea7e26eb904051454c.svg"/><Relationship Id="rId13" Type="http://schemas.openxmlformats.org/officeDocument/2006/relationships/image" Target="media/9c803366ad5bd37a3218314bf78a2e1105f0ebf7.png"/><Relationship Id="rId14" Type="http://schemas.openxmlformats.org/officeDocument/2006/relationships/image" Target="media/a1c972eb2c01b1858ad47193ffce4a4826295a88.svg"/><Relationship Id="rId15" Type="http://schemas.openxmlformats.org/officeDocument/2006/relationships/image" Target="media/8bbd2549e8b1c58126d9522876bf5130cbb093b3.png"/><Relationship Id="rId16" Type="http://schemas.openxmlformats.org/officeDocument/2006/relationships/image" Target="media/ce5c00c5620664807203a074d3d9a3ff61f351e0.svg"/><Relationship Id="rId17" Type="http://schemas.openxmlformats.org/officeDocument/2006/relationships/image" Target="media/21a7d1562c0a1c79afa0d57334ecf9632082b1db.png"/><Relationship Id="rId18" Type="http://schemas.openxmlformats.org/officeDocument/2006/relationships/image" Target="media/300b25356b3420295f5020175241b1c201aa1e40.svg"/><Relationship Id="rId19" Type="http://schemas.openxmlformats.org/officeDocument/2006/relationships/image" Target="media/59ad47fc752d24a24422674efdd0e6d6650c8879.png"/><Relationship Id="rId20" Type="http://schemas.openxmlformats.org/officeDocument/2006/relationships/image" Target="media/e99267af53d5b2ad09c19c4aaa52de6a625c3fa3.svg"/><Relationship Id="rId21" Type="http://schemas.openxmlformats.org/officeDocument/2006/relationships/image" Target="media/65c3ff903977a15ee7ec2de3b6c33edbf6b4e603.png"/><Relationship Id="rId2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DentaMind AI: An Uncertainty-Aware Pipeline for Tooth Detection, FDI Numbering, Segmentation and Finding Classification on Panoramic Dental Radiographs</dc:title>
  <dc:creator>Nilesh Sonawane, Saurabh Mali, Sadhyoj Hanwate, Sachet Lothe</dc:creator>
  <cp:lastModifiedBy>Un-named</cp:lastModifiedBy>
  <cp:revision>1</cp:revision>
  <dcterms:created xsi:type="dcterms:W3CDTF">2026-10-25T14:27:08.024Z</dcterms:created>
  <dcterms:modified xsi:type="dcterms:W3CDTF">2026-10-25T14:27:08.024Z</dcterms:modified>
</cp:coreProperties>
</file>

<file path=docProps/custom.xml><?xml version="1.0" encoding="utf-8"?>
<Properties xmlns="http://schemas.openxmlformats.org/officeDocument/2006/custom-properties" xmlns:vt="http://schemas.openxmlformats.org/officeDocument/2006/docPropsVTypes"/>
</file>