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—Panoramic radiographs show the whole dentition in one image, but reading them tooth by tooth is slow, and published dental AI results are often hard to trace back to the data they came from. We describe DentaMind AI, a research prototype that detects teeth, assigns FDI numbers, segments tooth instances and names the closest of four DENTEX finding classes (Caries, Deep Caries, Impacted, Periapical Lesion) for each detected tooth. The pipeline uses standard torchvision models and routes uncertain regions to a human reviewer. On a held-out internal DENTEX test split of 63 radiographs, the tooth detector reached AP50 0.966, the instance segmenter mask AP50 0.974 with mean matched Dice 0.873, and the numbering model numbered 96.8 % of matched teeth correctly. The finding classifier, evaluated on ground-truth tooth crops of 73 test radiographs, reached accuracy 0.785 and macro-F1 0.646, with recall of only 0.308 for Periapical Lesion. An end-to-end validation study showed that replacing ground-truth boxes with detector boxes lowers macro-F1 from 0.718 to 0.634. An entropy rule flagged 54.2 % of test crops, and those flagged crops contained 86.8 % of the classifier’s errors. Temperature scaling lowered test ECE from 0.048 to 0.036 but is not applied in the application. Four attempts to improve the classifier, each with acceptance criteria fixed before the results were known, failed those criteria, and uncertainty-based active learning did not outperform random selection. DENTEX has no patient identifiers, so patient-level leakage cannot be excluded. The system has not been clinically validated and does not make diagnoses.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captures both dental arches, the supporting bone and the jaw joints in a single exposure. That breadth makes it a common first image in dental practice, and it also makes the image dense: a reader has to locate every tooth, assign it a number and look for findings such as caries, impaction or periapical lesions. Deep learning has been applied to each of these steps, from tooth detection and numbering [1]–[3] to the detection of specific findings [4]–[6]. The public DENTEX benchmark made it possible to study enumeration and diagnosis together on panoramic X-rays [7],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problems remain easy to overlook. First, results are usually reported for one task in isolation, for example a classifier scored on ideal, hand-drawn tooth boxes. In a working system, however, the classifier sees boxes produced by a detector, and errors from each stage compound. Second, evaluation details that decide whether a number can be trusted—how the data were split, whether test images were reused, and whether duplicate radiographs crossed splits—are rarely reported. Leakage of this kind is a known source of over-optimistic results in machine-learning research [9].</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paper describes DentaMind AI, a research prototype built on DENTEX. It chains a tooth detector, an FDI numbering model, an instance segmenter and a finding classifier, attaches uncertainty signals to every region and sends uncertain regions to human review. We report every evaluation recorded in the project repository, including results that are negative or unfavorable to the system. Every number in this paper is copied from a named evaluation report. The system is not a diagnostic device and has not been clinically validated.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Section VIII defines the evaluation, and Sections IX–XI report results, error analysis and uncertainty. Sections XII–XV cover the implementation,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recent studies close to this work.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and Peker and Kurtoglu [2] detect and number teeth on panoramic radiographs; the latter uses a YOLOv10 model on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examine how missing teeth affect deep-learning tooth numbering, a failure mode that also appears in our per-tooth results.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[10] combine tooth numbering and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review the evidence on AI for caries detection in an umbrella review.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[11] benchmark U-Net variants for tooth segmentation and relate accuracy to computational cost.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[7] and a diffusion-based hierarchical detector for its enumeration-and-diagnosis task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Outside dentistry, selective classification lets a model withhold a prediction when it is uncertain [12], and abstention based on uncertainty has recently been studied for medical diagnosis [13]. Test-time augmentation provides a cheap uncertainty estimate for a single network [14]. Post-hoc calibration such as temperature scaling [15] and its standard measure, the expected calibration error (ECE) [16], are widely used. Active learning aims to reduce labeling effort in medical imaging [17].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[18], Mask R-CNN [19] with a ResNet-50 [20] feature pyramid [21],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[7],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[22].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[18] with a ResNet-50 feature pyramid [20], [21] and a single foreground class, “tooth”. Detections with score ≥ 0.3 are kept. The detector does not number teeth. Instance segmentation uses Mask R-CNN [19]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3627120"/>
            <wp:effectExtent t="0" r="0" b="0" l="0"/>
            <wp:docPr id="1" name="fig1_architecture" descr="Overall DentaMind AI architecture as implemented. Detection feeds numbering assignment and finding classification; segmentation masks are matched to detector boxes. Uncertainty signals become review flags before the final result, report and human review."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362712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Overall DentaMind AI architecture as implemented. Detection feeds numbering assignment and finding classification; segmentation masks are matched to detector boxes. Uncertainty signals become review flags before the final result, report and human review.</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[22].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2695956"/>
            <wp:effectExtent t="0" r="0" b="0" l="0"/>
            <wp:docPr id="1" name="fig2_workflow" descr="End-to-end processing workflow of PipelineService.run() (backend/services/pipeline.p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2695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of PipelineService.run() (backend/services/pipeline.py).</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[23]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668268"/>
            <wp:effectExtent t="0" r="0" b="0" l="0"/>
            <wp:docPr id="1" name="fig3_detection_numbering_segmentation" descr="(a) Relationship between tooth detection, FDI number assignment and segmentation as implemented. (b) Genuine application output (UI audit, 2026-10-14) on val_12.png, an unlabeled DENTEX validation_data radiograph with no ground truth: teal labels are model numbers, “41?” is a number marked for review, and “R2/R6/R7/R26” are detected regions without a number. The application reported 32 regions, 27 with a number, 30 with a mask and 26 recommended for review."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66826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Relationship between tooth detection, FDI number assignment and segmentation as implemented. (b) Genuine application output (UI audit, 2026-10-14) on val_12.png, an unlabeled DENTEX validation_data radiograph with no ground truth: teal labels are model numbers, “41?” is a number marked for review, and “R2/R6/R7/R26” are detected regions without a number. The application reported 32 regions, 27 with a number, 30 with a mask and 26 recommended for review.</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[24]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[14]:</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1487424"/>
            <wp:effectExtent t="0" r="0" b="0" l="0"/>
            <wp:docPr id="1" name="fig4_classification" descr="Finding-classification workflow (inference.torch_models.classify_regions, training.trainers.crop_region) with training-crop counts and class weights from the checkpoint sideca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148742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(inference.torch_models.classify_regions, training.trainers.crop_region) with training-crop counts and class weights from the checkpoint sidecar.</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[25],</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keepNext/>
        <w:spacing w:before="120" w:after="60"/>
        <w:jc w:val="center"/>
      </w:pPr>
      <w:r>
        <w:drawing>
          <wp:inline distT="0" distB="0" distL="0" distR="0">
            <wp:extent cx="3154680" cy="2441448"/>
            <wp:effectExtent t="0" r="0" b="0" l="0"/>
            <wp:docPr id="1" name="fig5_uncertainty_review" descr="Uncertainty-aware review workflow. Upper part: behavior deployed in the application (pipeline.py, final_result.py, reviews.py). Lower dashed part: evaluated offline only and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44144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workflow. Upper part: behavior deployed in the application (pipeline.py, final_result.py, reviews.py). Lower dashed part: evaluated offline only and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[26] and the classifier from ImageNet weights [23];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[16],</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[27],</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[15]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[12],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2862072"/>
            <wp:effectExtent t="0" r="0" b="0" l="0"/>
            <wp:docPr id="1" name="fig6_dataset_splits" descr="Dataset, splitting and leakage-check protocol as implemented (src/dentexmodel/data/splits.py, configs/data.yaml, Data/reports/leakage_check.md). Split counts are distinct labeled radiograph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2862072"/>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leakage-check protocol as implemented (src/dentexmodel/data/splits.py, configs/data.yaml, Data/reports/leakage_check.md). Split counts are distinct labeled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738884"/>
            <wp:effectExtent t="0" r="0" b="0" l="0"/>
            <wp:docPr id="1" name="fig7_evaluation_framework" descr="Experimental evaluation framework: each implemented task or study, its metrics and the splits it was evaluated on (scripts/evaluate_*.py and the reports in Data/report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73888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implemented task or study, its metrics and the splits it was evaluated on (scripts/evaluate_*.py and the reports in Data/reports/).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example of Fig. 3b, 26 of 32 regions were recommended for review. This matches the high flag rate of Table XI and shows that the present thresholds shift a large share of the work to the reviewer.</w:t>
      </w:r>
    </w:p>
    <w:p>
      <w:pPr>
        <w:pStyle w:val="Heading1"/>
      </w:pPr>
      <w:r>
        <w:rPr>
          <w:rFonts w:ascii="Times New Roman" w:cs="Times New Roman" w:eastAsia="Times New Roman" w:hAnsi="Times New Roman"/>
          <w:b w:val="false"/>
          <w:bCs w:val="false"/>
          <w:i w:val="false"/>
          <w:iCs w:val="false"/>
        </w:rPr>
        <w:t xml:space="preserve">XII. End-to-End System Implementation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[17].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UI audit of Fig. 3b,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[9].</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and their license terms must be followed for any reuse, including the example in Fig. 3b.</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shows that standard detectors reach high tooth-localization quality on DENTEX: test AP50 0.966 for detection, mask AP50 0.974 for segmentation, and 96.8 % exact FDI numbering among matched teeth. Finding classification is the weak link. Macro-F1 is 0.646 on ground-truth test crops and falls further, to 0.634 on validation, when detector boxes are used. Deep Caries and Periapical Lesion are poorly recognized. Uncertainty flags capture most classifier errors but route more than half of the regions to review. Four controlled attempts to improve the classifier did not meet their pre-set criteria, and active learning did not beat random selection. We report these negative results because they bound what the system can currently claim.</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The manuscript text was drafted with the assistance of an AI writing tool (Claude, Anthropic) from the project’s own code and evaluation reports, and every reported number was reconciled against those reports.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dd1347137a42d58ba9811f570ecab94420322770.svg"/><Relationship Id="rId9" Type="http://schemas.openxmlformats.org/officeDocument/2006/relationships/image" Target="media/ba96c58ad9050930141f78aa4ee5fff80794b158.png"/><Relationship Id="rId10" Type="http://schemas.openxmlformats.org/officeDocument/2006/relationships/image" Target="media/73fa55cd8f85bbf9a8e884a67acf4b2c4b7e096f.svg"/><Relationship Id="rId11" Type="http://schemas.openxmlformats.org/officeDocument/2006/relationships/image" Target="media/0063ae418805f23f20352e0498ac5d86e6a13158.png"/><Relationship Id="rId12" Type="http://schemas.openxmlformats.org/officeDocument/2006/relationships/image" Target="media/6cb735a9e78a77c391ccd48728fcbdb7268fb4d0.svg"/><Relationship Id="rId13" Type="http://schemas.openxmlformats.org/officeDocument/2006/relationships/image" Target="media/03542f74bf7b19b44185148b6f0ccbde1836c44e.png"/><Relationship Id="rId14" Type="http://schemas.openxmlformats.org/officeDocument/2006/relationships/image" Target="media/0e2bb1b3f6edae8831320043abe9bd0b76d9f3ec.svg"/><Relationship Id="rId15" Type="http://schemas.openxmlformats.org/officeDocument/2006/relationships/image" Target="media/99e276c6357a6b16133398e6a11987901fbf166e.png"/><Relationship Id="rId16" Type="http://schemas.openxmlformats.org/officeDocument/2006/relationships/image" Target="media/3beb9018123dd5428c016720bf3be256ef370215.svg"/><Relationship Id="rId17" Type="http://schemas.openxmlformats.org/officeDocument/2006/relationships/image" Target="media/899db9d5130df4b279db3e5a78e07f8cbfa4d0d7.png"/><Relationship Id="rId18" Type="http://schemas.openxmlformats.org/officeDocument/2006/relationships/image" Target="media/8ee3bf6c2b9521c3c04b48a850653ac12fc0887b.svg"/><Relationship Id="rId19" Type="http://schemas.openxmlformats.org/officeDocument/2006/relationships/image" Target="media/86b0bc2e77b04dc552fb550d73678695f7f8cb14.png"/><Relationship Id="rId20" Type="http://schemas.openxmlformats.org/officeDocument/2006/relationships/image" Target="media/3db9eaa8e619cc72e037aa221790c2a7b552b0a7.svg"/><Relationship Id="rId21" Type="http://schemas.openxmlformats.org/officeDocument/2006/relationships/image" Target="media/7e5ded7c748e7ab6770e95bc1418db3b9b6710ec.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2026-10-25T13:22:18.578Z</dcterms:created>
  <dcterms:modified xsi:type="dcterms:W3CDTF">2026-10-25T13:22:18.579Z</dcterms:modified>
</cp:coreProperties>
</file>

<file path=docProps/custom.xml><?xml version="1.0" encoding="utf-8"?>
<Properties xmlns="http://schemas.openxmlformats.org/officeDocument/2006/custom-properties" xmlns:vt="http://schemas.openxmlformats.org/officeDocument/2006/docPropsVTypes"/>
</file>