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i w:val="false"/>
          <w:iCs w:val="false"/>
          <w:sz w:val="44"/>
          <w:szCs w:val="44"/>
        </w:rPr>
        <w:t xml:space="preserve">DentaMind AI: An Uncertainty-Aware Pipeline for Tooth Detection, FDI Numbering, Segmentation and Finding Classification on Panoramic Dental Radiographs</w:t>
      </w:r>
    </w:p>
    <w:p>
      <w:pPr>
        <w:spacing w:after="40"/>
        <w:jc w:val="center"/>
      </w:pPr>
      <w:r>
        <w:rPr>
          <w:rFonts w:ascii="Times New Roman" w:cs="Times New Roman" w:eastAsia="Times New Roman" w:hAnsi="Times New Roman"/>
          <w:b w:val="false"/>
          <w:bCs w:val="false"/>
          <w:i w:val="false"/>
          <w:iCs w:val="false"/>
          <w:sz w:val="22"/>
          <w:szCs w:val="22"/>
        </w:rPr>
        <w:t xml:space="preserve">Nilesh Sonawane, Saurabh Mali, Sadhyoj Hanwate, and Sachet Lothe</w:t>
      </w:r>
    </w:p>
    <w:p>
      <w:pPr>
        <w:spacing w:after="20"/>
        <w:jc w:val="center"/>
      </w:pPr>
      <w:r>
        <w:rPr>
          <w:rFonts w:ascii="Times New Roman" w:cs="Times New Roman" w:eastAsia="Times New Roman" w:hAnsi="Times New Roman"/>
          <w:b w:val="false"/>
          <w:bCs w:val="false"/>
          <w:i/>
          <w:iCs/>
          <w:sz w:val="20"/>
          <w:szCs w:val="20"/>
        </w:rPr>
        <w:t xml:space="preserve">Guide: Dr. Pradnya Narkhede</w:t>
      </w:r>
    </w:p>
    <w:p>
      <w:pPr>
        <w:spacing w:after="240"/>
        <w:jc w:val="center"/>
      </w:pPr>
      <w:r>
        <w:rPr>
          <w:rFonts w:ascii="Times New Roman" w:cs="Times New Roman" w:eastAsia="Times New Roman" w:hAnsi="Times New Roman"/>
          <w:b w:val="false"/>
          <w:bCs w:val="false"/>
          <w:i/>
          <w:iCs/>
          <w:sz w:val="20"/>
          <w:szCs w:val="20"/>
        </w:rPr>
        <w:t xml:space="preserve">Department of Computer Engineering, Pimpri Chinchwad College of Engineering (PCCOE), Pune, Maharashtra, India</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—Panoramic radiographs show the whole dentition in one image, but reading them tooth by tooth is slow, and published dental AI results are often hard to trace back to the data they came from. We describe DentaMind AI, a research prototype that detects teeth, assigns FDI numbers, segments tooth instances and names the closest of four DENTEX finding classes (Caries, Deep Caries, Impacted, Periapical Lesion) for each detected tooth. The pipeline uses standard torchvision models and routes uncertain regions to a human reviewer. On a held-out internal DENTEX test split of 63 radiographs, the tooth detector reached AP50 0.966, the instance segmenter mask AP50 0.974 with mean matched Dice 0.873, and the numbering model numbered 96.8 % of matched teeth correctly. The finding classifier, evaluated on ground-truth tooth crops of 73 test radiographs, reached accuracy 0.785 and macro-F1 0.646, with recall of only 0.308 for Periapical Lesion. An end-to-end validation study showed that replacing ground-truth boxes with detector boxes lowers macro-F1 from 0.718 to 0.634. An entropy rule flagged 54.2 % of test crops, and those flagged crops contained 86.8 % of the classifier’s errors. Temperature scaling lowered test ECE from 0.048 to 0.036 but is not applied in the application. Four attempts to improve the classifier, each with acceptance criteria fixed before the results were known, failed those criteria, and uncertainty-based active learning did not outperform random selection. DENTEX has no patient identifiers, so patient-level leakage cannot be excluded. The system has not been clinically validated and does not make diagnoses.</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—Dental panoramic radiography, DENTEX, tooth detection, FDI tooth numbering, instance segmentation, finding classification, uncertainty estimation, calibration, selective prediction, human review, data leakage, reproducibility.</w:t>
      </w:r>
    </w:p>
    <w:p>
      <w:pPr>
        <w:sectPr>
          <w:footerReference w:type="default" r:id="rId6"/>
          <w:pgSz w:w="12240" w:h="15840" w:orient="portrait"/>
          <w:pgMar w:top="1080" w:right="900" w:bottom="1440" w:left="900" w:header="708" w:footer="720" w:gutter="0"/>
          <w:pgNumType/>
          <w:docGrid w:linePitch="360"/>
        </w:sectPr>
      </w:pPr>
    </w:p>
    <w:p>
      <w:pPr>
        <w:pStyle w:val="Heading1"/>
      </w:pPr>
      <w:r>
        <w:rPr>
          <w:rFonts w:ascii="Times New Roman" w:cs="Times New Roman" w:eastAsia="Times New Roman" w:hAnsi="Times New Roman"/>
          <w:b w:val="false"/>
          <w:bCs w:val="false"/>
          <w:i w:val="false"/>
          <w:iCs w:val="false"/>
        </w:rPr>
        <w:t xml:space="preserve">I. Introduction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panoramic radiograph captures both dental arches, the supporting bone and the jaw joints in a single exposure. That breadth makes it a common first image in dental practice, and it also makes the image dense: a reader has to locate every tooth, assign it a number and look for findings such as caries, impaction or periapical lesions. Deep learning has been applied to each of these steps, from tooth detection and numbering [1]–[3] to the detection of specific findings [4]–[6]. The public DENTEX benchmark made it possible to study enumeration and diagnosis together on panoramic X-rays [7], [8].</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problems remain easy to overlook. First, results are usually reported for one task in isolation, for example a classifier scored on ideal, hand-drawn tooth boxes. In a working system, however, the classifier sees boxes produced by a detector, and errors from each stage compound. Second, evaluation details that decide whether a number can be trusted—how the data were split, whether test images were reused, and whether duplicate radiographs crossed splits—are rarely reported. Leakage of this kind is a known source of over-optimistic results in machine-learning research [9].</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This paper describes DentaMind AI, a research prototype built on DENTEX. It chains a tooth detector, an FDI numbering model, an instance segmenter and a finding classifier, attaches uncertainty signals to every region and sends uncertain regions to human review. We report every evaluation recorded in the project repository, including results that are negative or unfavorable to the system. Every number in this paper is copied from a named evaluation report. The system is not a diagnostic device and has not been clinically validated.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gives an overview of the system and Fig. 2 its processing workflow. Figs. 3, 4 and 5 detail the numbering, classification and review stages, Fig. 6 the data protocol and Fig. 7 the evaluation framework. Section II reviews related work and Section III states the contributions. Sections IV–VII describe the data, architecture, methods and training. Section VIII defines the evaluation, and Sections IX–XI report results, error analysis and uncertainty. Sections XII–XV cover the implementation, data integrity, limitations and future work.</w:t>
      </w:r>
    </w:p>
    <w:p>
      <w:pPr>
        <w:pStyle w:val="Heading1"/>
      </w:pPr>
      <w:r>
        <w:rPr>
          <w:rFonts w:ascii="Times New Roman" w:cs="Times New Roman" w:eastAsia="Times New Roman" w:hAnsi="Times New Roman"/>
          <w:b w:val="false"/>
          <w:bCs w:val="false"/>
          <w:i w:val="false"/>
          <w:iCs w:val="false"/>
        </w:rPr>
        <w:t xml:space="preserve">II. Related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 summarizes recent studies close to this work. Putra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 and Peker and Kurtoglu [2] detect and number teeth on panoramic radiographs; the latter uses a YOLOv10 model on 200 pediatric patients in the mixed dentition. Tang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 examine how missing teeth affect deep-learning tooth numbering, a failure mode that also appears in our per-tooth results. Ayhan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[10] combine tooth numbering and caries detection, but on bitewing rather than panoramic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For findings, Szabó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[4] evaluate a commercial system for periapical lesion detection on 616 teeth from 357 panoramic radiographs, and Raeisi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[5] study multi-label diagnosis of dental conditions on panoramic X-rays with attention-enhanced networks. Bittar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[6] review the evidence on AI for caries detection in an umbrella review. Yalım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[11] benchmark U-Net variants for tooth segmentation and relate accuracy to computational cost. Hamamci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introduced the DENTEX benchmark [7] and a diffusion-based hierarchical detector for its enumeration-and-diagnosis task [8].</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Outside dentistry, selective classification lets a model withhold a prediction when it is uncertain [12], and abstention based on uncertainty has recently been studied for medical diagnosis [13]. Test-time augmentation provides a cheap uncertainty estimate for a single network [14]. Post-hoc calibration such as temperature scaling [15] and its standard measure, the expected calibration error (ECE) [16], are widely used. Active learning aims to reduce labeling effort in medical imaging [17]. We use these ideas as tools and measure how much they help on DENTEX; we do not propose new methods for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Recent Studies Related to This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40"/>
        <w:gridCol w:w="1950"/>
        <w:gridCol w:w="1850"/>
      </w:tblGrid>
      <w:tr>
        <w:trPr>
          <w:cantSplit/>
          <w:tblHeader/>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Study</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Task and data</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Relation to this work</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Putra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Permanent-tooth detection and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tasks; we add end-to-end and uncertainty evaluation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Peker, Kurtoglu [2]</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YOLOv10 detection and numbering, mixed dentition (200 patients)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Numbering task; our data are adult DENTEX films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Effect of missing teeth on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Explains a failure mode seen in our per-tooth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Ayhan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[10]</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Tooth numbering and caries detection, bitewing</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Combined numbering and finding task, different modality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Szabó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Commercial system, periapical lesions, 357 panoramics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Our weakest class is Periapical Lesion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Raeisi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[5]</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Multi-label dental conditions,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Our classifier is single-label (Section X)</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Yalım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U-Net tooth segmentation, accuracy vs. cost</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We use Mask R-CNN instances and report latency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Bittar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[6]</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Umbrella review, AI caries detection</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Context for caries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Hamamci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[7], [8]</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DENTEX benchmark; hierarchical diffusion detector</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Source of our data and finding taxonomy</w:t>
            </w:r>
          </w:p>
        </w:tc>
      </w:tr>
    </w:tbl>
    <w:p>
      <w:pPr>
        <w:spacing w:after="60"/>
      </w:pPr>
    </w:p>
    <w:p>
      <w:pPr>
        <w:pStyle w:val="Heading1"/>
      </w:pPr>
      <w:r>
        <w:rPr>
          <w:rFonts w:ascii="Times New Roman" w:cs="Times New Roman" w:eastAsia="Times New Roman" w:hAnsi="Times New Roman"/>
          <w:b w:val="false"/>
          <w:bCs w:val="false"/>
          <w:i w:val="false"/>
          <w:iCs w:val="false"/>
        </w:rPr>
        <w:t xml:space="preserve">III. Research Gap and Contributions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models we use—Faster R-CNN [18], Mask R-CNN [19] with a ResNet-50 [20] feature pyramid [21], and a ResNet-50 classifier—are standard, and we do not claim any architectural novelty. The gap we address is evidence: what a complete panoramic-radiograph pipeline achieves when every stage is measured on the same held-out data, how the stages interact, and whether common uncertainty and data-efficiency techniques actually help. Our contributions are:</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integrated, open pipeline that links detection, FDI numbering, segmentation and finding classification region by region through IoU matching, never by list position;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end-to-end validation study that measures how detector boxes, rather than ground-truth boxes, change finding classification, with the sources of the gap broken down;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evaluation of uncertainty-based review routing, calibration and abstention rules with thresholds fixed on a separate calibration split, including the rules that failed;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four controlled attempts to improve the finding classifier (class-imbalance methods, crop jitter, a training-recipe comparison and a cloud re-run) with acceptance criteria fixed before the results were known, plus an active-learning study; all were negative; and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auditable data protocol: pixel-hash grouped splits, leakage checks, and a hash-chained test-set ledger that records every use of the test split.</w:t>
      </w:r>
    </w:p>
    <w:p>
      <w:pPr>
        <w:pStyle w:val="Heading1"/>
      </w:pPr>
      <w:r>
        <w:rPr>
          <w:rFonts w:ascii="Times New Roman" w:cs="Times New Roman" w:eastAsia="Times New Roman" w:hAnsi="Times New Roman"/>
          <w:b w:val="false"/>
          <w:bCs w:val="false"/>
          <w:i w:val="false"/>
          <w:iCs w:val="false"/>
        </w:rPr>
        <w:t xml:space="preserve">IV. Dataset and Data Preparation</w:t>
      </w:r>
    </w:p>
    <w:p>
      <w:pPr>
        <w:pStyle w:val="Heading2"/>
      </w:pPr>
      <w:r>
        <w:rPr>
          <w:rFonts w:ascii="Times New Roman" w:cs="Times New Roman" w:eastAsia="Times New Roman" w:hAnsi="Times New Roman"/>
          <w:b w:val="false"/>
          <w:bCs w:val="false"/>
          <w:i w:val="false"/>
          <w:iCs w:val="false"/>
        </w:rPr>
        <w:t xml:space="preserve">A. DENTEX Sub-Sets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We use the DENTEX panoramic radiographs [7], which come from three institutions and several scanners. Table II lists the sub-sets found on disk, as measured by the project’s dataset audit. The </w:t>
      </w:r>
      <w:r>
        <w:rPr>
          <w:rFonts w:ascii="Times New Roman" w:cs="Times New Roman" w:eastAsia="Times New Roman" w:hAnsi="Times New Roman"/>
          <w:b w:val="false"/>
          <w:bCs w:val="false"/>
          <w:i/>
          <w:iCs/>
          <w:sz w:val="20"/>
          <w:szCs w:val="20"/>
        </w:rPr>
        <w:t xml:space="preserve">quadrant</w:t>
      </w:r>
      <w:r>
        <w:rPr>
          <w:rFonts w:ascii="Times New Roman" w:cs="Times New Roman" w:eastAsia="Times New Roman" w:hAnsi="Times New Roman"/>
          <w:b w:val="false"/>
          <w:bCs w:val="false"/>
          <w:i w:val="false"/>
          <w:iCs w:val="false"/>
          <w:sz w:val="20"/>
          <w:szCs w:val="20"/>
        </w:rPr>
        <w:t xml:space="preserve"> sub-set labels quadrants. The </w:t>
      </w:r>
      <w:r>
        <w:rPr>
          <w:rFonts w:ascii="Times New Roman" w:cs="Times New Roman" w:eastAsia="Times New Roman" w:hAnsi="Times New Roman"/>
          <w:b w:val="false"/>
          <w:bCs w:val="false"/>
          <w:i/>
          <w:iCs/>
          <w:sz w:val="20"/>
          <w:szCs w:val="20"/>
        </w:rPr>
        <w:t xml:space="preserve">quadrant-enumeration</w:t>
      </w:r>
      <w:r>
        <w:rPr>
          <w:rFonts w:ascii="Times New Roman" w:cs="Times New Roman" w:eastAsia="Times New Roman" w:hAnsi="Times New Roman"/>
          <w:b w:val="false"/>
          <w:bCs w:val="false"/>
          <w:i w:val="false"/>
          <w:iCs w:val="false"/>
          <w:sz w:val="20"/>
          <w:szCs w:val="20"/>
        </w:rPr>
        <w:t xml:space="preserve"> sub-set labels every tooth with its quadrant and tooth index, which together give the two-digit FDI code [22]. The </w:t>
      </w:r>
      <w:r>
        <w:rPr>
          <w:rFonts w:ascii="Times New Roman" w:cs="Times New Roman" w:eastAsia="Times New Roman" w:hAnsi="Times New Roman"/>
          <w:b w:val="false"/>
          <w:bCs w:val="false"/>
          <w:i/>
          <w:iCs/>
          <w:sz w:val="20"/>
          <w:szCs w:val="20"/>
        </w:rPr>
        <w:t xml:space="preserve">quadrant-enumeration-disease</w:t>
      </w:r>
      <w:r>
        <w:rPr>
          <w:rFonts w:ascii="Times New Roman" w:cs="Times New Roman" w:eastAsia="Times New Roman" w:hAnsi="Times New Roman"/>
          <w:b w:val="false"/>
          <w:bCs w:val="false"/>
          <w:i w:val="false"/>
          <w:iCs w:val="false"/>
          <w:sz w:val="20"/>
          <w:szCs w:val="20"/>
        </w:rPr>
        <w:t xml:space="preserve"> sub-set labels only teeth that carry one of four findings. All annotations include both boxes and polygon masks.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DENTEX Sub-Sets Present in the Project (Dataset Audit, 2026-10-14)</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900"/>
        <w:gridCol w:w="1840"/>
      </w:tblGrid>
      <w:tr>
        <w:trPr>
          <w:cantSplit/>
          <w:tblHeader/>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Images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Annotations</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Use</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2,772</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not used by the current models</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18,095</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quadrant-enumeration-disease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3,529</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 classification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unlabelled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active-learning pool</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validation_data (unlabeled)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inference demonstration only</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All files on disk</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3,653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2,716 distinct radiographs by pixels</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Data/reports/dataset_audit.md. Annotated entries total 2,005 but contain only 1,133 distinct radiographs, because the sub-sets reuse the same films under different file names. In the disease sub-set, 27 images have no annotation.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sub-sets overlap heavily. The 3,653 files contain only 2,716 distinct radiographs, and the 2,005 annotated entries only 1,133. For example, 235 radiographs appear in all three annotated sub-sets, sometimes under different file names. Image counts quoted for DENTEX therefore count entries, not independent patients.</w:t>
      </w:r>
    </w:p>
    <w:p>
      <w:pPr>
        <w:pStyle w:val="Heading2"/>
      </w:pPr>
      <w:r>
        <w:rPr>
          <w:rFonts w:ascii="Times New Roman" w:cs="Times New Roman" w:eastAsia="Times New Roman" w:hAnsi="Times New Roman"/>
          <w:b w:val="false"/>
          <w:bCs w:val="false"/>
          <w:i w:val="false"/>
          <w:iCs w:val="false"/>
        </w:rPr>
        <w:t xml:space="preserve">B. Finding Taxonomy and Excluded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disease sub-set contains 2,189 Caries, 578 Deep Caries, 604 Impacted and 158 Periapical Lesion annotations. There is no “healthy” label: a tooth without a finding is simply not annotated. The official DENTEX test release uses a Turkish, treatment-oriented label set (for example “1-çürük” and “3-kanal”). The project found no verified equivalence between those labels and the four English finding classes. On the one radiograph shared between the two releases, the English labels contradicted the mapping. The official test set is therefore excluded from every evaluation in this paper. The project also found that 95 of the 250 official test images are byte-identical to radiographs in DENTEX’s own training sub-sets. The 50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are used only to demonstrate inference; 20 of them duplicate labeled radiographs.</w:t>
      </w:r>
    </w:p>
    <w:p>
      <w:pPr>
        <w:pStyle w:val="Heading2"/>
      </w:pPr>
      <w:r>
        <w:rPr>
          <w:rFonts w:ascii="Times New Roman" w:cs="Times New Roman" w:eastAsia="Times New Roman" w:hAnsi="Times New Roman"/>
          <w:b w:val="false"/>
          <w:bCs w:val="false"/>
          <w:i w:val="false"/>
          <w:iCs w:val="false"/>
        </w:rPr>
        <w:t xml:space="preserve">C. Splitting Procedure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radiograph is identified by the SHA-256 hash of its pixels, so identical copies across sub-sets form one group and always share a split. Groups are assigned with seed 42 to train, validation, calibration and test splits in proportions 0.70/0.10/0.10/0.10. The split file is append-only: images that already have a split never move. Fig. 6 summarizes the procedure, and Table III gives the resulting counts per task. Each split has a fixed role. Train is used to fit weights. Validation selects the training epoch and provides the reported validation metrics. Calibration fits thresholds and the temperature. Test is reserved for final metrics.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Split Statistics per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650"/>
        <w:gridCol w:w="650"/>
        <w:gridCol w:w="650"/>
        <w:gridCol w:w="6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Task (sub-set)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Train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440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tooth boxes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2,000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64</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1,550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Deep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Impacted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412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Findings: Periapical Lesion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dataset_audit.md, eval_*.json and reports/training_summary.md. Finding counts are ground-truth finding boxes (crops). The training imbalance between Caries and Periapical Lesion is 12.9 : 1. Calibration finding count: 324 crops.</w:t>
      </w:r>
    </w:p>
    <w:p>
      <w:pPr>
        <w:pStyle w:val="Heading1"/>
      </w:pPr>
      <w:r>
        <w:rPr>
          <w:rFonts w:ascii="Times New Roman" w:cs="Times New Roman" w:eastAsia="Times New Roman" w:hAnsi="Times New Roman"/>
          <w:b w:val="false"/>
          <w:bCs w:val="false"/>
          <w:i w:val="false"/>
          <w:iCs w:val="false"/>
        </w:rPr>
        <w:t xml:space="preserve">V. System Architecture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shows the implemented system. A FastAPI back end runs the full-analysis pipeline. A SQLite store keeps images, analyses, reviews and reports, and a React front end displays them. The original upload is never modified. Models receive the RGB image as floating-point values in [0, 1] at full resolution, and torchvision’s internal transform resizes it (shorter side 800 px, longer side at most 1,333 px). Grayscale contrast statistics are computed only to raise image-quality flags and never change the model input.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2 lists the ten pipeline steps in execution order. Each step is timed and records its status. A step whose model is missing is reported as “unavailable” and a crashed step as “failed”. Later steps that do not depend on it still run, and a missing signal is reported as unavailable rather than as zero. Regions carry a content-derived identifier (image, rounded box and model version), so a review stays attached to the region the reviewer actually saw.</w:t>
      </w:r>
    </w:p>
    <w:p>
      <w:pPr>
        <w:pStyle w:val="Heading1"/>
      </w:pPr>
      <w:r>
        <w:rPr>
          <w:rFonts w:ascii="Times New Roman" w:cs="Times New Roman" w:eastAsia="Times New Roman" w:hAnsi="Times New Roman"/>
          <w:b w:val="false"/>
          <w:bCs w:val="false"/>
          <w:i w:val="false"/>
          <w:iCs w:val="false"/>
        </w:rPr>
        <w:t xml:space="preserve">VI. Methodology</w:t>
      </w:r>
    </w:p>
    <w:p>
      <w:pPr>
        <w:pStyle w:val="Heading2"/>
      </w:pPr>
      <w:r>
        <w:rPr>
          <w:rFonts w:ascii="Times New Roman" w:cs="Times New Roman" w:eastAsia="Times New Roman" w:hAnsi="Times New Roman"/>
          <w:b w:val="false"/>
          <w:bCs w:val="false"/>
          <w:i w:val="false"/>
          <w:iCs w:val="false"/>
        </w:rPr>
        <w:t xml:space="preserve">A. Tooth Detection and Instance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Tooth detection uses Faster R-CNN [18] with a ResNet-50 feature pyramid [20], [21] and a single foreground class, “tooth”. Detections with score ≥ 0.3 are kept. The detector does not number teeth. Instance segmentation uses Mask R-CNN [19] trained on DENTEX’s polygon masks; boxes are never converted into masks. A mask instance and a detector box are linked by one-to-one greedy matching at intersection over union (IoU) ≥ 0.5:</w:t>
      </w:r>
    </w:p>
    <w:p>
      <w:pPr>
        <w:keepLines/>
        <w:tabs>
          <w:tab w:val="center" w:pos="2520"/>
          <w:tab w:val="right" w:pos="5040"/>
        </w:tabs>
        <w:spacing w:before="60" w:after="60"/>
      </w:pPr>
      <w:r>
        <w:rPr>
          <w:rFonts w:ascii="Times New Roman" w:cs="Times New Roman" w:eastAsia="Times New Roman" w:hAnsi="Times New Roman"/>
        </w:rPr>
        <w:tab/>
      </w:r>
      <m:oMath>
        <m:r>
          <m:rPr>
            <m:sty m:val="p"/>
          </m:rPr>
          <m:t>IoU</m:t>
        </m:r>
        <m:d>
          <m:dPr/>
          <m:e>
            <m:r>
              <m:t>A,B</m:t>
            </m:r>
          </m:e>
        </m:d>
        <m:r>
          <m:t>=</m:t>
        </m:r>
        <m:f>
          <m:num>
            <m:r>
              <m:t>|A∩B|</m:t>
            </m:r>
          </m:num>
          <m:den>
            <m:r>
              <m:t>|A∪B|</m:t>
            </m:r>
          </m:den>
        </m:f>
      </m:oMath>
      <w:r>
        <w:rPr>
          <w:rFonts w:ascii="Times New Roman" w:cs="Times New Roman" w:eastAsia="Times New Roman" w:hAnsi="Times New Roman"/>
          <w:sz w:val="20"/>
          <w:szCs w:val="20"/>
        </w:rPr>
        <w:tab/>
        <w:t xml:space="preserve">(1)</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are boxes or binary masks. Mask quality is also summarized by the Dice coefficient,</w:t>
      </w:r>
    </w:p>
    <w:p>
      <w:pPr>
        <w:keepLines/>
        <w:tabs>
          <w:tab w:val="center" w:pos="2520"/>
          <w:tab w:val="right" w:pos="5040"/>
        </w:tabs>
        <w:spacing w:before="60" w:after="60"/>
      </w:pPr>
      <w:r>
        <w:rPr>
          <w:rFonts w:ascii="Times New Roman" w:cs="Times New Roman" w:eastAsia="Times New Roman" w:hAnsi="Times New Roman"/>
        </w:rPr>
        <w:tab/>
      </w:r>
      <m:oMath>
        <m:r>
          <m:rPr>
            <m:sty m:val="p"/>
          </m:rPr>
          <m:t>Dice</m:t>
        </m:r>
        <m:d>
          <m:dPr/>
          <m:e>
            <m:r>
              <m:t>A,B</m:t>
            </m:r>
          </m:e>
        </m:d>
        <m:r>
          <m:t>=</m:t>
        </m:r>
        <m:f>
          <m:num>
            <m:r>
              <m:t>2|A∩B|</m:t>
            </m:r>
          </m:num>
          <m:den>
            <m:r>
              <m:t>|A|+|B|</m:t>
            </m:r>
          </m:den>
        </m:f>
      </m:oMath>
      <w:r>
        <w:rPr>
          <w:rFonts w:ascii="Times New Roman" w:cs="Times New Roman" w:eastAsia="Times New Roman" w:hAnsi="Times New Roman"/>
          <w:sz w:val="20"/>
          <w:szCs w:val="20"/>
        </w:rPr>
        <w:tab/>
        <w:t xml:space="preserve">(2)</w:t>
      </w:r>
    </w:p>
    <w:p>
      <w:pPr>
        <w:keepNext/>
        <w:spacing w:before="120" w:after="60"/>
        <w:jc w:val="center"/>
      </w:pPr>
      <w:r>
        <w:drawing>
          <wp:inline distT="0" distB="0" distL="0" distR="0">
            <wp:extent cx="3154680" cy="4219956"/>
            <wp:effectExtent t="0" r="0" b="0" l="0"/>
            <wp:docPr id="1" name="fig1_architecture" descr="Overall DentaMind AI architecture as implemented. Detection feeds numbering assignment and finding classification; segmentation masks are matched to detector boxes. Uncertainty signals become review flags before the final result, report and human review."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3154680" cy="421995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1.  Overall DentaMind AI architecture as implemented. Detection feeds numbering assignment and finding classification; segmentation masks are matched to detector boxes. Uncertainty signals become review flags before the final result, report and human review.</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Numbering uses a second Faster R-CNN with 32 foreground classes, one per permanent FDI code [22]. Faster R-CNN suppresses overlapping boxes only within a class, so one tooth can come back with several numbers. The raw output is therefore resolved: boxes below score 0.3 are dropped, class-agnostic non-maximum suppression at IoU 0.5 is applied, and the best box per FDI code is kept. Detector boxes are then visited in descending score order, and each takes the unused numbering box with the highest IoU if that IoU is at least 0.5 (Fig. 3a). A tooth without such a box stays “unassigned”: the system never guesses a number. A rule-based check then marks a number for review when it is duplicated, when its confidence is below 0.5, or when the box lies on the wrong side or arch for its quadrant. The panoramic convention used is that image-left is patient-right.</w:t>
      </w:r>
    </w:p>
    <w:p>
      <w:pPr>
        <w:keepNext/>
        <w:spacing w:before="120" w:after="60"/>
        <w:jc w:val="center"/>
      </w:pPr>
      <w:r>
        <w:drawing>
          <wp:inline distT="0" distB="0" distL="0" distR="0">
            <wp:extent cx="3154680" cy="2830068"/>
            <wp:effectExtent t="0" r="0" b="0" l="0"/>
            <wp:docPr id="1" name="fig2_workflow" descr="End-to-end processing workflow of PipelineService.run() (backend/services/pipeline.py)."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3154680" cy="283006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2.  End-to-end processing workflow of PipelineService.run() (backend/services/pipeline.py).</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tooth box is cropped with 10 % padding, resized to 224 × 224 pixels, normalized with ImageNet statistics [23] and classified by a ResNet-50 with a new four-way output layer (Fig. 4). The application crops detector boxes. The classifier evaluation crops ground-truth finding boxes, and Section X measures the difference. The softmax over Caries, Deep Caries, Impacted and Periapical Lesion is an answer to “which of these four does this crop most resemble”, not to “is this tooth diseased”, because the training data contain no healthy class. Training uses inverse-frequency class weights,</w:t>
      </w:r>
    </w:p>
    <w:p>
      <w:pPr>
        <w:keepLines/>
        <w:tabs>
          <w:tab w:val="center" w:pos="2520"/>
          <w:tab w:val="right" w:pos="5040"/>
        </w:tabs>
        <w:spacing w:before="60" w:after="60"/>
      </w:pPr>
      <w:r>
        <w:rPr>
          <w:rFonts w:ascii="Times New Roman" w:cs="Times New Roman" w:eastAsia="Times New Roman" w:hAnsi="Times New Roman"/>
        </w:rPr>
        <w:tab/>
      </w:r>
      <m:oMath>
        <m:sSub>
          <m:sSubPr/>
          <m:e>
            <m:r>
              <m:t>w</m:t>
            </m:r>
          </m:e>
          <m:sub>
            <m:r>
              <m:t>c</m:t>
            </m:r>
          </m:sub>
        </m:sSub>
        <m:r>
          <m:t>=</m:t>
        </m:r>
        <m:f>
          <m:num>
            <m:r>
              <m:t>N</m:t>
            </m:r>
          </m:num>
          <m:den>
            <m:r>
              <m:t>K</m:t>
            </m:r>
            <m:sSub>
              <m:sSubPr/>
              <m:e>
                <m:r>
                  <m:t>n</m:t>
                </m:r>
              </m:e>
              <m:sub>
                <m:r>
                  <m:t>c</m:t>
                </m:r>
              </m:sub>
            </m:sSub>
          </m:den>
        </m:f>
      </m:oMath>
      <w:r>
        <w:rPr>
          <w:rFonts w:ascii="Times New Roman" w:cs="Times New Roman" w:eastAsia="Times New Roman" w:hAnsi="Times New Roman"/>
          <w:sz w:val="20"/>
          <w:szCs w:val="20"/>
        </w:rPr>
        <w:tab/>
        <w:t xml:space="preserve">(3)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2,520 training crops,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is the class count. This gives weights 0.41, 1.44, 1.53 and 5.25 (Fig. 4).</w:t>
      </w:r>
    </w:p>
    <w:p>
      <w:pPr>
        <w:keepNext/>
        <w:spacing w:before="120" w:after="60"/>
        <w:jc w:val="center"/>
      </w:pPr>
      <w:r>
        <w:drawing>
          <wp:inline distT="0" distB="0" distL="0" distR="0">
            <wp:extent cx="3154680" cy="3421380"/>
            <wp:effectExtent t="0" r="0" b="0" l="0"/>
            <wp:docPr id="1" name="fig3_detection_numbering_segmentation" descr="(a) Relationship between tooth detection, FDI number assignment and segmentation as implemented. (b) FDI two-digit tooth notation (ISO 3950) used for the 32 numbering classes, drawn as the teeth appear on a panoramic radiograph: the patient’s right is on the image left, and molars are drawn wider."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3154680" cy="342138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3.  (a) Relationship between tooth detection, FDI number assignment and segmentation as implemented. (b) FDI two-digit tooth notation (ISO 3950) used for the 32 numbering classes, drawn as the teeth appear on a panoramic radiograph: the patient’s right is on the image left, and molars are drawn wider.</w:t>
      </w:r>
    </w:p>
    <w:p>
      <w:pPr>
        <w:pStyle w:val="Heading2"/>
      </w:pPr>
      <w:r>
        <w:rPr>
          <w:rFonts w:ascii="Times New Roman" w:cs="Times New Roman" w:eastAsia="Times New Roman" w:hAnsi="Times New Roman"/>
          <w:b w:val="false"/>
          <w:bCs w:val="false"/>
          <w:i w:val="false"/>
          <w:iCs w:val="false"/>
        </w:rPr>
        <w:t xml:space="preserve">D. Uncertainty Signals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All signals come from a single network; none is an ensemble or a Bayesian estimate. For a softmax vector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over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classes, the normalized entropy is</w:t>
      </w:r>
    </w:p>
    <w:p>
      <w:pPr>
        <w:keepLines/>
        <w:tabs>
          <w:tab w:val="center" w:pos="2520"/>
          <w:tab w:val="right" w:pos="5040"/>
        </w:tabs>
        <w:spacing w:before="60" w:after="60"/>
      </w:pPr>
      <w:r>
        <w:rPr>
          <w:rFonts w:ascii="Times New Roman" w:cs="Times New Roman" w:eastAsia="Times New Roman" w:hAnsi="Times New Roman"/>
        </w:rPr>
        <w:tab/>
      </w:r>
      <m:oMath>
        <m:r>
          <m:t>H</m:t>
        </m:r>
        <m:d>
          <m:dPr/>
          <m:e>
            <m:r>
              <m:t>p</m:t>
            </m:r>
          </m:e>
        </m:d>
        <m:r>
          <m:t>=−</m:t>
        </m:r>
        <m:f>
          <m:num>
            <m:nary>
              <m:naryPr>
                <m:chr m:val="∑"/>
                <m:limLoc m:val="undOvr"/>
                <m:supHide m:val="1"/>
              </m:naryPr>
              <m:sub>
                <m:r>
                  <m:t>k</m:t>
                </m:r>
              </m:sub>
              <m:sup/>
              <m:e>
                <m:sSub>
                  <m:sSubPr/>
                  <m:e>
                    <m:r>
                      <m:t>p</m:t>
                    </m:r>
                  </m:e>
                  <m:sub>
                    <m:r>
                      <m:t>k</m:t>
                    </m:r>
                  </m:sub>
                </m:sSub>
                <m:r>
                  <m:rPr>
                    <m:sty m:val="p"/>
                  </m:rPr>
                  <m:t> ln </m:t>
                </m:r>
                <m:sSub>
                  <m:sSubPr/>
                  <m:e>
                    <m:r>
                      <m:t>p</m:t>
                    </m:r>
                  </m:e>
                  <m:sub>
                    <m:r>
                      <m:t>k</m:t>
                    </m:r>
                  </m:sub>
                </m:sSub>
              </m:e>
            </m:nary>
          </m:num>
          <m:den>
            <m:r>
              <m:rPr>
                <m:sty m:val="p"/>
              </m:rPr>
              <m:t>ln </m:t>
            </m:r>
            <m:r>
              <m:t>K</m:t>
            </m:r>
          </m:den>
        </m:f>
      </m:oMath>
      <w:r>
        <w:rPr>
          <w:rFonts w:ascii="Times New Roman" w:cs="Times New Roman" w:eastAsia="Times New Roman" w:hAnsi="Times New Roman"/>
          <w:sz w:val="20"/>
          <w:szCs w:val="20"/>
        </w:rPr>
        <w:tab/>
        <w:t xml:space="preserve">(4)</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flip disagreement is the Jensen–Shannon divergence [24] between the prediction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on a crop and the prediction </w:t>
      </w:r>
      <w:r>
        <w:rPr>
          <w:rFonts w:ascii="Times New Roman" w:cs="Times New Roman" w:eastAsia="Times New Roman" w:hAnsi="Times New Roman"/>
          <w:b/>
          <w:bCs/>
          <w:i w:val="false"/>
          <w:iCs w:val="false"/>
          <w:sz w:val="20"/>
          <w:szCs w:val="20"/>
        </w:rPr>
        <w:t xml:space="preserve">q</w:t>
      </w:r>
      <w:r>
        <w:rPr>
          <w:rFonts w:ascii="Times New Roman" w:cs="Times New Roman" w:eastAsia="Times New Roman" w:hAnsi="Times New Roman"/>
          <w:b w:val="false"/>
          <w:bCs w:val="false"/>
          <w:i w:val="false"/>
          <w:iCs w:val="false"/>
          <w:sz w:val="20"/>
          <w:szCs w:val="20"/>
        </w:rPr>
        <w:t xml:space="preserve"> on its horizontal flip, a two-pass form of test-time augmentation [14]:</w:t>
      </w:r>
    </w:p>
    <w:p>
      <w:pPr>
        <w:keepLines/>
        <w:tabs>
          <w:tab w:val="center" w:pos="2520"/>
          <w:tab w:val="right" w:pos="5040"/>
        </w:tabs>
        <w:spacing w:before="60" w:after="60"/>
      </w:pPr>
      <w:r>
        <w:rPr>
          <w:rFonts w:ascii="Times New Roman" w:cs="Times New Roman" w:eastAsia="Times New Roman" w:hAnsi="Times New Roman"/>
        </w:rPr>
        <w:tab/>
      </w:r>
      <m:oMath>
        <m:r>
          <m:rPr>
            <m:sty m:val="p"/>
          </m:rPr>
          <m:t>JS</m:t>
        </m:r>
        <m:d>
          <m:dPr/>
          <m:e>
            <m:r>
              <m:t>p,q</m:t>
            </m:r>
          </m:e>
        </m:d>
        <m:r>
          <m:t>=</m:t>
        </m:r>
        <m:f>
          <m:num>
            <m:r>
              <m:t>H′</m:t>
            </m:r>
            <m:d>
              <m:dPr/>
              <m:e>
                <m:f>
                  <m:num>
                    <m:r>
                      <m:t>p+q</m:t>
                    </m:r>
                  </m:num>
                  <m:den>
                    <m:r>
                      <m:t>2</m:t>
                    </m:r>
                  </m:den>
                </m:f>
              </m:e>
            </m:d>
            <m:r>
              <m:t>−</m:t>
            </m:r>
            <m:f>
              <m:num>
                <m:r>
                  <m:t>H′</m:t>
                </m:r>
                <m:d>
                  <m:dPr/>
                  <m:e>
                    <m:r>
                      <m:t>p</m:t>
                    </m:r>
                  </m:e>
                </m:d>
                <m:r>
                  <m:t>+H′</m:t>
                </m:r>
                <m:d>
                  <m:dPr/>
                  <m:e>
                    <m:r>
                      <m:t>q</m:t>
                    </m:r>
                  </m:e>
                </m:d>
              </m:num>
              <m:den>
                <m:r>
                  <m:t>2</m:t>
                </m:r>
              </m:den>
            </m:f>
          </m:num>
          <m:den>
            <m:r>
              <m:rPr>
                <m:sty m:val="p"/>
              </m:rPr>
              <m:t>ln </m:t>
            </m:r>
            <m:r>
              <m:t>2</m:t>
            </m:r>
          </m:den>
        </m:f>
      </m:oMath>
      <w:r>
        <w:rPr>
          <w:rFonts w:ascii="Times New Roman" w:cs="Times New Roman" w:eastAsia="Times New Roman" w:hAnsi="Times New Roman"/>
          <w:sz w:val="20"/>
          <w:szCs w:val="20"/>
        </w:rPr>
        <w:tab/>
        <w:t xml:space="preserve">(5)</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 is the unnormalized entropy. Mask instability and detection instability are both 1 − IoU between an instance and its best match on the horizontally flipped image (flipped back); an instance with no counterpart counts as 1:</w:t>
      </w:r>
    </w:p>
    <w:p>
      <w:pPr>
        <w:keepLines/>
        <w:tabs>
          <w:tab w:val="center" w:pos="2520"/>
          <w:tab w:val="right" w:pos="5040"/>
        </w:tabs>
        <w:spacing w:before="60" w:after="60"/>
      </w:pPr>
      <w:r>
        <w:rPr>
          <w:rFonts w:ascii="Times New Roman" w:cs="Times New Roman" w:eastAsia="Times New Roman" w:hAnsi="Times New Roman"/>
        </w:rPr>
        <w:tab/>
      </w:r>
      <m:oMath>
        <m:sSub>
          <m:sSubPr/>
          <m:e>
            <m:r>
              <m:t>u</m:t>
            </m:r>
          </m:e>
          <m:sub>
            <m:r>
              <m:rPr>
                <m:sty m:val="p"/>
              </m:rPr>
              <m:t>mask</m:t>
            </m:r>
          </m:sub>
        </m:sSub>
        <m:r>
          <m:t>=1−</m:t>
        </m:r>
        <m:r>
          <m:rPr>
            <m:sty m:val="p"/>
          </m:rPr>
          <m:t>IoU</m:t>
        </m:r>
        <m:d>
          <m:dPr/>
          <m:e>
            <m:r>
              <m:t>m,</m:t>
            </m:r>
            <m:sSub>
              <m:sSubPr/>
              <m:e>
                <m:r>
                  <m:t>m̃</m:t>
                </m:r>
              </m:e>
              <m:sub>
                <m:r>
                  <m:rPr>
                    <m:sty m:val="p"/>
                  </m:rPr>
                  <m:t>flip</m:t>
                </m:r>
              </m:sub>
            </m:sSub>
          </m:e>
        </m:d>
      </m:oMath>
      <w:r>
        <w:rPr>
          <w:rFonts w:ascii="Times New Roman" w:cs="Times New Roman" w:eastAsia="Times New Roman" w:hAnsi="Times New Roman"/>
          <w:sz w:val="20"/>
          <w:szCs w:val="20"/>
        </w:rPr>
        <w:tab/>
        <w:t xml:space="preserve">(6)</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image-level combined score used to order the review queue is the weighted mean of the available signals,</w:t>
      </w:r>
    </w:p>
    <w:p>
      <w:pPr>
        <w:keepLines/>
        <w:tabs>
          <w:tab w:val="center" w:pos="2520"/>
          <w:tab w:val="right" w:pos="5040"/>
        </w:tabs>
        <w:spacing w:before="60" w:after="60"/>
      </w:pPr>
      <w:r>
        <w:rPr>
          <w:rFonts w:ascii="Times New Roman" w:cs="Times New Roman" w:eastAsia="Times New Roman" w:hAnsi="Times New Roman"/>
        </w:rPr>
        <w:tab/>
      </w:r>
      <m:oMath>
        <m:r>
          <m:t>S=</m:t>
        </m:r>
        <m:f>
          <m:num>
            <m:nary>
              <m:naryPr>
                <m:chr m:val="∑"/>
                <m:limLoc m:val="undOvr"/>
                <m:supHide m:val="1"/>
              </m:naryPr>
              <m:sub>
                <m:r>
                  <m:t>j∈</m:t>
                </m:r>
                <m:r>
                  <m:rPr>
                    <m:sty m:val="p"/>
                  </m:rPr>
                  <m:t>avail</m:t>
                </m:r>
              </m:sub>
              <m:sup/>
              <m:e>
                <m:sSub>
                  <m:sSubPr/>
                  <m:e>
                    <m:r>
                      <m:t>α</m:t>
                    </m:r>
                  </m:e>
                  <m:sub>
                    <m:r>
                      <m:t>j</m:t>
                    </m:r>
                  </m:sub>
                </m:sSub>
                <m:sSub>
                  <m:sSubPr/>
                  <m:e>
                    <m:r>
                      <m:t>s</m:t>
                    </m:r>
                  </m:e>
                  <m:sub>
                    <m:r>
                      <m:t>j</m:t>
                    </m:r>
                  </m:sub>
                </m:sSub>
              </m:e>
            </m:nary>
          </m:num>
          <m:den>
            <m:nary>
              <m:naryPr>
                <m:chr m:val="∑"/>
                <m:limLoc m:val="undOvr"/>
                <m:supHide m:val="1"/>
              </m:naryPr>
              <m:sub>
                <m:r>
                  <m:t>j∈</m:t>
                </m:r>
                <m:r>
                  <m:rPr>
                    <m:sty m:val="p"/>
                  </m:rPr>
                  <m:t>avail</m:t>
                </m:r>
              </m:sub>
              <m:sup/>
              <m:e>
                <m:sSub>
                  <m:sSubPr/>
                  <m:e>
                    <m:r>
                      <m:t>α</m:t>
                    </m:r>
                  </m:e>
                  <m:sub>
                    <m:r>
                      <m:t>j</m:t>
                    </m:r>
                  </m:sub>
                </m:sSub>
              </m:e>
            </m:nary>
          </m:den>
        </m:f>
      </m:oMath>
      <w:r>
        <w:rPr>
          <w:rFonts w:ascii="Times New Roman" w:cs="Times New Roman" w:eastAsia="Times New Roman" w:hAnsi="Times New Roman"/>
          <w:sz w:val="20"/>
          <w:szCs w:val="20"/>
        </w:rPr>
        <w:tab/>
        <w:t xml:space="preserve">(7)</w:t>
      </w:r>
    </w:p>
    <w:p>
      <w:pPr>
        <w:spacing w:after="60"/>
        <w:ind w:firstLine="0"/>
        <w:jc w:val="both"/>
      </w:pPr>
      <w:r>
        <w:rPr>
          <w:rFonts w:ascii="Times New Roman" w:cs="Times New Roman" w:eastAsia="Times New Roman" w:hAnsi="Times New Roman"/>
          <w:b w:val="false"/>
          <w:bCs w:val="false"/>
          <w:i w:val="false"/>
          <w:iCs w:val="false"/>
          <w:sz w:val="20"/>
          <w:szCs w:val="20"/>
        </w:rPr>
        <w:t xml:space="preserve">with weights 0.4 (entropy), 0.4 (flip disagreement) and 0.2 (mask instability); the weights are renormalized over the signals that are available. Detection instability is shown but excluded from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p>
    <w:p>
      <w:pPr>
        <w:keepNext/>
        <w:spacing w:before="120" w:after="60"/>
        <w:jc w:val="center"/>
      </w:pPr>
      <w:r>
        <w:drawing>
          <wp:inline distT="0" distB="0" distL="0" distR="0">
            <wp:extent cx="3154680" cy="1406652"/>
            <wp:effectExtent t="0" r="0" b="0" l="0"/>
            <wp:docPr id="1" name="fig4_classification" descr="Finding-classification workflow (inference.torch_models.classify_regions, training.trainers.crop_region) with training-crop counts and class weights from the checkpoint sidecar."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3154680" cy="1406652"/>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4.  Finding-classification workflow (inference.torch_models.classify_regions, training.trainers.crop_region) with training-crop counts and class weights from the checkpoint sidecar.</w:t>
      </w:r>
    </w:p>
    <w:p>
      <w:pPr>
        <w:pStyle w:val="Heading2"/>
      </w:pPr>
      <w:r>
        <w:rPr>
          <w:rFonts w:ascii="Times New Roman" w:cs="Times New Roman" w:eastAsia="Times New Roman" w:hAnsi="Times New Roman"/>
          <w:b w:val="false"/>
          <w:bCs w:val="false"/>
          <w:i w:val="false"/>
          <w:iCs w:val="false"/>
        </w:rPr>
        <w:t xml:space="preserve">E. Review Routing and Final Result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5 shows which thresholds are deployed. The entropy threshold 0.397 maximizes Youden’s index [25],</w:t>
      </w:r>
    </w:p>
    <w:p>
      <w:pPr>
        <w:keepLines/>
        <w:tabs>
          <w:tab w:val="center" w:pos="2520"/>
          <w:tab w:val="right" w:pos="5040"/>
        </w:tabs>
        <w:spacing w:before="60" w:after="60"/>
      </w:pPr>
      <w:r>
        <w:rPr>
          <w:rFonts w:ascii="Times New Roman" w:cs="Times New Roman" w:eastAsia="Times New Roman" w:hAnsi="Times New Roman"/>
        </w:rPr>
        <w:tab/>
      </w:r>
      <m:oMath>
        <m:r>
          <m:t>J=</m:t>
        </m:r>
        <m:r>
          <m:rPr>
            <m:sty m:val="p"/>
          </m:rPr>
          <m:t>TPR</m:t>
        </m:r>
        <m:r>
          <m:t>−</m:t>
        </m:r>
        <m:r>
          <m:rPr>
            <m:sty m:val="p"/>
          </m:rPr>
          <m:t>FPR</m:t>
        </m:r>
      </m:oMath>
      <w:r>
        <w:rPr>
          <w:rFonts w:ascii="Times New Roman" w:cs="Times New Roman" w:eastAsia="Times New Roman" w:hAnsi="Times New Roman"/>
          <w:sz w:val="20"/>
          <w:szCs w:val="20"/>
        </w:rPr>
        <w:tab/>
        <w:t xml:space="preserve">(8)</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a “positive” is a classifier error on calibration crops. The flip-disagreement threshold 0.076 is the 90th percentile on calibration crops. Both values were fixed once, on one seed and one dataset, and are provisional. A region at or above the entropy threshold gets status “abstained” and is sent for review. Since a project decision on 2026-10-16, its highest-scoring class is still shown, marked “Needs human review — high classifier uncertainty”, and an abstained tooth is never reported as healthy. Mask instability ≥ 0.30, detection score &lt; 0.50 and numbering problems also trigger review. Scores shown to users are raw softmax values; they are not calibrated probabilities.</w:t>
      </w:r>
    </w:p>
    <w:p>
      <w:pPr>
        <w:keepNext/>
        <w:spacing w:before="120" w:after="60"/>
        <w:jc w:val="center"/>
      </w:pPr>
      <w:r>
        <w:drawing>
          <wp:inline distT="0" distB="0" distL="0" distR="0">
            <wp:extent cx="3154680" cy="2927604"/>
            <wp:effectExtent t="0" r="0" b="0" l="0"/>
            <wp:docPr id="1" name="fig5_uncertainty_review" descr="Uncertainty-aware review workflow. Upper part: behavior deployed in the application (pipeline.py, final_result.py, reviews.py). Lower dashed part: evaluated offline only and not active in the applic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3154680" cy="292760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5.  Uncertainty-aware review workflow. Upper part: behavior deployed in the application (pipeline.py, final_result.py, reviews.py). Lower dashed part: evaluated offline only and not active in the application.</w:t>
      </w:r>
    </w:p>
    <w:p>
      <w:pPr>
        <w:pStyle w:val="Heading2"/>
      </w:pPr>
      <w:r>
        <w:rPr>
          <w:rFonts w:ascii="Times New Roman" w:cs="Times New Roman" w:eastAsia="Times New Roman" w:hAnsi="Times New Roman"/>
          <w:b w:val="false"/>
          <w:bCs w:val="false"/>
          <w:i w:val="false"/>
          <w:iCs w:val="false"/>
        </w:rPr>
        <w:t xml:space="preserve">F. Human Review and Reports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reviewer can confirm, correct or reject a region’s class, set or clear its tooth number, or mark the image for specialist review or as unusable. Each record stores the model output the reviewer saw. A changed decision creates a new revision, and an identical resubmission is refused. Approval requires a second named person. Reviewer names are self-declared and stored as such, and nothing is labeled expert-verified. Only approved records on unlabeled-pool or uploaded images can be exported for training. Reports are drafted from structured findings with fixed templates in English, Hindi and Marathi. A validator rejects text that cites teeth, labels or numbers absent from the findings, and every report remains an unconfirmed research draft until a named reviewer signs it. The Hindi and Marathi wording has not been reviewed by a native-speaking dental professional.</w:t>
      </w:r>
    </w:p>
    <w:p>
      <w:pPr>
        <w:pStyle w:val="Heading1"/>
      </w:pPr>
      <w:r>
        <w:rPr>
          <w:rFonts w:ascii="Times New Roman" w:cs="Times New Roman" w:eastAsia="Times New Roman" w:hAnsi="Times New Roman"/>
          <w:b w:val="false"/>
          <w:bCs w:val="false"/>
          <w:i w:val="false"/>
          <w:iCs w:val="false"/>
        </w:rPr>
        <w:t xml:space="preserve">VII. Model Architectures and Training Configuration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IV lists the training configuration recorded in each checkpoint’s sidecar file. All models are torchvision implementations. Detectors start from COCO weights [26] and the classifier from ImageNet weights [23]; these are general-domain, not dental, starting points. All models use AdamW with weight decay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b w:val="false"/>
          <w:bCs w:val="false"/>
          <w:i w:val="false"/>
          <w:iCs w:val="false"/>
          <w:sz w:val="20"/>
          <w:szCs w:val="20"/>
        </w:rPr>
        <w:t xml:space="preserve">, a cosine learning-rate schedule and seed 42, and each keeps the epoch that scores best on validation. Horizontal flipping is used for the one-class detector and segmenter but not for the numbering model, because a flip would swap left and right FDI codes. Training ran on an NVIDIA RTX 3050 Laptop GPU (4 GB) with PyTorch 2.6 and CUDA 12.4.</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Training Configuration of the Four Deployed Checkpoints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1700"/>
        <w:gridCol w:w="1100"/>
        <w:gridCol w:w="1190"/>
      </w:tblGrid>
      <w:tr>
        <w:trPr>
          <w:cantSplit/>
          <w:tblHeader/>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Architecture (init.)</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Epochs / batch / lr</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Selection on val.</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Tooth detector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FDI numbering</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32 classes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Segmenter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 / 1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 classifier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ResNet-50, 4 classes (ImageNet V2)</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 / 32 / 3e-4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macro-F1 (epoch 5)</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Data/checkpoints/*.json sidecars. Classifier augmentation: horizontal flip p = 0.5 and multiplicative contrast jitter of ±5 %. The detector, numbering and segmentation models used 440 training and 69 validation radiographs. The checkpoints are legacy: image-level training membership was not recorded (Section XIII).</w:t>
      </w:r>
    </w:p>
    <w:p>
      <w:pPr>
        <w:pStyle w:val="Heading1"/>
      </w:pPr>
      <w:r>
        <w:rPr>
          <w:rFonts w:ascii="Times New Roman" w:cs="Times New Roman" w:eastAsia="Times New Roman" w:hAnsi="Times New Roman"/>
          <w:b w:val="false"/>
          <w:bCs w:val="false"/>
          <w:i w:val="false"/>
          <w:iCs w:val="false"/>
        </w:rPr>
        <w:t xml:space="preserve">VIII. Experimental Setup and Evaluation Metrics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7 maps each task and study to its metrics and splits. Detection and segmentation use COCO-style average precision (AP). For one class, AP is the area under the precision envelope with all-point interpolation,</w:t>
      </w:r>
    </w:p>
    <w:p>
      <w:pPr>
        <w:keepLines/>
        <w:tabs>
          <w:tab w:val="center" w:pos="2520"/>
          <w:tab w:val="right" w:pos="5040"/>
        </w:tabs>
        <w:spacing w:before="60" w:after="60"/>
      </w:pPr>
      <w:r>
        <w:rPr>
          <w:rFonts w:ascii="Times New Roman" w:cs="Times New Roman" w:eastAsia="Times New Roman" w:hAnsi="Times New Roman"/>
        </w:rPr>
        <w:tab/>
      </w:r>
      <m:oMath>
        <m:r>
          <m:rPr>
            <m:sty m:val="p"/>
          </m:rPr>
          <m:t>AP</m:t>
        </m:r>
        <m:r>
          <m:t>=</m:t>
        </m:r>
        <m:nary>
          <m:naryPr>
            <m:chr m:val="∑"/>
            <m:limLoc m:val="undOvr"/>
            <m:supHide m:val="1"/>
          </m:naryPr>
          <m:sub>
            <m:r>
              <m:t>k</m:t>
            </m:r>
          </m:sub>
          <m:sup/>
          <m:e>
            <m:d>
              <m:dPr/>
              <m:e>
                <m:sSub>
                  <m:sSubPr/>
                  <m:e>
                    <m:r>
                      <m:t>r</m:t>
                    </m:r>
                  </m:e>
                  <m:sub>
                    <m:r>
                      <m:t>k</m:t>
                    </m:r>
                  </m:sub>
                </m:sSub>
                <m:r>
                  <m:t>−</m:t>
                </m:r>
                <m:sSub>
                  <m:sSubPr/>
                  <m:e>
                    <m:r>
                      <m:t>r</m:t>
                    </m:r>
                  </m:e>
                  <m:sub>
                    <m:r>
                      <m:t>k−1</m:t>
                    </m:r>
                  </m:sub>
                </m:sSub>
              </m:e>
            </m:d>
            <m:r>
              <m:rPr>
                <m:sty m:val="p"/>
              </m:rPr>
              <m:t> max</m:t>
            </m:r>
            <m:sSub>
              <m:sSubPr/>
              <m:e>
                <m:r>
                  <m:t>p</m:t>
                </m:r>
              </m:e>
              <m:sub>
                <m:r>
                  <m:t>r≥rₖ</m:t>
                </m:r>
              </m:sub>
            </m:sSub>
          </m:e>
        </m:nary>
      </m:oMath>
      <w:r>
        <w:rPr>
          <w:rFonts w:ascii="Times New Roman" w:cs="Times New Roman" w:eastAsia="Times New Roman" w:hAnsi="Times New Roman"/>
          <w:sz w:val="20"/>
          <w:szCs w:val="20"/>
        </w:rPr>
        <w:tab/>
        <w:t xml:space="preserve">(9)</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are recall levels and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precision. AP50 uses an IoU match threshold of 0.5, and mAP averages AP over IoU 0.50:0.05:0.95. Precision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and recall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are also reported at the operating point (score ≥ 0.3, IoU ≥ 0.5) from true positives (TP), false positives (FP) and false negatives (FN):</w:t>
      </w:r>
    </w:p>
    <w:p>
      <w:pPr>
        <w:keepLines/>
        <w:tabs>
          <w:tab w:val="center" w:pos="2520"/>
          <w:tab w:val="right" w:pos="5040"/>
        </w:tabs>
        <w:spacing w:before="60" w:after="60"/>
      </w:pPr>
      <w:r>
        <w:rPr>
          <w:rFonts w:ascii="Times New Roman" w:cs="Times New Roman" w:eastAsia="Times New Roman" w:hAnsi="Times New Roman"/>
        </w:rPr>
        <w:tab/>
      </w:r>
      <m:oMath>
        <m:r>
          <m:t>P=</m:t>
        </m:r>
        <m:f>
          <m:num>
            <m:r>
              <m:rPr>
                <m:sty m:val="p"/>
              </m:rPr>
              <m:t>TP</m:t>
            </m:r>
          </m:num>
          <m:den>
            <m:r>
              <m:rPr>
                <m:sty m:val="p"/>
              </m:rPr>
              <m:t>TP</m:t>
            </m:r>
            <m:r>
              <m:t>+</m:t>
            </m:r>
            <m:r>
              <m:rPr>
                <m:sty m:val="p"/>
              </m:rPr>
              <m:t>FP</m:t>
            </m:r>
          </m:den>
        </m:f>
        <m:r>
          <m:t>,  R=</m:t>
        </m:r>
        <m:f>
          <m:num>
            <m:r>
              <m:rPr>
                <m:sty m:val="p"/>
              </m:rPr>
              <m:t>TP</m:t>
            </m:r>
          </m:num>
          <m:den>
            <m:r>
              <m:rPr>
                <m:sty m:val="p"/>
              </m:rPr>
              <m:t>TP</m:t>
            </m:r>
            <m:r>
              <m:t>+</m:t>
            </m:r>
            <m:r>
              <m:rPr>
                <m:sty m:val="p"/>
              </m:rPr>
              <m:t>FN</m:t>
            </m:r>
          </m:den>
        </m:f>
        <m:r>
          <m:t>,  </m:t>
        </m:r>
        <m:r>
          <m:rPr>
            <m:sty m:val="p"/>
          </m:rPr>
          <m:t>F1</m:t>
        </m:r>
        <m:r>
          <m:t>=</m:t>
        </m:r>
        <m:f>
          <m:num>
            <m:r>
              <m:t>2PR</m:t>
            </m:r>
          </m:num>
          <m:den>
            <m:r>
              <m:t>P+R</m:t>
            </m:r>
          </m:den>
        </m:f>
      </m:oMath>
      <w:r>
        <w:rPr>
          <w:rFonts w:ascii="Times New Roman" w:cs="Times New Roman" w:eastAsia="Times New Roman" w:hAnsi="Times New Roman"/>
          <w:sz w:val="20"/>
          <w:szCs w:val="20"/>
        </w:rPr>
        <w:tab/>
        <w:t xml:space="preserve">(10)</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classification, macro-F1 (F1</w:t>
      </w:r>
      <w:r>
        <w:rPr>
          <w:rFonts w:ascii="Times New Roman" w:cs="Times New Roman" w:eastAsia="Times New Roman" w:hAnsi="Times New Roman"/>
          <w:b w:val="false"/>
          <w:bCs w:val="false"/>
          <w:i w:val="false"/>
          <w:iCs w:val="false"/>
          <w:sz w:val="20"/>
          <w:szCs w:val="20"/>
          <w:vertAlign w:val="subscript"/>
        </w:rPr>
        <w:t xml:space="preserve">macro</w:t>
      </w:r>
      <w:r>
        <w:rPr>
          <w:rFonts w:ascii="Times New Roman" w:cs="Times New Roman" w:eastAsia="Times New Roman" w:hAnsi="Times New Roman"/>
          <w:b w:val="false"/>
          <w:bCs w:val="false"/>
          <w:i w:val="false"/>
          <w:iCs w:val="false"/>
          <w:sz w:val="20"/>
          <w:szCs w:val="20"/>
        </w:rPr>
        <w:t xml:space="preserve">) is the unweighted mean of the per-class F1 values,</w:t>
      </w:r>
    </w:p>
    <w:p>
      <w:pPr>
        <w:keepLines/>
        <w:tabs>
          <w:tab w:val="center" w:pos="2520"/>
          <w:tab w:val="right" w:pos="5040"/>
        </w:tabs>
        <w:spacing w:before="60" w:after="60"/>
      </w:pPr>
      <w:r>
        <w:rPr>
          <w:rFonts w:ascii="Times New Roman" w:cs="Times New Roman" w:eastAsia="Times New Roman" w:hAnsi="Times New Roman"/>
        </w:rPr>
        <w:tab/>
      </w:r>
      <m:oMath>
        <m:sSub>
          <m:sSubPr/>
          <m:e>
            <m:r>
              <m:rPr>
                <m:sty m:val="p"/>
              </m:rPr>
              <m:t>F1</m:t>
            </m:r>
          </m:e>
          <m:sub>
            <m:r>
              <m:rPr>
                <m:sty m:val="p"/>
              </m:rPr>
              <m:t>macro</m:t>
            </m:r>
          </m:sub>
        </m:sSub>
        <m:r>
          <m:t>=</m:t>
        </m:r>
        <m:f>
          <m:num>
            <m:r>
              <m:t>1</m:t>
            </m:r>
          </m:num>
          <m:den>
            <m:r>
              <m:t>K</m:t>
            </m:r>
          </m:den>
        </m:f>
        <m:nary>
          <m:naryPr>
            <m:chr m:val="∑"/>
            <m:limLoc m:val="undOvr"/>
          </m:naryPr>
          <m:sub>
            <m:r>
              <m:t>k=1</m:t>
            </m:r>
          </m:sub>
          <m:sup>
            <m:r>
              <m:t>K</m:t>
            </m:r>
          </m:sup>
          <m:e>
            <m:sSub>
              <m:sSubPr/>
              <m:e>
                <m:r>
                  <m:rPr>
                    <m:sty m:val="p"/>
                  </m:rPr>
                  <m:t>F1</m:t>
                </m:r>
              </m:e>
              <m:sub>
                <m:r>
                  <m:t>k</m:t>
                </m:r>
              </m:sub>
            </m:sSub>
          </m:e>
        </m:nary>
      </m:oMath>
      <w:r>
        <w:rPr>
          <w:rFonts w:ascii="Times New Roman" w:cs="Times New Roman" w:eastAsia="Times New Roman" w:hAnsi="Times New Roman"/>
          <w:sz w:val="20"/>
          <w:szCs w:val="20"/>
        </w:rPr>
        <w:tab/>
        <w:t xml:space="preserve">(11)</w:t>
      </w:r>
    </w:p>
    <w:p>
      <w:pPr>
        <w:spacing w:after="60"/>
        <w:ind w:firstLine="0"/>
        <w:jc w:val="both"/>
      </w:pPr>
      <w:r>
        <w:rPr>
          <w:rFonts w:ascii="Times New Roman" w:cs="Times New Roman" w:eastAsia="Times New Roman" w:hAnsi="Times New Roman"/>
          <w:b w:val="false"/>
          <w:bCs w:val="false"/>
          <w:i w:val="false"/>
          <w:iCs w:val="false"/>
          <w:sz w:val="20"/>
          <w:szCs w:val="20"/>
        </w:rPr>
        <w:t xml:space="preserve">Per-class sensitivity, specificity and one-vs-rest ROC AUC are reported for the test split. Mask IoU is computed on a grid subsampled by a factor of four. Numbering is scored on ground-truth teeth: </w:t>
      </w:r>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is the fraction matched by a numbered prediction at IoU ≥ 0.5, </w:t>
      </w:r>
      <w:r>
        <w:rPr>
          <w:rFonts w:ascii="Times New Roman" w:cs="Times New Roman" w:eastAsia="Times New Roman" w:hAnsi="Times New Roman"/>
          <w:b w:val="false"/>
          <w:bCs w:val="false"/>
          <w:i/>
          <w:iCs/>
          <w:sz w:val="20"/>
          <w:szCs w:val="20"/>
        </w:rPr>
        <w:t xml:space="preserve">exact accuracy</w:t>
      </w:r>
      <w:r>
        <w:rPr>
          <w:rFonts w:ascii="Times New Roman" w:cs="Times New Roman" w:eastAsia="Times New Roman" w:hAnsi="Times New Roman"/>
          <w:b w:val="false"/>
          <w:bCs w:val="false"/>
          <w:i w:val="false"/>
          <w:iCs w:val="false"/>
          <w:sz w:val="20"/>
          <w:szCs w:val="20"/>
        </w:rPr>
        <w:t xml:space="preserve"> is the fraction of matched teeth with the correct FDI code, and </w:t>
      </w:r>
      <w:r>
        <w:rPr>
          <w:rFonts w:ascii="Times New Roman" w:cs="Times New Roman" w:eastAsia="Times New Roman" w:hAnsi="Times New Roman"/>
          <w:b w:val="false"/>
          <w:bCs w:val="false"/>
          <w:i/>
          <w:iCs/>
          <w:sz w:val="20"/>
          <w:szCs w:val="20"/>
        </w:rPr>
        <w:t xml:space="preserve">strict accuracy</w:t>
      </w:r>
      <w:r>
        <w:rPr>
          <w:rFonts w:ascii="Times New Roman" w:cs="Times New Roman" w:eastAsia="Times New Roman" w:hAnsi="Times New Roman"/>
          <w:b w:val="false"/>
          <w:bCs w:val="false"/>
          <w:i w:val="false"/>
          <w:iCs w:val="false"/>
          <w:sz w:val="20"/>
          <w:szCs w:val="20"/>
        </w:rPr>
        <w:t xml:space="preserve"> counts correct codes over all ground-truth teeth, so that missed teeth count as errors.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Calibration uses the expected calibration error with 15 equal-width confidence bins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[16],</w:t>
      </w:r>
    </w:p>
    <w:p>
      <w:pPr>
        <w:keepLines/>
        <w:tabs>
          <w:tab w:val="center" w:pos="2520"/>
          <w:tab w:val="right" w:pos="5040"/>
        </w:tabs>
        <w:spacing w:before="60" w:after="60"/>
      </w:pPr>
      <w:r>
        <w:rPr>
          <w:rFonts w:ascii="Times New Roman" w:cs="Times New Roman" w:eastAsia="Times New Roman" w:hAnsi="Times New Roman"/>
        </w:rPr>
        <w:tab/>
      </w:r>
      <m:oMath>
        <m:r>
          <m:rPr>
            <m:sty m:val="p"/>
          </m:rPr>
          <m:t>ECE</m:t>
        </m:r>
        <m:r>
          <m:t>=</m:t>
        </m:r>
        <m:nary>
          <m:naryPr>
            <m:chr m:val="∑"/>
            <m:limLoc m:val="undOvr"/>
          </m:naryPr>
          <m:sub>
            <m:r>
              <m:t>m=1</m:t>
            </m:r>
          </m:sub>
          <m:sup>
            <m:r>
              <m:t>15</m:t>
            </m:r>
          </m:sup>
          <m:e>
            <m:f>
              <m:num>
                <m:r>
                  <m:t>|Bₘ|</m:t>
                </m:r>
              </m:num>
              <m:den>
                <m:r>
                  <m:t>n</m:t>
                </m:r>
              </m:den>
            </m:f>
            <m:r>
              <m:t>|</m:t>
            </m:r>
            <m:r>
              <m:rPr>
                <m:sty m:val="p"/>
              </m:rPr>
              <m:t>acc</m:t>
            </m:r>
            <m:d>
              <m:dPr/>
              <m:e>
                <m:r>
                  <m:t>Bₘ</m:t>
                </m:r>
              </m:e>
            </m:d>
            <m:r>
              <m:t>−</m:t>
            </m:r>
            <m:r>
              <m:rPr>
                <m:sty m:val="p"/>
              </m:rPr>
              <m:t>conf</m:t>
            </m:r>
            <m:d>
              <m:dPr/>
              <m:e>
                <m:r>
                  <m:t>Bₘ</m:t>
                </m:r>
              </m:e>
            </m:d>
            <m:r>
              <m:t>|</m:t>
            </m:r>
          </m:e>
        </m:nary>
      </m:oMath>
      <w:r>
        <w:rPr>
          <w:rFonts w:ascii="Times New Roman" w:cs="Times New Roman" w:eastAsia="Times New Roman" w:hAnsi="Times New Roman"/>
          <w:sz w:val="20"/>
          <w:szCs w:val="20"/>
        </w:rPr>
        <w:tab/>
        <w:t xml:space="preserve">(12)</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multi-class Brier score [27],</w:t>
      </w:r>
    </w:p>
    <w:p>
      <w:pPr>
        <w:keepLines/>
        <w:tabs>
          <w:tab w:val="center" w:pos="2520"/>
          <w:tab w:val="right" w:pos="5040"/>
        </w:tabs>
        <w:spacing w:before="60" w:after="60"/>
      </w:pPr>
      <w:r>
        <w:rPr>
          <w:rFonts w:ascii="Times New Roman" w:cs="Times New Roman" w:eastAsia="Times New Roman" w:hAnsi="Times New Roman"/>
        </w:rPr>
        <w:tab/>
      </w:r>
      <m:oMath>
        <m:r>
          <m:rPr>
            <m:sty m:val="p"/>
          </m:rPr>
          <m:t>BS</m:t>
        </m:r>
        <m:r>
          <m:t>=</m:t>
        </m:r>
        <m:f>
          <m:num>
            <m:r>
              <m:t>1</m:t>
            </m:r>
          </m:num>
          <m:den>
            <m:r>
              <m:t>n</m:t>
            </m:r>
          </m:den>
        </m:f>
        <m:nary>
          <m:naryPr>
            <m:chr m:val="∑"/>
            <m:limLoc m:val="undOvr"/>
            <m:supHide m:val="1"/>
          </m:naryPr>
          <m:sub>
            <m:r>
              <m:t>i</m:t>
            </m:r>
          </m:sub>
          <m:sup/>
          <m:e>
            <m:nary>
              <m:naryPr>
                <m:chr m:val="∑"/>
                <m:limLoc m:val="undOvr"/>
                <m:supHide m:val="1"/>
              </m:naryPr>
              <m:sub>
                <m:r>
                  <m:t>k</m:t>
                </m:r>
              </m:sub>
              <m:sup/>
              <m:e>
                <m:sSup>
                  <m:sSupPr/>
                  <m:e>
                    <m:d>
                      <m:dPr/>
                      <m:e>
                        <m:sSub>
                          <m:sSubPr/>
                          <m:e>
                            <m:r>
                              <m:t>p</m:t>
                            </m:r>
                          </m:e>
                          <m:sub>
                            <m:r>
                              <m:t>ik</m:t>
                            </m:r>
                          </m:sub>
                        </m:sSub>
                        <m:r>
                          <m:t>−</m:t>
                        </m:r>
                        <m:sSub>
                          <m:sSubPr/>
                          <m:e>
                            <m:r>
                              <m:t>y</m:t>
                            </m:r>
                          </m:e>
                          <m:sub>
                            <m:r>
                              <m:t>ik</m:t>
                            </m:r>
                          </m:sub>
                        </m:sSub>
                      </m:e>
                    </m:d>
                  </m:e>
                  <m:sup>
                    <m:r>
                      <m:t>2</m:t>
                    </m:r>
                  </m:sup>
                </m:sSup>
              </m:e>
            </m:nary>
          </m:e>
        </m:nary>
      </m:oMath>
      <w:r>
        <w:rPr>
          <w:rFonts w:ascii="Times New Roman" w:cs="Times New Roman" w:eastAsia="Times New Roman" w:hAnsi="Times New Roman"/>
          <w:sz w:val="20"/>
          <w:szCs w:val="20"/>
        </w:rPr>
        <w:tab/>
        <w:t xml:space="preserve">(13)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y</w:t>
      </w:r>
      <w:r>
        <w:rPr>
          <w:rFonts w:ascii="Times New Roman" w:cs="Times New Roman" w:eastAsia="Times New Roman" w:hAnsi="Times New Roman"/>
          <w:b w:val="false"/>
          <w:bCs w:val="false"/>
          <w:i w:val="false"/>
          <w:iCs w:val="false"/>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is the one-hot label. Temperature scaling [15] divides the logits </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b w:val="false"/>
          <w:bCs w:val="false"/>
          <w:i w:val="false"/>
          <w:iCs w:val="false"/>
          <w:sz w:val="20"/>
          <w:szCs w:val="20"/>
        </w:rPr>
        <w:t xml:space="preserve"> by a scalar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fitted by negative log-likelihood on the calibration split (grid 0.5–5.0, step 0.05):</w:t>
      </w:r>
    </w:p>
    <w:p>
      <w:pPr>
        <w:keepLines/>
        <w:tabs>
          <w:tab w:val="center" w:pos="2520"/>
          <w:tab w:val="right" w:pos="5040"/>
        </w:tabs>
        <w:spacing w:before="60" w:after="60"/>
      </w:pPr>
      <w:r>
        <w:rPr>
          <w:rFonts w:ascii="Times New Roman" w:cs="Times New Roman" w:eastAsia="Times New Roman" w:hAnsi="Times New Roman"/>
        </w:rPr>
        <w:tab/>
      </w:r>
      <m:oMath>
        <m:sSub>
          <m:sSubPr/>
          <m:e>
            <m:r>
              <m:t>p</m:t>
            </m:r>
          </m:e>
          <m:sub>
            <m:r>
              <m:t>k</m:t>
            </m:r>
          </m:sub>
        </m:sSub>
        <m:r>
          <m:t>=</m:t>
        </m:r>
        <m:f>
          <m:num>
            <m:r>
              <m:rPr>
                <m:sty m:val="p"/>
              </m:rPr>
              <m:t>exp</m:t>
            </m:r>
            <m:d>
              <m:dPr/>
              <m:e>
                <m:sSub>
                  <m:sSubPr/>
                  <m:e>
                    <m:r>
                      <m:t>z</m:t>
                    </m:r>
                  </m:e>
                  <m:sub>
                    <m:r>
                      <m:t>k</m:t>
                    </m:r>
                  </m:sub>
                </m:sSub>
                <m:r>
                  <m:t>/T</m:t>
                </m:r>
              </m:e>
            </m:d>
          </m:num>
          <m:den>
            <m:nary>
              <m:naryPr>
                <m:chr m:val="∑"/>
                <m:limLoc m:val="undOvr"/>
                <m:supHide m:val="1"/>
              </m:naryPr>
              <m:sub>
                <m:r>
                  <m:t>j</m:t>
                </m:r>
              </m:sub>
              <m:sup/>
              <m:e>
                <m:r>
                  <m:rPr>
                    <m:sty m:val="p"/>
                  </m:rPr>
                  <m:t>exp</m:t>
                </m:r>
                <m:d>
                  <m:dPr/>
                  <m:e>
                    <m:sSub>
                      <m:sSubPr/>
                      <m:e>
                        <m:r>
                          <m:t>z</m:t>
                        </m:r>
                      </m:e>
                      <m:sub>
                        <m:r>
                          <m:t>j</m:t>
                        </m:r>
                      </m:sub>
                    </m:sSub>
                    <m:r>
                      <m:t>/T</m:t>
                    </m:r>
                  </m:e>
                </m:d>
              </m:e>
            </m:nary>
          </m:den>
        </m:f>
      </m:oMath>
      <w:r>
        <w:rPr>
          <w:rFonts w:ascii="Times New Roman" w:cs="Times New Roman" w:eastAsia="Times New Roman" w:hAnsi="Times New Roman"/>
          <w:sz w:val="20"/>
          <w:szCs w:val="20"/>
        </w:rPr>
        <w:tab/>
        <w:t xml:space="preserve">(14)</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abstention rules [12], coverage is the fraction of crops that receive a class and risk is the error rate among them:</w:t>
      </w:r>
    </w:p>
    <w:p>
      <w:pPr>
        <w:keepLines/>
        <w:tabs>
          <w:tab w:val="center" w:pos="2520"/>
          <w:tab w:val="right" w:pos="5040"/>
        </w:tabs>
        <w:spacing w:before="60" w:after="60"/>
      </w:pPr>
      <w:r>
        <w:rPr>
          <w:rFonts w:ascii="Times New Roman" w:cs="Times New Roman" w:eastAsia="Times New Roman" w:hAnsi="Times New Roman"/>
        </w:rPr>
        <w:tab/>
      </w:r>
      <m:oMath>
        <m:r>
          <m:rPr>
            <m:sty m:val="p"/>
          </m:rPr>
          <m:t>cov</m:t>
        </m:r>
        <m:r>
          <m:t>=</m:t>
        </m:r>
        <m:f>
          <m:num>
            <m:r>
              <m:t>|</m:t>
            </m:r>
            <m:r>
              <m:rPr>
                <m:sty m:val="p"/>
              </m:rPr>
              <m:t>acc.</m:t>
            </m:r>
            <m:r>
              <m:t>|</m:t>
            </m:r>
          </m:num>
          <m:den>
            <m:r>
              <m:t>n</m:t>
            </m:r>
          </m:den>
        </m:f>
        <m:r>
          <m:t>,  </m:t>
        </m:r>
        <m:r>
          <m:rPr>
            <m:sty m:val="p"/>
          </m:rPr>
          <m:t>risk</m:t>
        </m:r>
        <m:r>
          <m:t>=</m:t>
        </m:r>
        <m:f>
          <m:num>
            <m:r>
              <m:t>|</m:t>
            </m:r>
            <m:r>
              <m:rPr>
                <m:sty m:val="p"/>
              </m:rPr>
              <m:t>wrong</m:t>
            </m:r>
            <m:r>
              <m:t>∩</m:t>
            </m:r>
            <m:r>
              <m:rPr>
                <m:sty m:val="p"/>
              </m:rPr>
              <m:t>acc.</m:t>
            </m:r>
            <m:r>
              <m:t>|</m:t>
            </m:r>
          </m:num>
          <m:den>
            <m:r>
              <m:t>|</m:t>
            </m:r>
            <m:r>
              <m:rPr>
                <m:sty m:val="p"/>
              </m:rPr>
              <m:t>acc.</m:t>
            </m:r>
            <m:r>
              <m:t>|</m:t>
            </m:r>
          </m:den>
        </m:f>
      </m:oMath>
      <w:r>
        <w:rPr>
          <w:rFonts w:ascii="Times New Roman" w:cs="Times New Roman" w:eastAsia="Times New Roman" w:hAnsi="Times New Roman"/>
          <w:sz w:val="20"/>
          <w:szCs w:val="20"/>
        </w:rPr>
        <w:tab/>
        <w:t xml:space="preserve">(15)</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ability of a signal to rank errors is summarized by the AUROC: the probability that a randomly chosen misclassified crop scores higher than a correctly classified one, with ties counted as one half.</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data protocol behind all splits is summarized in Fig. 6; the roles of the splits are those of Section IV-C.</w:t>
      </w:r>
    </w:p>
    <w:p>
      <w:pPr>
        <w:keepNext/>
        <w:spacing w:before="120" w:after="60"/>
        <w:jc w:val="center"/>
      </w:pPr>
      <w:r>
        <w:drawing>
          <wp:inline distT="0" distB="0" distL="0" distR="0">
            <wp:extent cx="3154680" cy="2651760"/>
            <wp:effectExtent t="0" r="0" b="0" l="0"/>
            <wp:docPr id="1" name="fig6_dataset_splits" descr="Dataset, splitting and leakage-check protocol as implemented (src/dentexmodel/data/splits.py, configs/data.yaml, Data/reports/leakage_check.md). Split counts are distinct labeled radiographs."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3154680" cy="265176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6.  Dataset, splitting and leakage-check protocol as implemented (src/dentexmodel/data/splits.py, configs/data.yaml, Data/reports/leakage_check.md). Split counts are distinct labeled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Three conditions apply to every result below. First, validation also selected each model’s training epoch, so validation numbers are optimistic. Second, the internal test split was evaluated once for each of the four checkpoints on 2026-10-14, after model selection. Third, all models were trained with one seed on one dataset, so no confidence intervals over seeds exist for the deployed models.</w:t>
      </w:r>
    </w:p>
    <w:p>
      <w:pPr>
        <w:pStyle w:val="Heading1"/>
      </w:pPr>
      <w:r>
        <w:rPr>
          <w:rFonts w:ascii="Times New Roman" w:cs="Times New Roman" w:eastAsia="Times New Roman" w:hAnsi="Times New Roman"/>
          <w:b w:val="false"/>
          <w:bCs w:val="false"/>
          <w:i w:val="false"/>
          <w:iCs w:val="false"/>
        </w:rPr>
        <w:t xml:space="preserve">IX. Quantitative Results</w:t>
      </w:r>
    </w:p>
    <w:p>
      <w:pPr>
        <w:pStyle w:val="Heading2"/>
      </w:pPr>
      <w:r>
        <w:rPr>
          <w:rFonts w:ascii="Times New Roman" w:cs="Times New Roman" w:eastAsia="Times New Roman" w:hAnsi="Times New Roman"/>
          <w:b w:val="false"/>
          <w:bCs w:val="false"/>
          <w:i w:val="false"/>
          <w:iCs w:val="false"/>
        </w:rPr>
        <w:t xml:space="preserve">A. Tooth Detection and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 reports detection and segmentation. On the 63 test radiographs (1,790 teeth), the detector reaches AP50 0.966 and recall 0.974 at the operating point. The segmenter’s mask AP50 is 0.974, and matched instances have mean mask IoU 0.780 and mean Dice 0.873. The much lower mAP@[.5:.95] (0.515 for detection) shows that boxes are close to the annotation but not tight, which Section X confirms.</w:t>
      </w:r>
    </w:p>
    <w:p>
      <w:pPr>
        <w:keepNext/>
        <w:spacing w:before="120" w:after="60"/>
        <w:jc w:val="center"/>
      </w:pPr>
      <w:r>
        <w:drawing>
          <wp:inline distT="0" distB="0" distL="0" distR="0">
            <wp:extent cx="3154680" cy="1850136"/>
            <wp:effectExtent t="0" r="0" b="0" l="0"/>
            <wp:docPr id="1" name="fig7_evaluation_framework" descr="Experimental evaluation framework: each implemented task or study, its metrics and the splits it was evaluated on (scripts/evaluate_*.py and the reports in Data/report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3154680" cy="185013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7.  Experimental evaluation framework: each implemented task or study, its metrics and the splits it was evaluated on (scripts/evaluate_*.py and the reports in Data/reports/).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Tooth Detection and Instance Segmentation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50"/>
        <w:gridCol w:w="850"/>
        <w:gridCol w:w="850"/>
        <w:gridCol w:w="85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test</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test</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0.569</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0.530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0.981</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Mean mask IoU / Dice (matched)</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0.780 / 0.873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TP / FP / FN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1968/78/32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1743/73/47</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1972/70/28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1754/69/36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Recall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0.974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eval_dentex_teeth_detection_v1_{val,test}.json and eval_dentex_teeth_segmentation_v1_{val,test}.json, rounded to three decimals. n.r. = not recorded in the validation report. Mask IoU is computed on a 4× subsampled grid; 1,753 matched test instances.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 reports numbering. On test, 96.9 % of ground-truth teeth are matched by a numbered prediction, and 96.8 % of those receive the exact FDI code. Counting missed teeth as errors gives a strict accuracy of 93.8 %. Quadrant accuracy is almost perfect (0.999), so most errors put the wrong index within the correct quadrant. The test result is higher than the validation result (exact accuracy 0.968 vs. 0.936). With 63 and 69 radiographs this difference is within the range expected from small samples, and we do not interpret it.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FDI Tooth Numbering</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40"/>
        <w:gridCol w:w="1400"/>
        <w:gridCol w:w="1400"/>
      </w:tblGrid>
      <w:tr>
        <w:trPr>
          <w:cantSplit/>
          <w:tblHeader/>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Validation</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 / AP50 (32 classes)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0.524 / 0.928</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0.507 / 0.952</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recall @ 0.3 (any class)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0.872 / 0.992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0.882 / 0.983</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Coverage (matched / GT)</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0.979 (1,957)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 (1,734)</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Exact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0.999</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Strict accuracy over all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Lowest per-tooth exact accuracy</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 0.825; 47: 0.862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47: 0.912; 27: 0.917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eval_dentex_fdi_numbering_v1_{val,test}.json. Third molars (18, 28, 38, 48) have the fewest ground-truth teeth (34–50 per split), so their per-tooth accuracies are the least stable.</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VII reports the classifier on ground-truth finding crops. Test accuracy is 0.785 and macro-F1 0.646. Impacted teeth are recognized reliably (F1 0.926, AUC 0.990), and Caries reasonably well (F1 0.842). Deep Caries (F1 0.453) and Periapical Lesion (F1 0.364, recall 0.308) are poor. The confusion matrices in Table VIII show the main error: Caries and Deep Caries are confused in both directions (30 and 22 test crops), and 9 of the 13 test Periapical Lesions are labeled as some form of caries. Macro ROC AUC is 0.910, so the scores rank classes better than the argmax decisions suggest.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Finding Classification on Ground-Truth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90"/>
        <w:gridCol w:w="450"/>
        <w:gridCol w:w="520"/>
        <w:gridCol w:w="520"/>
        <w:gridCol w:w="520"/>
        <w:gridCol w:w="450"/>
        <w:gridCol w:w="750"/>
        <w:gridCol w:w="640"/>
      </w:tblGrid>
      <w:tr>
        <w:trPr>
          <w:cantSplit/>
          <w:tblHeader/>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Class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Split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F1</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n</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Spec.</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AUC</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0.885</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0.866</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0.842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0.770</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0.895</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0.414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0.453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0.889</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0.834</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0.972</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0.990</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0.308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0.921</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Macro / accuracy</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0.693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331</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acc. 0.825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0.653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354</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acc. 0.785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0.910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eval_dentex_findings_classification_v1_{val,test}.json (65 and 73 radiographs). Specificity and AUC (one-vs-rest) were computed for the test split only. The validation macro-F1 was also the epoch-selection criterion.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Confusion Matrices of the Finding Classifier (Rows: True Class)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cantSplit/>
          <w:tblHeader/>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True \ predicted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Deep C.</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Periap.</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 (val / test)</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177 / 187</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 / 30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5</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 / 22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21 / 24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 / 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68 / 63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 / 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7 / 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Each cell gives validation / test counts of ground-truth crops. Source: same reports as Table VII.</w:t>
      </w:r>
    </w:p>
    <w:p>
      <w:pPr>
        <w:pStyle w:val="Heading1"/>
      </w:pPr>
      <w:r>
        <w:rPr>
          <w:rFonts w:ascii="Times New Roman" w:cs="Times New Roman" w:eastAsia="Times New Roman" w:hAnsi="Times New Roman"/>
          <w:b w:val="false"/>
          <w:bCs w:val="false"/>
          <w:i w:val="false"/>
          <w:iCs w:val="false"/>
        </w:rPr>
        <w:t xml:space="preserve">X. Detailed Results and Error Analysis</w:t>
      </w:r>
    </w:p>
    <w:p>
      <w:pPr>
        <w:pStyle w:val="Heading2"/>
      </w:pPr>
      <w:r>
        <w:rPr>
          <w:rFonts w:ascii="Times New Roman" w:cs="Times New Roman" w:eastAsia="Times New Roman" w:hAnsi="Times New Roman"/>
          <w:b w:val="false"/>
          <w:bCs w:val="false"/>
          <w:i w:val="false"/>
          <w:iCs w:val="false"/>
        </w:rPr>
        <w:t xml:space="preserve">A. End-to-End Validation: Detector Boxes Instead of Ground Truth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 numbers above assume perfect boxes. A dedicated study ran the production path—detector, then crop, then classifier—on the 65 validation radiographs of the findings sub-set (331 findings) without touching calibration or test data (Table IX). It first confirmed that production and evaluation pre-processing give byte-identical pixels and identical predictions on all 331 crops, which rules out a train/inference pre-processing mismatch.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Detection precision could be scored only on the 24 radiographs that also have a complete tooth annotation. On those, the detector found 716 of 719 teeth at IoU 0.5, but only 582 at IoU 0.75. On the 65 finding radiographs, detector boxes matched 323 of the 331 findings. Of the 8 unmatched findings, 4 were genuine detector misses. The other 4 were teeth carrying two findings, where one detector box can match only one annotation.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End-to-End Validation (65 Radiographs, 331 Findings)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40"/>
        <w:gridCol w:w="900"/>
        <w:gridCol w:w="1500"/>
      </w:tblGrid>
      <w:tr>
        <w:trPr>
          <w:cantSplit/>
          <w:tblHeader/>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GT boxes</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Detector boxes</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on 24 fully annotated films: P / R / F1 @ IoU 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0.977 / 0.996 / 0.986</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at IoU 0.75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0.794 / 0.809 / 0.802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matched teeth: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0.830</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0.811</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0.649</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 recall</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0.688</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findings (miss = wrong):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0.825</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Deep Caries recall (n = 45)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0.333</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Periapical Lesion recall (n = 9)</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Unlabeled detector boxes given a finding class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1,580 of 1,903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Data/reports/end_to_end_validation_evaluation.md/.json (2026-10-15). Validation also selected the epochs, so all numbers are optimistic.</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accuracy loss from 0.825 to 0.792 (11 findings) breaks down into 20 findings that became wrong with detector boxes, 14 that became right, and 5 correct findings lost to non-matching. Predictions changed for about 10 % of teeth even when the detector box overlapped the annotation with IoU 0.8–1.0. The classifier is therefore sensitive to small crop shifts, not only to badly placed boxes. The loss is concentrated in the two rare classes: Periapical Lesion recall fell from 7/9 to 4/9 and its precision on matched teeth from 0.46 to 0.29. Eight of the 331 findings (2.4 %) sit on teeth with a second finding, including 4 of the 9 validation Periapical Lesions, and a single-label classifier cannot be right for both.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largest practical limitation is outside these metrics. Of 1,903 detector boxes on the 65 radiographs, 1,580 match no annotated finding. Because the classifier has no “no finding” class, the application shows a closest finding class for each of them. On the 24 fully annotated films, 584 such boxes cover real teeth without a finding label, and the classifier called them Caries 475, Periapical Lesion 71, Deep Caries 23 and Impacted 15 times. DENTEX does not certify that unlabeled teeth are healthy, so these outputs cannot be scored as false positives, but the user sees them. This is a design limitation, not a threshold problem.</w:t>
      </w:r>
    </w:p>
    <w:p>
      <w:pPr>
        <w:pStyle w:val="Heading2"/>
      </w:pPr>
      <w:r>
        <w:rPr>
          <w:rFonts w:ascii="Times New Roman" w:cs="Times New Roman" w:eastAsia="Times New Roman" w:hAnsi="Times New Roman"/>
          <w:b w:val="false"/>
          <w:bCs w:val="false"/>
          <w:i w:val="false"/>
          <w:iCs w:val="false"/>
        </w:rPr>
        <w:t xml:space="preserve">B. Attempts to Improve the Classifier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 summarizes the controlled experiments run to improve the finding classifier. All were evaluated on validation only, with acceptance criteria fixed before the results were known. The criteria were a detector-box macro-F1 gain larger than 0.027 in at least four of five paired seeds, no loss of Deep Caries or Periapical Lesion recall, and limits on per-class losses. None of the experiments met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Classifier-Improvement Experiments (Validation, 5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1790"/>
        <w:gridCol w:w="1000"/>
        <w:gridCol w:w="1000"/>
      </w:tblGrid>
      <w:tr>
        <w:trPr>
          <w:cantSplit/>
          <w:tblHeader/>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Study</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Variant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Macro-F1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Verdict</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 imbalance, GT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inverse-freq. weights, cap 5 (C0)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0.764 ± 0.027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weighted sampler</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0.766 ± 0.009</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oversampling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0.774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focal loss (γ = 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0.750 ± 0.022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square-root weights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0.742 ± 0.024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 rebalancing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0.751 ± 0.017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reference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minority geometric aug.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0.751 ± 0.020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Crop jitter,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C0r (baseline)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0.723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jittered training boxes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0.720 ± 0.038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Training recipe,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production recipe 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0.722 ± 0.045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 recipe 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0.724 ± 0.015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Kaggle re-run,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0.726 ± 0.026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6 variants (best mean gain +0.004)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0.712–0.730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none accepted</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docs/audit_evidence/ml_improvement/imbalance/report.md, Data/reports/crop_robustness_experiment.md, training_recipe_comparison_results.md, checkpoints/kaggle_candidates/dc9c505b/README.md. GT-box and detector-box rows are not comparable with each other. Every alternative imbalance method lowered Deep Caries recall relative to C0.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findings from these studies matter for interpreting Table VII. First, re-running the production trainer with seed 42 reproduced the deployed classifier bit for bit. Five seeds of the same recipe gave detector-box macro-F1 between 0.651 (the deployed seed) and 0.776. The deployed checkpoint is therefore the weakest of five draws of its recipe, not evidence that the recipe is worse. Choosing the best seed by validation score would, however, be selection on validation, so no replacement was promoted. Second, crop jitter shifted the operating point toward the minority classes (Deep Caries recall +0.117) at the cost of precision, instead of making predictions more stable.</w:t>
      </w:r>
    </w:p>
    <w:p>
      <w:pPr>
        <w:pStyle w:val="Heading1"/>
      </w:pPr>
      <w:r>
        <w:rPr>
          <w:rFonts w:ascii="Times New Roman" w:cs="Times New Roman" w:eastAsia="Times New Roman" w:hAnsi="Times New Roman"/>
          <w:b w:val="false"/>
          <w:bCs w:val="false"/>
          <w:i w:val="false"/>
          <w:iCs w:val="false"/>
        </w:rPr>
        <w:t xml:space="preserve">XI. Uncertainty Estimation, Calibration and Human Review</w:t>
      </w:r>
    </w:p>
    <w:p>
      <w:pPr>
        <w:pStyle w:val="Heading2"/>
      </w:pPr>
      <w:r>
        <w:rPr>
          <w:rFonts w:ascii="Times New Roman" w:cs="Times New Roman" w:eastAsia="Times New Roman" w:hAnsi="Times New Roman"/>
          <w:b w:val="false"/>
          <w:bCs w:val="false"/>
          <w:i w:val="false"/>
          <w:iCs w:val="false"/>
        </w:rPr>
        <w:t xml:space="preserve">A. Error Capture and Calibration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XI reports the classifier’s uncertainty on ground-truth crops, with thresholds and the temperature fitted on the calibration split and then applied once to the test split. On test, the entropy flag marks 54.2 % of crops. Their error rate is 34.4 %, against 6.2 % for unflagged crops, and they contain 86.8 % of all errors (66 of 76). The flag therefore catches most errors, but it misses 13.2 % of them and sends more than half of all regions to review. The signals carry real information about errors (AUROC 0.768 for entropy and 0.745 for flip disagreement). On test, the simpler 1 − max-probability score ranked errors slightly better (0.790).</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Uncertainty and Calibration of the Finding Classifier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1150"/>
        <w:gridCol w:w="14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Calibration</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Crops / accuracy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324 / 0.830</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354 / 0.785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(15 bins) / Brier, raw scores</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0.071 / 0.277</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0.048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 Brier after temperature T = 0.95</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0.076 / 0.276</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0.036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for errors: entropy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0.721</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flip disagreement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0.709</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0.745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1 − max probability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0.713</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Flagged by entropy ≥ 0.397</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threshold fitted</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54.2 %</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 rate flagged / unflagged</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0.344 / 0.062</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Errors inside flagged set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Flip-unstable (≥ 0.076): share; error rate vs. stable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90th pct.</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9.3 %; 0.485 vs. 0.187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Data/reports/uncertainty_evaluation.json (2026-10-14; test-ledger entry 5). Temperature scaling is not applied in the application.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Temperature scaling gives a mixed result. The fitted temperature (0.95) is close to 1. It lowered test ECE from 0.048 to 0.036 but raised calibration ECE from 0.071 to 0.076, on the very split it was fitted on, and left the Brier score almost unchanged. Because the effect is small and inconsistent between splits, the application keeps raw scores and labels them as uncalibrated.</w:t>
      </w:r>
    </w:p>
    <w:p>
      <w:pPr>
        <w:pStyle w:val="Heading2"/>
      </w:pPr>
      <w:r>
        <w:rPr>
          <w:rFonts w:ascii="Times New Roman" w:cs="Times New Roman" w:eastAsia="Times New Roman" w:hAnsi="Times New Roman"/>
          <w:b w:val="false"/>
          <w:bCs w:val="false"/>
          <w:i w:val="false"/>
          <w:iCs w:val="false"/>
        </w:rPr>
        <w:t xml:space="preserve">B. Flip-Instability Signals of the Detector and Segmenter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separate check on 30 validation radiographs, run through the live API with the real models, tested whether flip instability flags poor masks or false detections (Table XII). Mask instability ranked masks with IoU below 0.8 only weakly (AUROC 0.593), and detection instability ranked false positives with AUROC 0.644. With only 27 false positives among 878 detections, this second estimate rests on few events. Neither signal should be presented as a validated error detector.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Flip-Instability Validation (30 Validation Radiographs)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40"/>
        <w:gridCol w:w="700"/>
        <w:gridCol w:w="2300"/>
        <w:gridCol w:w="700"/>
      </w:tblGrid>
      <w:tr>
        <w:trPr>
          <w:cantSplit/>
          <w:tblHeader/>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Signal</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Regions</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Target event</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AUROC</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851</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IoU vs. GT &lt; 0.8 (51.8 %)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0.593</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Detection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878</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false-positive box (27; 3.1 %)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Data/reports/instability_validation.json (2026-10-14). Error rate above vs. at or below the median mask signal: 0.598 vs. 0.439.</w:t>
      </w:r>
    </w:p>
    <w:p>
      <w:pPr>
        <w:pStyle w:val="Heading2"/>
      </w:pPr>
      <w:r>
        <w:rPr>
          <w:rFonts w:ascii="Times New Roman" w:cs="Times New Roman" w:eastAsia="Times New Roman" w:hAnsi="Times New Roman"/>
          <w:b w:val="false"/>
          <w:bCs w:val="false"/>
          <w:i w:val="false"/>
          <w:iCs w:val="false"/>
        </w:rPr>
        <w:t xml:space="preserve">C. Abstention Rules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An offline experiment compared 33 abstention rules—entropy, maximum-probability and top-2-margin thresholds—on detector crops (Table XIII). Rules were selected on calibration and confirmed on validation, and the test split was never read. Only “abstain if max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0.75” passed the calibration criteria. It raised validation coverage from 0.520 to 0.638 at almost the same risk (bootstrap 95 % CI of the risk difference −0.018 to +0.026). It failed the minority-class criterion, however: Periapical Lesion precision fell from 0.50 to 0.43. The production entropy rule was therefore kept. The candidate would also have named a class for 345 instead of 250 of the 584 unlabeled tooth boxes, whose correctness cannot be measured.</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Abstention Rules on Detector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00"/>
        <w:gridCol w:w="650"/>
        <w:gridCol w:w="950"/>
        <w:gridCol w:w="100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Rule / split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Coverage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Risk</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Macro-F1 (all)</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PL P / R</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0.093</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0.570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0.80 / 0.50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max p &lt; 0.75,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0.623</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0.096</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0.75 / 0.56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0.119</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 / 0.43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max p &lt; 0.75,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0.121</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0.571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0.43 / 0.43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docs/audit_evidence/ml_improvement/abstention/report.md (2026-10-15). Calibration 318 and validation 323 matched findings. “All” counts abstained and missing crops as not recalled. PL = Periapical Lesion; precision is over accepted crops.</w:t>
      </w:r>
    </w:p>
    <w:p>
      <w:pPr>
        <w:pStyle w:val="Heading2"/>
      </w:pPr>
      <w:r>
        <w:rPr>
          <w:rFonts w:ascii="Times New Roman" w:cs="Times New Roman" w:eastAsia="Times New Roman" w:hAnsi="Times New Roman"/>
          <w:b w:val="false"/>
          <w:bCs w:val="false"/>
          <w:i w:val="false"/>
          <w:iCs w:val="false"/>
        </w:rPr>
        <w:t xml:space="preserve">D. Human Review in Practice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review mechanism is implemented and unit-tested, but its clinical value is unmeasured. No study with qualified dental reviewers has been run, reviewer identities are not verified, and retraining with approved reviews is implemented but has never been executed. In the archived UI audit (2026-10-14) on an unlabeled DENTEX validation radiograph, the application reported 32 regions, 27 with a number and 30 with a mask, and recommended 26 of the 32 for review. This matches the high flag rate of Table XI and shows that the present thresholds shift a large share of the work to the reviewer.</w:t>
      </w:r>
    </w:p>
    <w:p>
      <w:pPr>
        <w:pStyle w:val="Heading1"/>
      </w:pPr>
      <w:r>
        <w:rPr>
          <w:rFonts w:ascii="Times New Roman" w:cs="Times New Roman" w:eastAsia="Times New Roman" w:hAnsi="Times New Roman"/>
          <w:b w:val="false"/>
          <w:bCs w:val="false"/>
          <w:i w:val="false"/>
          <w:iCs w:val="false"/>
        </w:rPr>
        <w:t xml:space="preserve">XII. End-to-End System Implementation</w:t>
      </w:r>
    </w:p>
    <w:p>
      <w:pPr>
        <w:pStyle w:val="Heading2"/>
      </w:pPr>
      <w:r>
        <w:rPr>
          <w:rFonts w:ascii="Times New Roman" w:cs="Times New Roman" w:eastAsia="Times New Roman" w:hAnsi="Times New Roman"/>
          <w:b w:val="false"/>
          <w:bCs w:val="false"/>
          <w:i w:val="false"/>
          <w:iCs w:val="false"/>
        </w:rPr>
        <w:t xml:space="preserve">A. Active Learning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application can rank unlabeled pool radiographs by uncertainty for annotation. A simulated study measured whether this saves labels (Table XIV). Labels already present in the training split were revealed on selection, and a ResNet-18 was retrained at each budget (160 px, 8 epochs, three seeds). Entropy and combined selection did not beat random selection. Paired differences against random over budgets 120–300 averaged −0.005 (entropy, better in 7 of 12) and −0.011 (combined, better in 4 of 12), well within seed variation [17]. The study measures label efficiency, not annotator effort, and the Label Studio loop was not exercised against a live server.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Active Learning: Validation Macro-F1 (Mean ± SD, 3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1320"/>
        <w:gridCol w:w="1320"/>
        <w:gridCol w:w="1320"/>
      </w:tblGrid>
      <w:tr>
        <w:trPr>
          <w:cantSplit/>
          <w:tblHeader/>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Labeled films</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Random</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Entropy</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Combined</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0.639 ± 0.011</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0.618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0.680 ± 0.019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0.665 ± 0.035</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0.640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240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0.712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0.695 ± 0.010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0.702 ± 0.026</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300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0.706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0.706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0.720 ± 0.027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Data/reports/active_learning_experiment.md/.json (pool 476 radiographs; evaluation 331 validation crops). Paired differences: docs/UNCERTAINTY_AND_ACTIVE_LEARNING.md.</w:t>
      </w:r>
    </w:p>
    <w:p>
      <w:pPr>
        <w:pStyle w:val="Heading2"/>
      </w:pPr>
      <w:r>
        <w:rPr>
          <w:rFonts w:ascii="Times New Roman" w:cs="Times New Roman" w:eastAsia="Times New Roman" w:hAnsi="Times New Roman"/>
          <w:b w:val="false"/>
          <w:bCs w:val="false"/>
          <w:i w:val="false"/>
          <w:iCs w:val="false"/>
        </w:rPr>
        <w:t xml:space="preserve">B. Inference Cost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 gives inference times on the RTX 3050 Laptop GPU for 10 panoramic images of up to 3,076 × 1,536 pixels, after two warm-up runs. Detection takes about 0.1 s per image and segmentation about 0.3 s, with peak GPU memory up to 1.65 GB. The detection-plus-numbering harness runs the detector twice, so it overstates the application’s cost. In the same UI audit, the application reported 1.92 s for the full analysis of one image, including the flipped passes.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Inference Benchmark (RTX 3050 Laptop GPU, 10 Images)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660"/>
        <w:gridCol w:w="760"/>
        <w:gridCol w:w="660"/>
        <w:gridCol w:w="660"/>
        <w:gridCol w:w="800"/>
      </w:tblGrid>
      <w:tr>
        <w:trPr>
          <w:cantSplit/>
          <w:tblHeader/>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Stage</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Mean s</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Median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p95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Img/s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Peak MB</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0.153</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9.08</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613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Segmentation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0.285</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0.298</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3.51</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1,653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 numbering</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0.334</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0.332</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0.367</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2.99</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985</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Detection + classification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0.252</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0.246</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0.291</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3.96</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1,039</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Data/reports/benchmark_inference.json (2026-10-14), 0 failures. The report lists 11 image sizes for 10 images; this inconsistency is unresolved.</w:t>
      </w:r>
    </w:p>
    <w:p>
      <w:pPr>
        <w:pStyle w:val="Heading2"/>
      </w:pPr>
      <w:r>
        <w:rPr>
          <w:rFonts w:ascii="Times New Roman" w:cs="Times New Roman" w:eastAsia="Times New Roman" w:hAnsi="Times New Roman"/>
          <w:b w:val="false"/>
          <w:bCs w:val="false"/>
          <w:i w:val="false"/>
          <w:iCs w:val="false"/>
        </w:rPr>
        <w:t xml:space="preserve">C. Software Verification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project test suite reported 309 passing tests and no failures after the last training run (reports/training_summary.md). The tests cover label mapping, split isolation, abstention rules, the final-result rule and resumed-training determinism. These tests verify software behavior, not clinical performance.</w:t>
      </w:r>
    </w:p>
    <w:p>
      <w:pPr>
        <w:pStyle w:val="Heading1"/>
      </w:pPr>
      <w:r>
        <w:rPr>
          <w:rFonts w:ascii="Times New Roman" w:cs="Times New Roman" w:eastAsia="Times New Roman" w:hAnsi="Times New Roman"/>
          <w:b w:val="false"/>
          <w:bCs w:val="false"/>
          <w:i w:val="false"/>
          <w:iCs w:val="false"/>
        </w:rPr>
        <w:t xml:space="preserve">XIII. Data Integrity and Reproducibility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XVI summarizes the leakage check of 2026-10-15: 17 of 18 checks passed and one gave a warning. No radiograph, identified by file-byte hash, appears in two splits. No image used for training or epoch selection of any model is in the test split. Near-duplicate candidates found by perceptual hashing were all rejected by a pixel-correlation test (r ≥ 0.97). The warning concerns three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that duplicate test radiographs; they are not used in any metric. These checks prove only the absence of identical or near-identical films across splits. DENTEX has no patient identifiers, so two different radiographs of the same patient could fall into different splits. Patient-level leakage therefore cannot be excluded [9].</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Leakage Checks (Held-Out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240"/>
        <w:gridCol w:w="800"/>
        <w:gridCol w:w="1000"/>
      </w:tblGrid>
      <w:tr>
        <w:trPr>
          <w:cantSplit/>
          <w:tblHeader/>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Check (unit: SHA-256 of file bytes)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Overlap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Result</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six split pairs (train/val/cal/test)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 task: training images vs. all test films (4 tasks)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 task: epoch-selection images vs. all test films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Unlabeled pool (after duplicate exclusion)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Approved-review training items vs. 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Near duplicates across splits (r ≥ 0.97)</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validation_data (unlabeled)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warning</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Data/reports/leakage_check.md. Distinct annotated radiographs: train 794, validation 113, calibration 113, test 113.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Use of the test split is gated in code. A test evaluation needs an explicit flag, a named authorizer, a written reason and a prior validation report for the same checkpoint hash. Partial test runs and repeated test runs for the same purpose are refused, and every run is appended to a hash-chained ledger. Table XVII lists all recorded uses. The four deployed checkpoints were test-evaluated on 2026-10-14, before the authorization fields existed, so their entries have no authorizer. We also found one use outside the ledger: the Kaggle re-run evaluated its BASE recipe once on the test split on 2026-10-16 (ground-truth-box macro-F1 0.693 ± 0.030 over five seeds). A disclosure record was prepared, but the entry has not been appended to the ledger.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Recorded Uses of the Internal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80"/>
        <w:gridCol w:w="2020"/>
        <w:gridCol w:w="980"/>
        <w:gridCol w:w="980"/>
        <w:gridCol w:w="680"/>
      </w:tblGrid>
      <w:tr>
        <w:trPr>
          <w:cantSplit/>
          <w:tblHeader/>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Checkpoint / run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Task</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Date</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Films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dentex_fdi_numbering_v1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numbering</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dentex_findings_classification_v1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3</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dentex_teeth_detection_v1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detection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4</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dentex_teeth_segmentation_v1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segmentation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5</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classifier uncertainty evaluation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calibration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crops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(6)</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Kaggle BASE, seeds 42–46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2026-10-16</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73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Entries 1–5: Data/reports/test_set_ledger.json. Entry (6) is not in the ledger; source: reports/p5_disclosure_entry.json.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Reproducibility is supported but limited. Every evaluation report records the dataset fingerprint, manifest and split hashes, and the software versions. Checkpoint SHA-256 values match the prefixes recorded at training time. The four deployed checkpoints are, however, legacy: they were trained before image-level training manifests existed. Their recorded image counts match the current split, which is consistent with, but does not prove, training on exactly these images. Checkpoints trained later carry a manifest that the model registry verifies.</w:t>
      </w:r>
    </w:p>
    <w:p>
      <w:pPr>
        <w:pStyle w:val="Heading1"/>
      </w:pPr>
      <w:r>
        <w:rPr>
          <w:rFonts w:ascii="Times New Roman" w:cs="Times New Roman" w:eastAsia="Times New Roman" w:hAnsi="Times New Roman"/>
          <w:b w:val="false"/>
          <w:bCs w:val="false"/>
          <w:i w:val="false"/>
          <w:iCs w:val="false"/>
        </w:rPr>
        <w:t xml:space="preserve">XIV. Limitations and Ethical Considerations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evidence has clear boundaries. All models were trained and tested on one dataset, from three institutions, with one seed and a single hold-out split, so performance on other scanners, pediatric patients or unusual images is unknown. The validation and test splits are small (65–73 radiographs per task), and Periapical Lesion has only 9 validation and 13 test findings, so its metrics move by large steps when a single crop changes. Validation numbers are optimistic because validation chose the epochs. The internal test split has now been used, so later results on it are not untouched estimates, and an external test set would be needed for an unbiased estimate. Patient-level leakage cannot be excluded.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classifier’s design limits what the system can say. It has no healthy class, returns one label per tooth, names a closest finding for every detected tooth, and its scores are not calibrated probabilities. The entropy flag sends more than half of the regions to review and still misses 13 % of errors. The thresholds are provisional, and no study has measured whether review by qualified clinicians improves accuracy or safety. Reviewer identities are self-declared, and the Hindi and Marathi report wording has not been reviewed by native-speaking dental professionals.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Ethically, DentaMind AI is a research prototype. It does not diagnose, and its reports are marked as unconfirmed drafts that require a qualified professional’s review. We make no claim of clinical validation, autonomous diagnosis or improved patient outcomes. DENTEX images are de-identified public research data, and their license terms must be followed for any reuse. All figures are schematic drawings; no radiograph is reproduced.</w:t>
      </w:r>
    </w:p>
    <w:p>
      <w:pPr>
        <w:pStyle w:val="Heading1"/>
      </w:pPr>
      <w:r>
        <w:rPr>
          <w:rFonts w:ascii="Times New Roman" w:cs="Times New Roman" w:eastAsia="Times New Roman" w:hAnsi="Times New Roman"/>
          <w:b w:val="false"/>
          <w:bCs w:val="false"/>
          <w:i w:val="false"/>
          <w:iCs w:val="false"/>
        </w:rPr>
        <w:t xml:space="preserve">XV. Conclusion and Future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DentaMind AI shows that standard detectors reach high tooth-localization quality on DENTEX: test AP50 0.966 for detection, mask AP50 0.974 for segmentation, and 96.8 % exact FDI numbering among matched teeth. Finding classification is the weak link. Macro-F1 is 0.646 on ground-truth test crops and falls further, to 0.634 on validation, when detector boxes are used. Deep Caries and Periapical Lesion are poorly recognized. Uncertainty flags capture most classifier errors but route more than half of the regions to review. Four controlled attempts to improve the classifier did not meet their pre-set criteria, and active learning did not beat random selection. We report these negative results because they bound what the system can currently claim.</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Future work follows directly from these limits: a separately sourced external test set evaluated once under the documented protocol; patient identifiers that allow patient-grouped splits; labels for teeth without findings, so that a “no finding” class and real false-positive rates become measurable; a multi-label formulation for teeth with several findings; and a reader study with qualified dentists to measure whether uncertainty-guided review improves accuracy. After the evaluation reported here,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It is reported separately, was not used to select any model in this paper, and does not change the results above.</w:t>
      </w:r>
    </w:p>
    <w:p>
      <w:pPr>
        <w:pStyle w:val="Heading1"/>
      </w:pPr>
      <w:r>
        <w:rPr>
          <w:rFonts w:ascii="Times New Roman" w:cs="Times New Roman" w:eastAsia="Times New Roman" w:hAnsi="Times New Roman"/>
          <w:b w:val="false"/>
          <w:bCs w:val="false"/>
          <w:i w:val="false"/>
          <w:iCs w:val="false"/>
        </w:rPr>
        <w:t xml:space="preserve">Acknowledgment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authors thank their guide, Dr. Pradnya Narkhede, Department of Computer Engineering, PCCOE, for guidance and supervision. The manuscript text was drafted with the assistance of an AI writing tool (Claude, Anthropic) from the project’s own code and evaluation reports, and every reported number was reconciled against those reports. The authors are responsible for the content of this paper.</w:t>
      </w:r>
    </w:p>
    <w:p>
      <w:pPr>
        <w:pStyle w:val="Heading1"/>
      </w:pPr>
      <w:r>
        <w:rPr>
          <w:rFonts w:ascii="Times New Roman" w:cs="Times New Roman" w:eastAsia="Times New Roman" w:hAnsi="Times New Roman"/>
          <w:b w:val="false"/>
          <w:bCs w:val="false"/>
          <w:i w:val="false"/>
          <w:iCs w:val="false"/>
        </w:rPr>
        <w:t xml:space="preserve">References</w:t>
      </w:r>
    </w:p>
    <w:p>
      <w:pPr>
        <w:tabs>
          <w:tab w:val="left" w:pos="400"/>
        </w:tabs>
        <w:spacing w:after="30"/>
        <w:ind w:left="400" w:hanging="40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H. Putra, E. R. Astuti, D. K. Putri, M. Widiasri, P. A. M. Laksanti, H. Majidah, and N. Yoda, “Automated permanent tooth detection and numbering on panoramic radiograph using a deep learning approach,” </w:t>
      </w:r>
      <w:r>
        <w:rPr>
          <w:rFonts w:ascii="Times New Roman" w:cs="Times New Roman" w:eastAsia="Times New Roman" w:hAnsi="Times New Roman"/>
          <w:b w:val="false"/>
          <w:bCs w:val="false"/>
          <w:i/>
          <w:iCs/>
          <w:sz w:val="16"/>
          <w:szCs w:val="16"/>
        </w:rPr>
        <w:t xml:space="preserve">Oral Surg. Oral Med. Oral Pathol. Oral Radiol.</w:t>
      </w:r>
      <w:r>
        <w:rPr>
          <w:rFonts w:ascii="Times New Roman" w:cs="Times New Roman" w:eastAsia="Times New Roman" w:hAnsi="Times New Roman"/>
          <w:b w:val="false"/>
          <w:bCs w:val="false"/>
          <w:i w:val="false"/>
          <w:iCs w:val="false"/>
          <w:sz w:val="16"/>
          <w:szCs w:val="16"/>
        </w:rPr>
        <w:t xml:space="preserve">, vol. 137, no. 5, pp. 537–544, May 2024, doi: 10.1016/j.oooo.2023.06.003.</w:t>
      </w:r>
    </w:p>
    <w:p>
      <w:pPr>
        <w:tabs>
          <w:tab w:val="left" w:pos="400"/>
        </w:tabs>
        <w:spacing w:after="30"/>
        <w:ind w:left="400" w:hanging="40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B. Peker and C. O. Kurtoglu, “Evaluation of the performance of a YOLOv10-based deep learning model for tooth detection and numbering on panoramic radiographs of patients in the mixed dentition period,”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405, Feb. 2025, doi: 10.3390/diagnostics15040405.</w:t>
      </w:r>
    </w:p>
    <w:p>
      <w:pPr>
        <w:tabs>
          <w:tab w:val="left" w:pos="400"/>
        </w:tabs>
        <w:spacing w:after="30"/>
        <w:ind w:left="400" w:hanging="40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Tang, T. Mameno, T. Hayami, C. Lee, S. Date, K. Ikebe, and K. Nozaki, “Assessment of the impact of missing teeth on deep learning-based tooth numbering method from panoramic X-rays,” </w:t>
      </w:r>
      <w:r>
        <w:rPr>
          <w:rFonts w:ascii="Times New Roman" w:cs="Times New Roman" w:eastAsia="Times New Roman" w:hAnsi="Times New Roman"/>
          <w:b w:val="false"/>
          <w:bCs w:val="false"/>
          <w:i/>
          <w:iCs/>
          <w:sz w:val="16"/>
          <w:szCs w:val="16"/>
        </w:rPr>
        <w:t xml:space="preserve">IEEE Access</w:t>
      </w:r>
      <w:r>
        <w:rPr>
          <w:rFonts w:ascii="Times New Roman" w:cs="Times New Roman" w:eastAsia="Times New Roman" w:hAnsi="Times New Roman"/>
          <w:b w:val="false"/>
          <w:bCs w:val="false"/>
          <w:i w:val="false"/>
          <w:iCs w:val="false"/>
          <w:sz w:val="16"/>
          <w:szCs w:val="16"/>
        </w:rPr>
        <w:t xml:space="preserve">, vol. 13, pp. 50274–50281, 2025, doi: 10.1109/ACCESS.2025.3552203.</w:t>
      </w:r>
    </w:p>
    <w:p>
      <w:pPr>
        <w:tabs>
          <w:tab w:val="left" w:pos="400"/>
        </w:tabs>
        <w:spacing w:after="30"/>
        <w:ind w:left="400" w:hanging="40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V. Szabó, K. Orhan, C. Dobó-Nagy, D. S. Veres, D. Manulis, M. Ezhov, A. Sanders, and B. T. Szabó, “Deep learning-based periapical lesion detection on panoramic radiographs,”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510, Feb. 2025, doi: 10.3390/diagnostics15040510.</w:t>
      </w:r>
    </w:p>
    <w:p>
      <w:pPr>
        <w:tabs>
          <w:tab w:val="left" w:pos="400"/>
        </w:tabs>
        <w:spacing w:after="30"/>
        <w:ind w:left="400" w:hanging="40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Raeisi, S. Rokhva, F. Rahmani, A. Goodarzi, and H. Najafzadeh, “Multi-label diagnosis of dental conditions from panoramic x-rays using attention-enhanced deep learning,” </w:t>
      </w:r>
      <w:r>
        <w:rPr>
          <w:rFonts w:ascii="Times New Roman" w:cs="Times New Roman" w:eastAsia="Times New Roman" w:hAnsi="Times New Roman"/>
          <w:b w:val="false"/>
          <w:bCs w:val="false"/>
          <w:i/>
          <w:iCs/>
          <w:sz w:val="16"/>
          <w:szCs w:val="16"/>
        </w:rPr>
        <w:t xml:space="preserve">Oral Maxillofac. Surg.</w:t>
      </w:r>
      <w:r>
        <w:rPr>
          <w:rFonts w:ascii="Times New Roman" w:cs="Times New Roman" w:eastAsia="Times New Roman" w:hAnsi="Times New Roman"/>
          <w:b w:val="false"/>
          <w:bCs w:val="false"/>
          <w:i w:val="false"/>
          <w:iCs w:val="false"/>
          <w:sz w:val="16"/>
          <w:szCs w:val="16"/>
        </w:rPr>
        <w:t xml:space="preserve">, vol. 29, no. 1, Art. no. 166, Oct. 2025, doi: 10.1007/s10006-025-01463-y.</w:t>
      </w:r>
    </w:p>
    <w:p>
      <w:pPr>
        <w:tabs>
          <w:tab w:val="left" w:pos="400"/>
        </w:tabs>
        <w:spacing w:after="30"/>
        <w:ind w:left="400" w:hanging="40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Bittar, R. Dascanio, and M. Özcan, “Artificial intelligence for dental caries detection: An umbrella review,” </w:t>
      </w:r>
      <w:r>
        <w:rPr>
          <w:rFonts w:ascii="Times New Roman" w:cs="Times New Roman" w:eastAsia="Times New Roman" w:hAnsi="Times New Roman"/>
          <w:b w:val="false"/>
          <w:bCs w:val="false"/>
          <w:i/>
          <w:iCs/>
          <w:sz w:val="16"/>
          <w:szCs w:val="16"/>
        </w:rPr>
        <w:t xml:space="preserve">J. Dent.</w:t>
      </w:r>
      <w:r>
        <w:rPr>
          <w:rFonts w:ascii="Times New Roman" w:cs="Times New Roman" w:eastAsia="Times New Roman" w:hAnsi="Times New Roman"/>
          <w:b w:val="false"/>
          <w:bCs w:val="false"/>
          <w:i w:val="false"/>
          <w:iCs w:val="false"/>
          <w:sz w:val="16"/>
          <w:szCs w:val="16"/>
        </w:rPr>
        <w:t xml:space="preserve">, vol. 175, Art. no. 106944, Dec. 2026, doi: 10.1016/j.jdent.2026.106944.</w:t>
      </w:r>
    </w:p>
    <w:p>
      <w:pPr>
        <w:tabs>
          <w:tab w:val="left" w:pos="400"/>
        </w:tabs>
        <w:spacing w:after="30"/>
        <w:ind w:left="400" w:hanging="40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O. F. Durugol, G. R. Cakmak, E. de la Rosa, E. Simsar, et al., “DENTEX: Dental enumeration and tooth pathosis detection benchmark for panoramic X-ray,” </w:t>
      </w:r>
      <w:r>
        <w:rPr>
          <w:rFonts w:ascii="Times New Roman" w:cs="Times New Roman" w:eastAsia="Times New Roman" w:hAnsi="Times New Roman"/>
          <w:b w:val="false"/>
          <w:bCs w:val="false"/>
          <w:i/>
          <w:iCs/>
          <w:sz w:val="16"/>
          <w:szCs w:val="16"/>
        </w:rPr>
        <w:t xml:space="preserve">arXiv preprint</w:t>
      </w:r>
      <w:r>
        <w:rPr>
          <w:rFonts w:ascii="Times New Roman" w:cs="Times New Roman" w:eastAsia="Times New Roman" w:hAnsi="Times New Roman"/>
          <w:b w:val="false"/>
          <w:bCs w:val="false"/>
          <w:i w:val="false"/>
          <w:iCs w:val="false"/>
          <w:sz w:val="16"/>
          <w:szCs w:val="16"/>
        </w:rPr>
        <w:t xml:space="preserve"> arXiv:2305.19112, 2023, doi: 10.48550/arXiv.2305.19112.</w:t>
      </w:r>
    </w:p>
    <w:p>
      <w:pPr>
        <w:tabs>
          <w:tab w:val="left" w:pos="400"/>
        </w:tabs>
        <w:spacing w:after="30"/>
        <w:ind w:left="400" w:hanging="40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E. Simsar, A. Sekuboyina, M. Gundogar, B. Stadlinger, A. Mehl, and B. Menze, “Diffusion-based hierarchical multi-label object detection to analyze panoramic dental X-rays,” in </w:t>
      </w:r>
      <w:r>
        <w:rPr>
          <w:rFonts w:ascii="Times New Roman" w:cs="Times New Roman" w:eastAsia="Times New Roman" w:hAnsi="Times New Roman"/>
          <w:b w:val="false"/>
          <w:bCs w:val="false"/>
          <w:i/>
          <w:iCs/>
          <w:sz w:val="16"/>
          <w:szCs w:val="16"/>
        </w:rPr>
        <w:t xml:space="preserve">Medical Image Computing and Computer Assisted Intervention (MICCAI 2023)</w:t>
      </w:r>
      <w:r>
        <w:rPr>
          <w:rFonts w:ascii="Times New Roman" w:cs="Times New Roman" w:eastAsia="Times New Roman" w:hAnsi="Times New Roman"/>
          <w:b w:val="false"/>
          <w:bCs w:val="false"/>
          <w:i w:val="false"/>
          <w:iCs w:val="false"/>
          <w:sz w:val="16"/>
          <w:szCs w:val="16"/>
        </w:rPr>
        <w:t xml:space="preserve">, Lecture Notes in Computer Science. Cham, Switzerland: Springer, 2023, pp. 389–399, doi: 10.1007/978-3-031-43987-2_38.</w:t>
      </w:r>
    </w:p>
    <w:p>
      <w:pPr>
        <w:tabs>
          <w:tab w:val="left" w:pos="400"/>
        </w:tabs>
        <w:spacing w:after="30"/>
        <w:ind w:left="400" w:hanging="40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Kapoor and A. Narayanan, “Leakage and the reproducibility crisis in machine-learning-based science,” </w:t>
      </w:r>
      <w:r>
        <w:rPr>
          <w:rFonts w:ascii="Times New Roman" w:cs="Times New Roman" w:eastAsia="Times New Roman" w:hAnsi="Times New Roman"/>
          <w:b w:val="false"/>
          <w:bCs w:val="false"/>
          <w:i/>
          <w:iCs/>
          <w:sz w:val="16"/>
          <w:szCs w:val="16"/>
        </w:rPr>
        <w:t xml:space="preserve">Patterns</w:t>
      </w:r>
      <w:r>
        <w:rPr>
          <w:rFonts w:ascii="Times New Roman" w:cs="Times New Roman" w:eastAsia="Times New Roman" w:hAnsi="Times New Roman"/>
          <w:b w:val="false"/>
          <w:bCs w:val="false"/>
          <w:i w:val="false"/>
          <w:iCs w:val="false"/>
          <w:sz w:val="16"/>
          <w:szCs w:val="16"/>
        </w:rPr>
        <w:t xml:space="preserve">, vol. 4, no. 9, Art. no. 100804, Sep. 2023, doi: 10.1016/j.patter.2023.100804.</w:t>
      </w:r>
    </w:p>
    <w:p>
      <w:pPr>
        <w:tabs>
          <w:tab w:val="left" w:pos="400"/>
        </w:tabs>
        <w:spacing w:after="30"/>
        <w:ind w:left="400" w:hanging="4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Ayhan, E. Ayan, and Y. Bayraktar, “A novel deep learning-based perspective for tooth numbering and caries detection,” </w:t>
      </w:r>
      <w:r>
        <w:rPr>
          <w:rFonts w:ascii="Times New Roman" w:cs="Times New Roman" w:eastAsia="Times New Roman" w:hAnsi="Times New Roman"/>
          <w:b w:val="false"/>
          <w:bCs w:val="false"/>
          <w:i/>
          <w:iCs/>
          <w:sz w:val="16"/>
          <w:szCs w:val="16"/>
        </w:rPr>
        <w:t xml:space="preserve">Clin. Oral Investig.</w:t>
      </w:r>
      <w:r>
        <w:rPr>
          <w:rFonts w:ascii="Times New Roman" w:cs="Times New Roman" w:eastAsia="Times New Roman" w:hAnsi="Times New Roman"/>
          <w:b w:val="false"/>
          <w:bCs w:val="false"/>
          <w:i w:val="false"/>
          <w:iCs w:val="false"/>
          <w:sz w:val="16"/>
          <w:szCs w:val="16"/>
        </w:rPr>
        <w:t xml:space="preserve">, vol. 28, no. 3, Art. no. 178, Feb. 2024, doi: 10.1007/s00784-024-05566-w.</w:t>
      </w:r>
    </w:p>
    <w:p>
      <w:pPr>
        <w:tabs>
          <w:tab w:val="left" w:pos="400"/>
        </w:tabs>
        <w:spacing w:after="30"/>
        <w:ind w:left="400" w:hanging="40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Yalım, E. Aytugar, F. Kalabalık, and İ. Akdağ, “Comparative analysis of deep learning architectures for automatic tooth segmentation in panoramic dental radiographs: Balancing accuracy and computational efficiency,”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16, no. 2, Art. no. 336, Jan. 2026, doi: 10.3390/diagnostics16020336.</w:t>
      </w:r>
    </w:p>
    <w:p>
      <w:pPr>
        <w:tabs>
          <w:tab w:val="left" w:pos="400"/>
        </w:tabs>
        <w:spacing w:after="30"/>
        <w:ind w:left="400" w:hanging="40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Geifman and R. El-Yaniv, “Selective classification for deep neural networks,” in </w:t>
      </w:r>
      <w:r>
        <w:rPr>
          <w:rFonts w:ascii="Times New Roman" w:cs="Times New Roman" w:eastAsia="Times New Roman" w:hAnsi="Times New Roman"/>
          <w:b w:val="false"/>
          <w:bCs w:val="false"/>
          <w:i/>
          <w:iCs/>
          <w:sz w:val="16"/>
          <w:szCs w:val="16"/>
        </w:rPr>
        <w:t xml:space="preserve">Proc. Adv. Neural Inf. Process. Syst. (NIPS)</w:t>
      </w:r>
      <w:r>
        <w:rPr>
          <w:rFonts w:ascii="Times New Roman" w:cs="Times New Roman" w:eastAsia="Times New Roman" w:hAnsi="Times New Roman"/>
          <w:b w:val="false"/>
          <w:bCs w:val="false"/>
          <w:i w:val="false"/>
          <w:iCs w:val="false"/>
          <w:sz w:val="16"/>
          <w:szCs w:val="16"/>
        </w:rPr>
        <w:t xml:space="preserve">, vol. 30, 2017, pp. 4878–4887.</w:t>
      </w:r>
    </w:p>
    <w:p>
      <w:pPr>
        <w:tabs>
          <w:tab w:val="left" w:pos="400"/>
        </w:tabs>
        <w:spacing w:after="30"/>
        <w:ind w:left="400" w:hanging="40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Vazhentsev, I. Sviridov, A. Barseghyan, G. Kuzmin, A. Panchenko, A. Nesterov, A. Shelmanov, and M. Panov, “Uncertainty-aware abstention in medical diagnosis based on medical texts,” </w:t>
      </w:r>
      <w:r>
        <w:rPr>
          <w:rFonts w:ascii="Times New Roman" w:cs="Times New Roman" w:eastAsia="Times New Roman" w:hAnsi="Times New Roman"/>
          <w:b w:val="false"/>
          <w:bCs w:val="false"/>
          <w:i/>
          <w:iCs/>
          <w:sz w:val="16"/>
          <w:szCs w:val="16"/>
        </w:rPr>
        <w:t xml:space="preserve">npj Artif. Intell.</w:t>
      </w:r>
      <w:r>
        <w:rPr>
          <w:rFonts w:ascii="Times New Roman" w:cs="Times New Roman" w:eastAsia="Times New Roman" w:hAnsi="Times New Roman"/>
          <w:b w:val="false"/>
          <w:bCs w:val="false"/>
          <w:i w:val="false"/>
          <w:iCs w:val="false"/>
          <w:sz w:val="16"/>
          <w:szCs w:val="16"/>
        </w:rPr>
        <w:t xml:space="preserve">, 2026, doi: 10.1038/s44387-026-00097-z.</w:t>
      </w:r>
    </w:p>
    <w:p>
      <w:pPr>
        <w:tabs>
          <w:tab w:val="left" w:pos="400"/>
        </w:tabs>
        <w:spacing w:after="30"/>
        <w:ind w:left="400" w:hanging="40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Wang, W. Li, M. Aertsen, J. Deprest, S. Ourselin, and T. Vercauteren, “Aleatoric uncertainty estimation with test-time augmentation for medical image segmentation with convolutional neural networks,” </w:t>
      </w:r>
      <w:r>
        <w:rPr>
          <w:rFonts w:ascii="Times New Roman" w:cs="Times New Roman" w:eastAsia="Times New Roman" w:hAnsi="Times New Roman"/>
          <w:b w:val="false"/>
          <w:bCs w:val="false"/>
          <w:i/>
          <w:iCs/>
          <w:sz w:val="16"/>
          <w:szCs w:val="16"/>
        </w:rPr>
        <w:t xml:space="preserve">Neurocomputing</w:t>
      </w:r>
      <w:r>
        <w:rPr>
          <w:rFonts w:ascii="Times New Roman" w:cs="Times New Roman" w:eastAsia="Times New Roman" w:hAnsi="Times New Roman"/>
          <w:b w:val="false"/>
          <w:bCs w:val="false"/>
          <w:i w:val="false"/>
          <w:iCs w:val="false"/>
          <w:sz w:val="16"/>
          <w:szCs w:val="16"/>
        </w:rPr>
        <w:t xml:space="preserve">, vol. 338, pp. 34–45, Apr. 2019, doi: 10.1016/j.neucom.2019.01.103.</w:t>
      </w:r>
    </w:p>
    <w:p>
      <w:pPr>
        <w:tabs>
          <w:tab w:val="left" w:pos="400"/>
        </w:tabs>
        <w:spacing w:after="30"/>
        <w:ind w:left="400" w:hanging="40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w:t>
      </w:r>
      <w:r>
        <w:rPr>
          <w:rFonts w:ascii="Times New Roman" w:cs="Times New Roman" w:eastAsia="Times New Roman" w:hAnsi="Times New Roman"/>
          <w:b w:val="false"/>
          <w:bCs w:val="false"/>
          <w:i/>
          <w:iCs/>
          <w:sz w:val="16"/>
          <w:szCs w:val="16"/>
        </w:rPr>
        <w:t xml:space="preserve">Proc. 34th Int. Conf. Mach. Learn. (ICML)</w:t>
      </w:r>
      <w:r>
        <w:rPr>
          <w:rFonts w:ascii="Times New Roman" w:cs="Times New Roman" w:eastAsia="Times New Roman" w:hAnsi="Times New Roman"/>
          <w:b w:val="false"/>
          <w:bCs w:val="false"/>
          <w:i w:val="false"/>
          <w:iCs w:val="false"/>
          <w:sz w:val="16"/>
          <w:szCs w:val="16"/>
        </w:rPr>
        <w:t xml:space="preserve">, PMLR, vol. 70, 2017, pp. 1321–1330.</w:t>
      </w:r>
    </w:p>
    <w:p>
      <w:pPr>
        <w:tabs>
          <w:tab w:val="left" w:pos="400"/>
        </w:tabs>
        <w:spacing w:after="30"/>
        <w:ind w:left="400" w:hanging="40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P. Naeini, G. Cooper, and M. Hauskrecht, “Obtaining well calibrated probabilities using Bayesian binning,” in </w:t>
      </w:r>
      <w:r>
        <w:rPr>
          <w:rFonts w:ascii="Times New Roman" w:cs="Times New Roman" w:eastAsia="Times New Roman" w:hAnsi="Times New Roman"/>
          <w:b w:val="false"/>
          <w:bCs w:val="false"/>
          <w:i/>
          <w:iCs/>
          <w:sz w:val="16"/>
          <w:szCs w:val="16"/>
        </w:rPr>
        <w:t xml:space="preserve">Proc. AAAI Conf. Artif. Intell.</w:t>
      </w:r>
      <w:r>
        <w:rPr>
          <w:rFonts w:ascii="Times New Roman" w:cs="Times New Roman" w:eastAsia="Times New Roman" w:hAnsi="Times New Roman"/>
          <w:b w:val="false"/>
          <w:bCs w:val="false"/>
          <w:i w:val="false"/>
          <w:iCs w:val="false"/>
          <w:sz w:val="16"/>
          <w:szCs w:val="16"/>
        </w:rPr>
        <w:t xml:space="preserve">, vol. 29, no. 1, 2015, doi: 10.1609/aaai.v29i1.9602.</w:t>
      </w:r>
    </w:p>
    <w:p>
      <w:pPr>
        <w:tabs>
          <w:tab w:val="left" w:pos="400"/>
        </w:tabs>
        <w:spacing w:after="30"/>
        <w:ind w:left="400" w:hanging="40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H. Wang, Q. Jin, S. Li, S. Liu, M. Wang, and Z. Song, “A comprehensive survey on deep active learning in medical image analysis,”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95, Art. no. 103201, Jul. 2024, doi: 10.1016/j.media.2024.103201.</w:t>
      </w:r>
    </w:p>
    <w:p>
      <w:pPr>
        <w:tabs>
          <w:tab w:val="left" w:pos="400"/>
        </w:tabs>
        <w:spacing w:after="30"/>
        <w:ind w:left="400" w:hanging="40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Ren, K. He, R. Girshick, and J. Sun, “Faster R-CNN: Towards real-time object detection with region proposal networks,” </w:t>
      </w:r>
      <w:r>
        <w:rPr>
          <w:rFonts w:ascii="Times New Roman" w:cs="Times New Roman" w:eastAsia="Times New Roman" w:hAnsi="Times New Roman"/>
          <w:b w:val="false"/>
          <w:bCs w:val="false"/>
          <w:i/>
          <w:iCs/>
          <w:sz w:val="16"/>
          <w:szCs w:val="16"/>
        </w:rPr>
        <w:t xml:space="preserve">IEEE Trans. Pattern Anal. Mach. Intell.</w:t>
      </w:r>
      <w:r>
        <w:rPr>
          <w:rFonts w:ascii="Times New Roman" w:cs="Times New Roman" w:eastAsia="Times New Roman" w:hAnsi="Times New Roman"/>
          <w:b w:val="false"/>
          <w:bCs w:val="false"/>
          <w:i w:val="false"/>
          <w:iCs w:val="false"/>
          <w:sz w:val="16"/>
          <w:szCs w:val="16"/>
        </w:rPr>
        <w:t xml:space="preserve">, vol. 39, no. 6, pp. 1137–1149, Jun. 2017, doi: 10.1109/TPAMI.2016.2577031.</w:t>
      </w:r>
    </w:p>
    <w:p>
      <w:pPr>
        <w:tabs>
          <w:tab w:val="left" w:pos="400"/>
        </w:tabs>
        <w:spacing w:after="30"/>
        <w:ind w:left="400" w:hanging="40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G. Gkioxari, P. Dollár, and R. Girshick, “Mask R-CNN,” in </w:t>
      </w:r>
      <w:r>
        <w:rPr>
          <w:rFonts w:ascii="Times New Roman" w:cs="Times New Roman" w:eastAsia="Times New Roman" w:hAnsi="Times New Roman"/>
          <w:b w:val="false"/>
          <w:bCs w:val="false"/>
          <w:i/>
          <w:iCs/>
          <w:sz w:val="16"/>
          <w:szCs w:val="16"/>
        </w:rPr>
        <w:t xml:space="preserve">Proc. IEEE Int. Conf. Comput. Vis. (ICCV)</w:t>
      </w:r>
      <w:r>
        <w:rPr>
          <w:rFonts w:ascii="Times New Roman" w:cs="Times New Roman" w:eastAsia="Times New Roman" w:hAnsi="Times New Roman"/>
          <w:b w:val="false"/>
          <w:bCs w:val="false"/>
          <w:i w:val="false"/>
          <w:iCs w:val="false"/>
          <w:sz w:val="16"/>
          <w:szCs w:val="16"/>
        </w:rPr>
        <w:t xml:space="preserve">, 2017, pp. 2980–2988, doi: 10.1109/ICCV.2017.322.</w:t>
      </w:r>
    </w:p>
    <w:p>
      <w:pPr>
        <w:tabs>
          <w:tab w:val="left" w:pos="400"/>
        </w:tabs>
        <w:spacing w:after="30"/>
        <w:ind w:left="400" w:hanging="40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X. Zhang, S. Ren, and J. Sun, “Deep residual learning for image recognition,”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2016, pp. 770–778, doi: 10.1109/CVPR.2016.90.</w:t>
      </w:r>
    </w:p>
    <w:p>
      <w:pPr>
        <w:tabs>
          <w:tab w:val="left" w:pos="400"/>
        </w:tabs>
        <w:spacing w:after="30"/>
        <w:ind w:left="400" w:hanging="40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P. Dollár, R. Girshick, K. He, B. Hariharan, and S. Belongie, “Feature pyramid networks for object detection,”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2017, pp. 936–944, doi: 10.1109/CVPR.2017.106.</w:t>
      </w:r>
    </w:p>
    <w:p>
      <w:pPr>
        <w:tabs>
          <w:tab w:val="left" w:pos="400"/>
        </w:tabs>
        <w:spacing w:after="30"/>
        <w:ind w:left="400" w:hanging="40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iCs/>
          <w:sz w:val="16"/>
          <w:szCs w:val="16"/>
        </w:rPr>
        <w:t xml:space="preserve">Dentistry — Designation System for Teeth and Areas of the Oral Cavity</w:t>
      </w:r>
      <w:r>
        <w:rPr>
          <w:rFonts w:ascii="Times New Roman" w:cs="Times New Roman" w:eastAsia="Times New Roman" w:hAnsi="Times New Roman"/>
          <w:b w:val="false"/>
          <w:bCs w:val="false"/>
          <w:i w:val="false"/>
          <w:iCs w:val="false"/>
          <w:sz w:val="16"/>
          <w:szCs w:val="16"/>
        </w:rPr>
        <w:t xml:space="preserve">, ISO Standard 3950:2016, International Organization for Standardization, Geneva, Switzerland, 2016.</w:t>
      </w:r>
    </w:p>
    <w:p>
      <w:pPr>
        <w:tabs>
          <w:tab w:val="left" w:pos="400"/>
        </w:tabs>
        <w:spacing w:after="30"/>
        <w:ind w:left="400" w:hanging="400"/>
        <w:jc w:val="left"/>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Deng, W. Dong, R. Socher, L.-J. Li, K. Li, and L. Fei-Fei, “ImageNet: A large-scale hierarchical image database,”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2009, pp. 248–255, doi: 10.1109/CVPR.2009.5206848.</w:t>
      </w:r>
    </w:p>
    <w:p>
      <w:pPr>
        <w:tabs>
          <w:tab w:val="left" w:pos="400"/>
        </w:tabs>
        <w:spacing w:after="30"/>
        <w:ind w:left="400" w:hanging="400"/>
        <w:jc w:val="left"/>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Lin, “Divergence measures based on the Shannon entropy,” </w:t>
      </w:r>
      <w:r>
        <w:rPr>
          <w:rFonts w:ascii="Times New Roman" w:cs="Times New Roman" w:eastAsia="Times New Roman" w:hAnsi="Times New Roman"/>
          <w:b w:val="false"/>
          <w:bCs w:val="false"/>
          <w:i/>
          <w:iCs/>
          <w:sz w:val="16"/>
          <w:szCs w:val="16"/>
        </w:rPr>
        <w:t xml:space="preserve">IEEE Trans. Inf. Theory</w:t>
      </w:r>
      <w:r>
        <w:rPr>
          <w:rFonts w:ascii="Times New Roman" w:cs="Times New Roman" w:eastAsia="Times New Roman" w:hAnsi="Times New Roman"/>
          <w:b w:val="false"/>
          <w:bCs w:val="false"/>
          <w:i w:val="false"/>
          <w:iCs w:val="false"/>
          <w:sz w:val="16"/>
          <w:szCs w:val="16"/>
        </w:rPr>
        <w:t xml:space="preserve">, vol. 37, no. 1, pp. 145–151, Jan. 1991, doi: 10.1109/18.61115.</w:t>
      </w:r>
    </w:p>
    <w:p>
      <w:pPr>
        <w:tabs>
          <w:tab w:val="left" w:pos="400"/>
        </w:tabs>
        <w:spacing w:after="30"/>
        <w:ind w:left="400" w:hanging="400"/>
        <w:jc w:val="left"/>
      </w:pPr>
      <w:r>
        <w:rPr>
          <w:rFonts w:ascii="Times New Roman" w:cs="Times New Roman" w:eastAsia="Times New Roman" w:hAnsi="Times New Roman"/>
          <w:sz w:val="16"/>
          <w:szCs w:val="16"/>
        </w:rPr>
        <w:t xml:space="preserve">[25]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J. Youden, “Index for rating diagnostic tests,” </w:t>
      </w:r>
      <w:r>
        <w:rPr>
          <w:rFonts w:ascii="Times New Roman" w:cs="Times New Roman" w:eastAsia="Times New Roman" w:hAnsi="Times New Roman"/>
          <w:b w:val="false"/>
          <w:bCs w:val="false"/>
          <w:i/>
          <w:iCs/>
          <w:sz w:val="16"/>
          <w:szCs w:val="16"/>
        </w:rPr>
        <w:t xml:space="preserve">Cancer</w:t>
      </w:r>
      <w:r>
        <w:rPr>
          <w:rFonts w:ascii="Times New Roman" w:cs="Times New Roman" w:eastAsia="Times New Roman" w:hAnsi="Times New Roman"/>
          <w:b w:val="false"/>
          <w:bCs w:val="false"/>
          <w:i w:val="false"/>
          <w:iCs w:val="false"/>
          <w:sz w:val="16"/>
          <w:szCs w:val="16"/>
        </w:rPr>
        <w:t xml:space="preserve">, vol. 3, no. 1, pp. 32–35, 1950, doi: 10.1002/1097-0142(1950)3:1&lt;32::AID-CNCR2820030106&gt;3.0.CO;2-3.</w:t>
      </w:r>
    </w:p>
    <w:p>
      <w:pPr>
        <w:tabs>
          <w:tab w:val="left" w:pos="400"/>
        </w:tabs>
        <w:spacing w:after="30"/>
        <w:ind w:left="400" w:hanging="400"/>
        <w:jc w:val="left"/>
      </w:pPr>
      <w:r>
        <w:rPr>
          <w:rFonts w:ascii="Times New Roman" w:cs="Times New Roman" w:eastAsia="Times New Roman" w:hAnsi="Times New Roman"/>
          <w:sz w:val="16"/>
          <w:szCs w:val="16"/>
        </w:rPr>
        <w:t xml:space="preserve">[26]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M. Maire, S. Belongie, J. Hays, P. Perona, D. Ramanan, P. Dollár, and C. L. Zitnick, “Microsoft COCO: Common objects in context,” in </w:t>
      </w:r>
      <w:r>
        <w:rPr>
          <w:rFonts w:ascii="Times New Roman" w:cs="Times New Roman" w:eastAsia="Times New Roman" w:hAnsi="Times New Roman"/>
          <w:b w:val="false"/>
          <w:bCs w:val="false"/>
          <w:i/>
          <w:iCs/>
          <w:sz w:val="16"/>
          <w:szCs w:val="16"/>
        </w:rPr>
        <w:t xml:space="preserve">Computer Vision – ECCV 2014</w:t>
      </w:r>
      <w:r>
        <w:rPr>
          <w:rFonts w:ascii="Times New Roman" w:cs="Times New Roman" w:eastAsia="Times New Roman" w:hAnsi="Times New Roman"/>
          <w:b w:val="false"/>
          <w:bCs w:val="false"/>
          <w:i w:val="false"/>
          <w:iCs w:val="false"/>
          <w:sz w:val="16"/>
          <w:szCs w:val="16"/>
        </w:rPr>
        <w:t xml:space="preserve">, Lecture Notes in Computer Science. Cham, Switzerland: Springer, 2014, pp. 740–755, doi: 10.1007/978-3-319-10602-1_48.</w:t>
      </w:r>
    </w:p>
    <w:p>
      <w:pPr>
        <w:tabs>
          <w:tab w:val="left" w:pos="400"/>
        </w:tabs>
        <w:spacing w:after="30"/>
        <w:ind w:left="400" w:hanging="400"/>
        <w:jc w:val="left"/>
      </w:pPr>
      <w:r>
        <w:rPr>
          <w:rFonts w:ascii="Times New Roman" w:cs="Times New Roman" w:eastAsia="Times New Roman" w:hAnsi="Times New Roman"/>
          <w:sz w:val="16"/>
          <w:szCs w:val="16"/>
        </w:rPr>
        <w:t xml:space="preserve">[27]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 Brier, “Verification of forecasts expressed in terms of probability,” </w:t>
      </w:r>
      <w:r>
        <w:rPr>
          <w:rFonts w:ascii="Times New Roman" w:cs="Times New Roman" w:eastAsia="Times New Roman" w:hAnsi="Times New Roman"/>
          <w:b w:val="false"/>
          <w:bCs w:val="false"/>
          <w:i/>
          <w:iCs/>
          <w:sz w:val="16"/>
          <w:szCs w:val="16"/>
        </w:rPr>
        <w:t xml:space="preserve">Mon. Weather Rev.</w:t>
      </w:r>
      <w:r>
        <w:rPr>
          <w:rFonts w:ascii="Times New Roman" w:cs="Times New Roman" w:eastAsia="Times New Roman" w:hAnsi="Times New Roman"/>
          <w:b w:val="false"/>
          <w:bCs w:val="false"/>
          <w:i w:val="false"/>
          <w:iCs w:val="false"/>
          <w:sz w:val="16"/>
          <w:szCs w:val="16"/>
        </w:rPr>
        <w:t xml:space="preserve">, vol. 78, no. 1, pp. 1–3, Jan. 1950, doi: 10.1175/1520-0493(1950)078&lt;0001:VOFEIT&gt;2.0.CO;2.</w:t>
      </w:r>
    </w:p>
    <w:sectPr>
      <w:footerReference w:type="default" r:id="rId7"/>
      <w:type w:val="continuous"/>
      <w:pgSz w:w="12240" w:h="15840" w:orient="portrait"/>
      <w:pgMar w:top="1080" w:right="900" w:bottom="1440" w:left="900" w:header="708"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before="120" w:after="6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0682767afbfdf20a7d376ea6285a61fbb321cbeb.svg"/><Relationship Id="rId9" Type="http://schemas.openxmlformats.org/officeDocument/2006/relationships/image" Target="media/de91272a7d202fc9dbb5f42ba5003aa6fc7593f8.png"/><Relationship Id="rId10" Type="http://schemas.openxmlformats.org/officeDocument/2006/relationships/image" Target="media/180cc8b8e5e8c3a81607866d598976ef7edbc5c1.svg"/><Relationship Id="rId11" Type="http://schemas.openxmlformats.org/officeDocument/2006/relationships/image" Target="media/1d1e8e48c3212c8fef788a7064fe22edca365b56.png"/><Relationship Id="rId12" Type="http://schemas.openxmlformats.org/officeDocument/2006/relationships/image" Target="media/35c0af2269fad44136b898c6f3d530e1333c0009.svg"/><Relationship Id="rId13" Type="http://schemas.openxmlformats.org/officeDocument/2006/relationships/image" Target="media/ab3199c55a8f448aa032468e94387598d48a3f4b.png"/><Relationship Id="rId14" Type="http://schemas.openxmlformats.org/officeDocument/2006/relationships/image" Target="media/f592016ab01df0478119fda8009a216d62c67796.svg"/><Relationship Id="rId15" Type="http://schemas.openxmlformats.org/officeDocument/2006/relationships/image" Target="media/72ee35393ff34be64f7fabfab3474df0410d4c9a.png"/><Relationship Id="rId16" Type="http://schemas.openxmlformats.org/officeDocument/2006/relationships/image" Target="media/54f5ccfb31936167f747cd663ee0304fc3422e63.svg"/><Relationship Id="rId17" Type="http://schemas.openxmlformats.org/officeDocument/2006/relationships/image" Target="media/27258f7d7e4e5b7d329201ee8cf57fddec3d9eda.png"/><Relationship Id="rId18" Type="http://schemas.openxmlformats.org/officeDocument/2006/relationships/image" Target="media/bb19ca05ee4a484ff86d6e0b9fe964ae86dbcb0d.svg"/><Relationship Id="rId19" Type="http://schemas.openxmlformats.org/officeDocument/2006/relationships/image" Target="media/fe644b51e541f6d525ede0051d55000f3a95a8bd.png"/><Relationship Id="rId20" Type="http://schemas.openxmlformats.org/officeDocument/2006/relationships/image" Target="media/79fcc9cbd2f393202b013a5c2e604ba42a74cd46.svg"/><Relationship Id="rId21" Type="http://schemas.openxmlformats.org/officeDocument/2006/relationships/image" Target="media/3abe81e17e8e76e0e0251e561dd516903c959be4.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cp:lastModifiedBy>Un-named</cp:lastModifiedBy>
  <cp:revision>1</cp:revision>
  <dcterms:created xsi:type="dcterms:W3CDTF">2026-10-25T13:50:47.157Z</dcterms:created>
  <dcterms:modified xsi:type="dcterms:W3CDTF">2026-10-25T13:50:47.157Z</dcterms:modified>
</cp:coreProperties>
</file>

<file path=docProps/custom.xml><?xml version="1.0" encoding="utf-8"?>
<Properties xmlns="http://schemas.openxmlformats.org/officeDocument/2006/custom-properties" xmlns:vt="http://schemas.openxmlformats.org/officeDocument/2006/docPropsVTypes"/>
</file>