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body>
    <w:p>
      <w:pPr>
        <w:pStyle w:val="FrontTitle"/>
      </w:pPr>
      <w:r>
        <w:t xml:space="preserve">DentaMind AI: Project Summary</w:t>
      </w:r>
    </w:p>
    <w:p>
      <w:pPr>
        <w:pStyle w:val="BodyNoIndent"/>
        <w:jc w:val="center"/>
      </w:pPr>
      <w:r>
        <w:t xml:space="preserve">What we built, which data we used, how we built it, why we chose each part, and what the results are</w:t>
      </w:r>
    </w:p>
    <w:p>
      <w:pPr>
        <w:pStyle w:val="BodyNoIndent"/>
        <w:jc w:val="center"/>
      </w:pPr>
      <w:r>
        <w:rPr>
          <w:b/>
        </w:rPr>
        <w:t xml:space="preserve">Research prototype. Not clinically validated, not for diagnosis.</w:t>
      </w:r>
    </w:p>
    <w:p>
      <w:pPr>
        <w:pStyle w:val="Heading2"/>
      </w:pPr>
      <w:r>
        <w:t xml:space="preserve">1. WHAT WE ARE BUILDING</w:t>
      </w:r>
    </w:p>
    <w:p>
      <w:pPr>
        <w:pStyle w:val="BodyNoIndent"/>
      </w:pPr>
      <w:r>
        <w:t xml:space="preserve">DentaMind AI looks at a panoramic dental X-ray (the wide image showing all teeth) and helps a dentist review it. For one X-ray it: (1) finds every tooth, (2) gives each tooth its standard FDI number (11 to 48), (3) draws the outline of each tooth, (4) suggests the closest of four findings for each tooth: Caries, Deep Caries, Impacted or Periapical Lesion, (5) marks teeth where the AI is unsure, and (6) writes a draft report in English, Hindi or Marathi. A person must review everything; the AI never makes the final decision.</w:t>
      </w:r>
    </w:p>
    <w:p>
      <w:pPr>
        <w:pStyle w:val="Figure"/>
        <w:keepNext/>
        <w:jc w:val="center"/>
      </w:pPr>
      <w:r>
        <w:drawing>
          <wp:inline distT="0" distB="0" distL="0" distR="0">
            <wp:extent cx="5303520" cy="2327195"/>
            <wp:docPr id="1" name="Picture 1" descr="screenshot_analysis_gray"/>
            <wp:cNvGraphicFramePr>
              <a:graphicFrameLocks noChangeAspect="1"/>
            </wp:cNvGraphicFramePr>
            <a:graphic>
              <a:graphicData uri="http://schemas.openxmlformats.org/drawingml/2006/picture">
                <pic:pic>
                  <pic:nvPicPr>
                    <pic:cNvPr id="1" name="image1.png"/>
                    <pic:cNvPicPr/>
                  </pic:nvPicPr>
                  <pic:blipFill>
                    <a:blip r:embed="rId10"/>
                    <a:stretch>
                      <a:fillRect/>
                    </a:stretch>
                  </pic:blipFill>
                  <pic:spPr>
                    <a:xfrm>
                      <a:off x="0" y="0"/>
                      <a:ext cx="5303520" cy="2327195"/>
                    </a:xfrm>
                    <a:prstGeom prst="rect">
                      <a:avLst/>
                    </a:prstGeom>
                  </pic:spPr>
                </pic:pic>
              </a:graphicData>
            </a:graphic>
          </wp:inline>
        </w:drawing>
      </w:r>
    </w:p>
    <w:p>
      <w:pPr>
        <w:pStyle w:val="FigureCaption"/>
      </w:pPr>
      <w:r>
        <w:t xml:space="preserve">The X-ray Analysis page: 27 teeth found, numbered and outlined on test image val_0</w:t>
      </w:r>
    </w:p>
    <w:p>
      <w:pPr>
        <w:pStyle w:val="Heading2"/>
      </w:pPr>
      <w:r>
        <w:t xml:space="preserve">2. DATASET</w:t>
      </w:r>
    </w:p>
    <w:p>
      <w:pPr>
        <w:pStyle w:val="BodyNoIndent"/>
      </w:pPr>
      <w:r>
        <w:t xml:space="preserve">We used the public DENTEX dataset from the MICCAI 2023 challenge. It contains panoramic X-rays labelled in three levels: some only with the jaw quadrant, some also with tooth numbers, and some also with findings.</w:t>
      </w:r>
    </w:p>
    <w:p>
      <w:pPr>
        <w:pStyle w:val="TableCaption"/>
      </w:pPr>
      <w:r>
        <w:t xml:space="preserve">DENTEX in numbers (from our dataset audit)</w:t>
      </w:r>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5512"/>
        <w:gridCol w:w="2969"/>
      </w:tblGrid>
      <w:tr>
        <w:trPr>
          <w:tblHeader/>
          <w:cantSplit/>
        </w:trPr>
        <w:tc>
          <w:tcPr>
            <w:tcW w:w="5512" w:type="dxa"/>
            <w:shd w:val="clear" w:color="auto" w:fill="D9D9D9"/>
            <w:vAlign w:val="center"/>
          </w:tcPr>
          <w:p>
            <w:pPr>
              <w:pStyle w:val="TableText"/>
              <w:jc w:val="center"/>
            </w:pPr>
            <w:r>
              <w:rPr>
                <w:sz w:val="20"/>
                <w:szCs w:val="20"/>
                <w:b/>
              </w:rPr>
              <w:t xml:space="preserve">Item</w:t>
            </w:r>
          </w:p>
        </w:tc>
        <w:tc>
          <w:tcPr>
            <w:tcW w:w="2969" w:type="dxa"/>
            <w:shd w:val="clear" w:color="auto" w:fill="D9D9D9"/>
            <w:vAlign w:val="center"/>
          </w:tcPr>
          <w:p>
            <w:pPr>
              <w:pStyle w:val="TableText"/>
              <w:jc w:val="center"/>
            </w:pPr>
            <w:r>
              <w:rPr>
                <w:sz w:val="20"/>
                <w:szCs w:val="20"/>
                <w:b/>
              </w:rPr>
              <w:t xml:space="preserve">Count</w:t>
            </w:r>
          </w:p>
        </w:tc>
      </w:tr>
      <w:tr>
        <w:trPr>
          <w:cantSplit/>
        </w:trPr>
        <w:tc>
          <w:tcPr>
            <w:tcW w:w="5512" w:type="dxa"/>
            <w:vAlign w:val="center"/>
          </w:tcPr>
          <w:p>
            <w:pPr>
              <w:pStyle w:val="TableText"/>
              <w:jc w:val="left"/>
            </w:pPr>
            <w:r>
              <w:rPr>
                <w:sz w:val="20"/>
                <w:szCs w:val="20"/>
              </w:rPr>
              <w:t xml:space="preserve">Image files on disk</w:t>
            </w:r>
          </w:p>
        </w:tc>
        <w:tc>
          <w:tcPr>
            <w:tcW w:w="2969" w:type="dxa"/>
            <w:vAlign w:val="center"/>
          </w:tcPr>
          <w:p>
            <w:pPr>
              <w:pStyle w:val="TableText"/>
              <w:jc w:val="center"/>
            </w:pPr>
            <w:r>
              <w:rPr>
                <w:sz w:val="20"/>
                <w:szCs w:val="20"/>
              </w:rPr>
              <w:t xml:space="preserve">3,653</w:t>
            </w:r>
          </w:p>
        </w:tc>
      </w:tr>
      <w:tr>
        <w:trPr>
          <w:cantSplit/>
        </w:trPr>
        <w:tc>
          <w:tcPr>
            <w:tcW w:w="5512" w:type="dxa"/>
            <w:vAlign w:val="center"/>
          </w:tcPr>
          <w:p>
            <w:pPr>
              <w:pStyle w:val="TableText"/>
              <w:jc w:val="left"/>
            </w:pPr>
            <w:r>
              <w:rPr>
                <w:sz w:val="20"/>
                <w:szCs w:val="20"/>
              </w:rPr>
              <w:t xml:space="preserve">Unique X-rays after removing duplicates</w:t>
            </w:r>
          </w:p>
        </w:tc>
        <w:tc>
          <w:tcPr>
            <w:tcW w:w="2969" w:type="dxa"/>
            <w:vAlign w:val="center"/>
          </w:tcPr>
          <w:p>
            <w:pPr>
              <w:pStyle w:val="TableText"/>
              <w:jc w:val="center"/>
            </w:pPr>
            <w:r>
              <w:rPr>
                <w:sz w:val="20"/>
                <w:szCs w:val="20"/>
              </w:rPr>
              <w:t xml:space="preserve">2,716</w:t>
            </w:r>
          </w:p>
        </w:tc>
      </w:tr>
      <w:tr>
        <w:trPr>
          <w:cantSplit/>
        </w:trPr>
        <w:tc>
          <w:tcPr>
            <w:tcW w:w="5512" w:type="dxa"/>
            <w:vAlign w:val="center"/>
          </w:tcPr>
          <w:p>
            <w:pPr>
              <w:pStyle w:val="TableText"/>
              <w:jc w:val="left"/>
            </w:pPr>
            <w:r>
              <w:rPr>
                <w:sz w:val="20"/>
                <w:szCs w:val="20"/>
              </w:rPr>
              <w:t xml:space="preserve">Unique X-rays with labels</w:t>
            </w:r>
          </w:p>
        </w:tc>
        <w:tc>
          <w:tcPr>
            <w:tcW w:w="2969" w:type="dxa"/>
            <w:vAlign w:val="center"/>
          </w:tcPr>
          <w:p>
            <w:pPr>
              <w:pStyle w:val="TableText"/>
              <w:jc w:val="center"/>
            </w:pPr>
            <w:r>
              <w:rPr>
                <w:sz w:val="20"/>
                <w:szCs w:val="20"/>
              </w:rPr>
              <w:t xml:space="preserve">1,133</w:t>
            </w:r>
          </w:p>
        </w:tc>
      </w:tr>
      <w:tr>
        <w:trPr>
          <w:cantSplit/>
        </w:trPr>
        <w:tc>
          <w:tcPr>
            <w:tcW w:w="5512" w:type="dxa"/>
            <w:vAlign w:val="center"/>
          </w:tcPr>
          <w:p>
            <w:pPr>
              <w:pStyle w:val="TableText"/>
              <w:jc w:val="left"/>
            </w:pPr>
            <w:r>
              <w:rPr>
                <w:sz w:val="20"/>
                <w:szCs w:val="20"/>
              </w:rPr>
              <w:t xml:space="preserve">X-rays with tooth outlines and numbers</w:t>
            </w:r>
          </w:p>
        </w:tc>
        <w:tc>
          <w:tcPr>
            <w:tcW w:w="2969" w:type="dxa"/>
            <w:vAlign w:val="center"/>
          </w:tcPr>
          <w:p>
            <w:pPr>
              <w:pStyle w:val="TableText"/>
              <w:jc w:val="center"/>
            </w:pPr>
            <w:r>
              <w:rPr>
                <w:sz w:val="20"/>
                <w:szCs w:val="20"/>
              </w:rPr>
              <w:t xml:space="preserve">634 (18,095 teeth)</w:t>
            </w:r>
          </w:p>
        </w:tc>
      </w:tr>
      <w:tr>
        <w:trPr>
          <w:cantSplit/>
        </w:trPr>
        <w:tc>
          <w:tcPr>
            <w:tcW w:w="5512" w:type="dxa"/>
            <w:vAlign w:val="center"/>
          </w:tcPr>
          <w:p>
            <w:pPr>
              <w:pStyle w:val="TableText"/>
              <w:jc w:val="left"/>
            </w:pPr>
            <w:r>
              <w:rPr>
                <w:sz w:val="20"/>
                <w:szCs w:val="20"/>
              </w:rPr>
              <w:t xml:space="preserve">X-rays with findings</w:t>
            </w:r>
          </w:p>
        </w:tc>
        <w:tc>
          <w:tcPr>
            <w:tcW w:w="2969" w:type="dxa"/>
            <w:vAlign w:val="center"/>
          </w:tcPr>
          <w:p>
            <w:pPr>
              <w:pStyle w:val="TableText"/>
              <w:jc w:val="center"/>
            </w:pPr>
            <w:r>
              <w:rPr>
                <w:sz w:val="20"/>
                <w:szCs w:val="20"/>
              </w:rPr>
              <w:t xml:space="preserve">705 (3,529 findings)</w:t>
            </w:r>
          </w:p>
        </w:tc>
      </w:tr>
      <w:tr>
        <w:trPr>
          <w:cantSplit/>
        </w:trPr>
        <w:tc>
          <w:tcPr>
            <w:tcW w:w="5512" w:type="dxa"/>
            <w:vAlign w:val="center"/>
          </w:tcPr>
          <w:p>
            <w:pPr>
              <w:pStyle w:val="TableText"/>
              <w:jc w:val="left"/>
            </w:pPr>
            <w:r>
              <w:rPr>
                <w:sz w:val="20"/>
                <w:szCs w:val="20"/>
              </w:rPr>
              <w:t xml:space="preserve">Findings: Caries / Deep Caries / Impacted / Periapical Lesion</w:t>
            </w:r>
          </w:p>
        </w:tc>
        <w:tc>
          <w:tcPr>
            <w:tcW w:w="2969" w:type="dxa"/>
            <w:vAlign w:val="center"/>
          </w:tcPr>
          <w:p>
            <w:pPr>
              <w:pStyle w:val="TableText"/>
              <w:jc w:val="center"/>
            </w:pPr>
            <w:r>
              <w:rPr>
                <w:sz w:val="20"/>
                <w:szCs w:val="20"/>
              </w:rPr>
              <w:t xml:space="preserve">2,189 / 578 / 604 / 158</w:t>
            </w:r>
          </w:p>
        </w:tc>
      </w:tr>
      <w:tr>
        <w:trPr>
          <w:cantSplit/>
        </w:trPr>
        <w:tc>
          <w:tcPr>
            <w:tcW w:w="5512" w:type="dxa"/>
            <w:vAlign w:val="center"/>
          </w:tcPr>
          <w:p>
            <w:pPr>
              <w:pStyle w:val="TableText"/>
              <w:jc w:val="left"/>
            </w:pPr>
            <w:r>
              <w:rPr>
                <w:sz w:val="20"/>
                <w:szCs w:val="20"/>
              </w:rPr>
              <w:t xml:space="preserve">Unlabelled X-rays</w:t>
            </w:r>
          </w:p>
        </w:tc>
        <w:tc>
          <w:tcPr>
            <w:tcW w:w="2969" w:type="dxa"/>
            <w:vAlign w:val="center"/>
          </w:tcPr>
          <w:p>
            <w:pPr>
              <w:pStyle w:val="TableText"/>
              <w:jc w:val="center"/>
            </w:pPr>
            <w:r>
              <w:rPr>
                <w:sz w:val="20"/>
                <w:szCs w:val="20"/>
              </w:rPr>
              <w:t xml:space="preserve">1,598</w:t>
            </w:r>
          </w:p>
        </w:tc>
      </w:tr>
    </w:tbl>
    <w:p>
      <w:pPr>
        <w:pStyle w:val="TableNote"/>
      </w:pPr>
    </w:p>
    <w:p>
      <w:pPr>
        <w:pStyle w:val="BodyNoIndent"/>
      </w:pPr>
      <w:r>
        <w:t xml:space="preserve">Two facts about this data shaped the whole project. The classes are imbalanced: Periapical Lesion is only about 7 % of findings. And DENTEX labels only teeth that have a finding; healthy teeth are never labelled, so our model has no “healthy” class.</w:t>
      </w:r>
    </w:p>
    <w:p>
      <w:pPr>
        <w:pStyle w:val="Heading2"/>
      </w:pPr>
      <w:r>
        <w:t xml:space="preserve">3. PREPROCESSING</w:t>
      </w:r>
    </w:p>
    <w:p>
      <w:pPr>
        <w:pStyle w:val="BodyNoIndent"/>
      </w:pPr>
      <w:r>
        <w:rPr>
          <w:b/>
        </w:rPr>
        <w:t xml:space="preserve">Duplicate removal.</w:t>
      </w:r>
      <w:r>
        <w:t xml:space="preserve"> The same X-ray appears in several DENTEX folders (638 groups of copies). We hashed the pixels of every image and treated identical images as one X-ray. Why: otherwise the same X-ray could end up in both training and testing, which makes results look better than they are.</w:t>
      </w:r>
    </w:p>
    <w:p>
      <w:pPr>
        <w:pStyle w:val="BodyNoIndent"/>
      </w:pPr>
      <w:r>
        <w:rPr>
          <w:b/>
        </w:rPr>
        <w:t xml:space="preserve">Splitting.</w:t>
      </w:r>
      <w:r>
        <w:t xml:space="preserve"> The 1,133 labelled X-rays were split per unique X-ray into train 794, validation 113, calibration 113 and test 113. Validation is for choosing models, calibration for setting the “unsure” threshold, and test for a final check only. An automatic check (18 tests) confirms no X-ray is shared between splits; 17 pass, and 1 is an informational warning.</w:t>
      </w:r>
    </w:p>
    <w:p>
      <w:pPr>
        <w:pStyle w:val="BodyNoIndent"/>
      </w:pPr>
      <w:r>
        <w:rPr>
          <w:b/>
        </w:rPr>
        <w:t xml:space="preserve">Image preparation.</w:t>
      </w:r>
      <w:r>
        <w:t xml:space="preserve"> Each X-ray is loaded in grayscale and copied into 3 channels, because the pre-trained networks expect colour images.</w:t>
      </w:r>
    </w:p>
    <w:p>
      <w:pPr>
        <w:pStyle w:val="BodyNoIndent"/>
      </w:pPr>
      <w:r>
        <w:rPr>
          <w:b/>
        </w:rPr>
        <w:t xml:space="preserve">Tooth crops for the finding classifier.</w:t>
      </w:r>
      <w:r>
        <w:t xml:space="preserve"> Each tooth box is enlarged by 10 %, cut out, resized to 224 × 224 pixels and normalised. This gave 2,520 training crops (1,550 / 438 / 412 / 120).</w:t>
      </w:r>
    </w:p>
    <w:p>
      <w:pPr>
        <w:pStyle w:val="BodyNoIndent"/>
      </w:pPr>
      <w:r>
        <w:rPr>
          <w:b/>
        </w:rPr>
        <w:t xml:space="preserve">Augmentation.</w:t>
      </w:r>
      <w:r>
        <w:t xml:space="preserve"> Horizontal flips and contrast changes for the classifier. No flips for tooth numbering, because flipping swaps left and right tooth numbers.</w:t>
      </w:r>
    </w:p>
    <w:p>
      <w:pPr>
        <w:pStyle w:val="Heading2"/>
      </w:pPr>
      <w:r>
        <w:t xml:space="preserve">4. AI TECHNIQUES AND WHY WE CHOSE THEM</w:t>
      </w:r>
    </w:p>
    <w:p>
      <w:pPr>
        <w:pStyle w:val="TableCaption"/>
      </w:pPr>
      <w:r>
        <w:t xml:space="preserve">Models and techniques</w:t>
      </w:r>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526"/>
        <w:gridCol w:w="3392"/>
        <w:gridCol w:w="3563"/>
      </w:tblGrid>
      <w:tr>
        <w:trPr>
          <w:tblHeader/>
          <w:cantSplit/>
        </w:trPr>
        <w:tc>
          <w:tcPr>
            <w:tcW w:w="1526" w:type="dxa"/>
            <w:shd w:val="clear" w:color="auto" w:fill="D9D9D9"/>
            <w:vAlign w:val="center"/>
          </w:tcPr>
          <w:p>
            <w:pPr>
              <w:pStyle w:val="TableText"/>
              <w:jc w:val="center"/>
            </w:pPr>
            <w:r>
              <w:rPr>
                <w:sz w:val="20"/>
                <w:szCs w:val="20"/>
                <w:b/>
              </w:rPr>
              <w:t xml:space="preserve">Part</w:t>
            </w:r>
          </w:p>
        </w:tc>
        <w:tc>
          <w:tcPr>
            <w:tcW w:w="3392" w:type="dxa"/>
            <w:shd w:val="clear" w:color="auto" w:fill="D9D9D9"/>
            <w:vAlign w:val="center"/>
          </w:tcPr>
          <w:p>
            <w:pPr>
              <w:pStyle w:val="TableText"/>
              <w:jc w:val="center"/>
            </w:pPr>
            <w:r>
              <w:rPr>
                <w:sz w:val="20"/>
                <w:szCs w:val="20"/>
                <w:b/>
              </w:rPr>
              <w:t xml:space="preserve">Technique</w:t>
            </w:r>
          </w:p>
        </w:tc>
        <w:tc>
          <w:tcPr>
            <w:tcW w:w="3563" w:type="dxa"/>
            <w:shd w:val="clear" w:color="auto" w:fill="D9D9D9"/>
            <w:vAlign w:val="center"/>
          </w:tcPr>
          <w:p>
            <w:pPr>
              <w:pStyle w:val="TableText"/>
              <w:jc w:val="center"/>
            </w:pPr>
            <w:r>
              <w:rPr>
                <w:sz w:val="20"/>
                <w:szCs w:val="20"/>
                <w:b/>
              </w:rPr>
              <w:t xml:space="preserve">Why we chose it</w:t>
            </w:r>
          </w:p>
        </w:tc>
      </w:tr>
      <w:tr>
        <w:trPr>
          <w:cantSplit/>
        </w:trPr>
        <w:tc>
          <w:tcPr>
            <w:tcW w:w="1526" w:type="dxa"/>
            <w:vAlign w:val="center"/>
          </w:tcPr>
          <w:p>
            <w:pPr>
              <w:pStyle w:val="TableText"/>
              <w:jc w:val="left"/>
            </w:pPr>
            <w:r>
              <w:rPr>
                <w:sz w:val="20"/>
                <w:szCs w:val="20"/>
              </w:rPr>
              <w:t xml:space="preserve">Find teeth</w:t>
            </w:r>
          </w:p>
        </w:tc>
        <w:tc>
          <w:tcPr>
            <w:tcW w:w="3392" w:type="dxa"/>
            <w:vAlign w:val="center"/>
          </w:tcPr>
          <w:p>
            <w:pPr>
              <w:pStyle w:val="TableText"/>
              <w:jc w:val="left"/>
            </w:pPr>
            <w:r>
              <w:rPr>
                <w:sz w:val="20"/>
                <w:szCs w:val="20"/>
              </w:rPr>
              <w:t xml:space="preserve">Faster R-CNN (ResNet-50 + FPN), pre-trained on COCO</w:t>
            </w:r>
          </w:p>
        </w:tc>
        <w:tc>
          <w:tcPr>
            <w:tcW w:w="3563" w:type="dxa"/>
            <w:vAlign w:val="center"/>
          </w:tcPr>
          <w:p>
            <w:pPr>
              <w:pStyle w:val="TableText"/>
              <w:jc w:val="left"/>
            </w:pPr>
            <w:r>
              <w:rPr>
                <w:sz w:val="20"/>
                <w:szCs w:val="20"/>
              </w:rPr>
              <w:t xml:space="preserve">Proven, accurate two-stage detector; works well with a small dataset through transfer learning</w:t>
            </w:r>
          </w:p>
        </w:tc>
      </w:tr>
      <w:tr>
        <w:trPr>
          <w:cantSplit/>
        </w:trPr>
        <w:tc>
          <w:tcPr>
            <w:tcW w:w="1526" w:type="dxa"/>
            <w:vAlign w:val="center"/>
          </w:tcPr>
          <w:p>
            <w:pPr>
              <w:pStyle w:val="TableText"/>
              <w:jc w:val="left"/>
            </w:pPr>
            <w:r>
              <w:rPr>
                <w:sz w:val="20"/>
                <w:szCs w:val="20"/>
              </w:rPr>
              <w:t xml:space="preserve">Number teeth</w:t>
            </w:r>
          </w:p>
        </w:tc>
        <w:tc>
          <w:tcPr>
            <w:tcW w:w="3392" w:type="dxa"/>
            <w:vAlign w:val="center"/>
          </w:tcPr>
          <w:p>
            <w:pPr>
              <w:pStyle w:val="TableText"/>
              <w:jc w:val="left"/>
            </w:pPr>
            <w:r>
              <w:rPr>
                <w:sz w:val="20"/>
                <w:szCs w:val="20"/>
              </w:rPr>
              <w:t xml:space="preserve">Second Faster R-CNN with 32 FDI classes</w:t>
            </w:r>
          </w:p>
        </w:tc>
        <w:tc>
          <w:tcPr>
            <w:tcW w:w="3563" w:type="dxa"/>
            <w:vAlign w:val="center"/>
          </w:tcPr>
          <w:p>
            <w:pPr>
              <w:pStyle w:val="TableText"/>
              <w:jc w:val="left"/>
            </w:pPr>
            <w:r>
              <w:rPr>
                <w:sz w:val="20"/>
                <w:szCs w:val="20"/>
              </w:rPr>
              <w:t xml:space="preserve">Same reliable detector; matched to found teeth at overlap ≥ 0.5</w:t>
            </w:r>
          </w:p>
        </w:tc>
      </w:tr>
      <w:tr>
        <w:trPr>
          <w:cantSplit/>
        </w:trPr>
        <w:tc>
          <w:tcPr>
            <w:tcW w:w="1526" w:type="dxa"/>
            <w:vAlign w:val="center"/>
          </w:tcPr>
          <w:p>
            <w:pPr>
              <w:pStyle w:val="TableText"/>
              <w:jc w:val="left"/>
            </w:pPr>
            <w:r>
              <w:rPr>
                <w:sz w:val="20"/>
                <w:szCs w:val="20"/>
              </w:rPr>
              <w:t xml:space="preserve">Outline teeth</w:t>
            </w:r>
          </w:p>
        </w:tc>
        <w:tc>
          <w:tcPr>
            <w:tcW w:w="3392" w:type="dxa"/>
            <w:vAlign w:val="center"/>
          </w:tcPr>
          <w:p>
            <w:pPr>
              <w:pStyle w:val="TableText"/>
              <w:jc w:val="left"/>
            </w:pPr>
            <w:r>
              <w:rPr>
                <w:sz w:val="20"/>
                <w:szCs w:val="20"/>
              </w:rPr>
              <w:t xml:space="preserve">Mask R-CNN</w:t>
            </w:r>
          </w:p>
        </w:tc>
        <w:tc>
          <w:tcPr>
            <w:tcW w:w="3563" w:type="dxa"/>
            <w:vAlign w:val="center"/>
          </w:tcPr>
          <w:p>
            <w:pPr>
              <w:pStyle w:val="TableText"/>
              <w:jc w:val="left"/>
            </w:pPr>
            <w:r>
              <w:rPr>
                <w:sz w:val="20"/>
                <w:szCs w:val="20"/>
              </w:rPr>
              <w:t xml:space="preserve">Adds a pixel mask to each detected tooth</w:t>
            </w:r>
          </w:p>
        </w:tc>
      </w:tr>
      <w:tr>
        <w:trPr>
          <w:cantSplit/>
        </w:trPr>
        <w:tc>
          <w:tcPr>
            <w:tcW w:w="1526" w:type="dxa"/>
            <w:vAlign w:val="center"/>
          </w:tcPr>
          <w:p>
            <w:pPr>
              <w:pStyle w:val="TableText"/>
              <w:jc w:val="left"/>
            </w:pPr>
            <w:r>
              <w:rPr>
                <w:sz w:val="20"/>
                <w:szCs w:val="20"/>
              </w:rPr>
              <w:t xml:space="preserve">Suggest finding</w:t>
            </w:r>
          </w:p>
        </w:tc>
        <w:tc>
          <w:tcPr>
            <w:tcW w:w="3392" w:type="dxa"/>
            <w:vAlign w:val="center"/>
          </w:tcPr>
          <w:p>
            <w:pPr>
              <w:pStyle w:val="TableText"/>
              <w:jc w:val="left"/>
            </w:pPr>
            <w:r>
              <w:rPr>
                <w:sz w:val="20"/>
                <w:szCs w:val="20"/>
              </w:rPr>
              <w:t xml:space="preserve">ResNet-50 on tooth crops, pre-trained on ImageNet, class-weighted loss</w:t>
            </w:r>
          </w:p>
        </w:tc>
        <w:tc>
          <w:tcPr>
            <w:tcW w:w="3563" w:type="dxa"/>
            <w:vAlign w:val="center"/>
          </w:tcPr>
          <w:p>
            <w:pPr>
              <w:pStyle w:val="TableText"/>
              <w:jc w:val="left"/>
            </w:pPr>
            <w:r>
              <w:rPr>
                <w:sz w:val="20"/>
                <w:szCs w:val="20"/>
              </w:rPr>
              <w:t xml:space="preserve">Simple, strong image classifier; class weights help the rare classes</w:t>
            </w:r>
          </w:p>
        </w:tc>
      </w:tr>
      <w:tr>
        <w:trPr>
          <w:cantSplit/>
        </w:trPr>
        <w:tc>
          <w:tcPr>
            <w:tcW w:w="1526" w:type="dxa"/>
            <w:vAlign w:val="center"/>
          </w:tcPr>
          <w:p>
            <w:pPr>
              <w:pStyle w:val="TableText"/>
              <w:jc w:val="left"/>
            </w:pPr>
            <w:r>
              <w:rPr>
                <w:sz w:val="20"/>
                <w:szCs w:val="20"/>
              </w:rPr>
              <w:t xml:space="preserve">Know when unsure</w:t>
            </w:r>
          </w:p>
        </w:tc>
        <w:tc>
          <w:tcPr>
            <w:tcW w:w="3392" w:type="dxa"/>
            <w:vAlign w:val="center"/>
          </w:tcPr>
          <w:p>
            <w:pPr>
              <w:pStyle w:val="TableText"/>
              <w:jc w:val="left"/>
            </w:pPr>
            <w:r>
              <w:rPr>
                <w:sz w:val="20"/>
                <w:szCs w:val="20"/>
              </w:rPr>
              <w:t xml:space="preserve">Flip test-time augmentation + normalised entropy; threshold 0.397 chosen on the calibration split</w:t>
            </w:r>
          </w:p>
        </w:tc>
        <w:tc>
          <w:tcPr>
            <w:tcW w:w="3563" w:type="dxa"/>
            <w:vAlign w:val="center"/>
          </w:tcPr>
          <w:p>
            <w:pPr>
              <w:pStyle w:val="TableText"/>
              <w:jc w:val="left"/>
            </w:pPr>
            <w:r>
              <w:rPr>
                <w:sz w:val="20"/>
                <w:szCs w:val="20"/>
              </w:rPr>
              <w:t xml:space="preserve">A classifier always gives an answer; this tells the user when the answer is unreliable</w:t>
            </w:r>
          </w:p>
        </w:tc>
      </w:tr>
      <w:tr>
        <w:trPr>
          <w:cantSplit/>
        </w:trPr>
        <w:tc>
          <w:tcPr>
            <w:tcW w:w="1526" w:type="dxa"/>
            <w:vAlign w:val="center"/>
          </w:tcPr>
          <w:p>
            <w:pPr>
              <w:pStyle w:val="TableText"/>
              <w:jc w:val="left"/>
            </w:pPr>
            <w:r>
              <w:rPr>
                <w:sz w:val="20"/>
                <w:szCs w:val="20"/>
              </w:rPr>
              <w:t xml:space="preserve">Write the report</w:t>
            </w:r>
          </w:p>
        </w:tc>
        <w:tc>
          <w:tcPr>
            <w:tcW w:w="3392" w:type="dxa"/>
            <w:vAlign w:val="center"/>
          </w:tcPr>
          <w:p>
            <w:pPr>
              <w:pStyle w:val="TableText"/>
              <w:jc w:val="left"/>
            </w:pPr>
            <w:r>
              <w:rPr>
                <w:sz w:val="20"/>
                <w:szCs w:val="20"/>
              </w:rPr>
              <w:t xml:space="preserve">Template generator from the model results + automatic validator</w:t>
            </w:r>
          </w:p>
        </w:tc>
        <w:tc>
          <w:tcPr>
            <w:tcW w:w="3563" w:type="dxa"/>
            <w:vAlign w:val="center"/>
          </w:tcPr>
          <w:p>
            <w:pPr>
              <w:pStyle w:val="TableText"/>
              <w:jc w:val="left"/>
            </w:pPr>
            <w:r>
              <w:rPr>
                <w:sz w:val="20"/>
                <w:szCs w:val="20"/>
              </w:rPr>
              <w:t xml:space="preserve">Text can only state what the models found; the validator blocks invented teeth, numbers or diagnosis words</w:t>
            </w:r>
          </w:p>
        </w:tc>
      </w:tr>
      <w:tr>
        <w:trPr>
          <w:cantSplit/>
        </w:trPr>
        <w:tc>
          <w:tcPr>
            <w:tcW w:w="1526" w:type="dxa"/>
            <w:vAlign w:val="center"/>
          </w:tcPr>
          <w:p>
            <w:pPr>
              <w:pStyle w:val="TableText"/>
              <w:jc w:val="left"/>
            </w:pPr>
            <w:r>
              <w:rPr>
                <w:sz w:val="20"/>
                <w:szCs w:val="20"/>
              </w:rPr>
              <w:t xml:space="preserve">Human review</w:t>
            </w:r>
          </w:p>
        </w:tc>
        <w:tc>
          <w:tcPr>
            <w:tcW w:w="3392" w:type="dxa"/>
            <w:vAlign w:val="center"/>
          </w:tcPr>
          <w:p>
            <w:pPr>
              <w:pStyle w:val="TableText"/>
              <w:jc w:val="left"/>
            </w:pPr>
            <w:r>
              <w:rPr>
                <w:sz w:val="20"/>
                <w:szCs w:val="20"/>
              </w:rPr>
              <w:t xml:space="preserve">Confirm / correct / reject, with a second-person approval</w:t>
            </w:r>
          </w:p>
        </w:tc>
        <w:tc>
          <w:tcPr>
            <w:tcW w:w="3563" w:type="dxa"/>
            <w:vAlign w:val="center"/>
          </w:tcPr>
          <w:p>
            <w:pPr>
              <w:pStyle w:val="TableText"/>
              <w:jc w:val="left"/>
            </w:pPr>
            <w:r>
              <w:rPr>
                <w:sz w:val="20"/>
                <w:szCs w:val="20"/>
              </w:rPr>
              <w:t xml:space="preserve">Keeps a person responsible for every finding</w:t>
            </w:r>
          </w:p>
        </w:tc>
      </w:tr>
    </w:tbl>
    <w:p>
      <w:pPr>
        <w:pStyle w:val="TableNote"/>
      </w:pPr>
    </w:p>
    <w:p>
      <w:pPr>
        <w:pStyle w:val="BodyNoIndent"/>
      </w:pPr>
      <w:r>
        <w:t xml:space="preserve">The “generative AI” part is the report writer. We chose fixed templates instead of a chatbot-style language model, because studies show such models can leave out or invent findings. An optional language-model connection exists in the code but was not switched on.</w:t>
      </w:r>
    </w:p>
    <w:p>
      <w:pPr>
        <w:pStyle w:val="Heading2"/>
      </w:pPr>
      <w:r>
        <w:t xml:space="preserve">5. TECHNOLOGY STACK</w:t>
      </w:r>
    </w:p>
    <w:p>
      <w:pPr>
        <w:pStyle w:val="TableCaption"/>
      </w:pPr>
      <w:r>
        <w:t xml:space="preserve">Tools we used</w:t>
      </w:r>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526"/>
        <w:gridCol w:w="3392"/>
        <w:gridCol w:w="3563"/>
      </w:tblGrid>
      <w:tr>
        <w:trPr>
          <w:tblHeader/>
          <w:cantSplit/>
        </w:trPr>
        <w:tc>
          <w:tcPr>
            <w:tcW w:w="1526" w:type="dxa"/>
            <w:shd w:val="clear" w:color="auto" w:fill="D9D9D9"/>
            <w:vAlign w:val="center"/>
          </w:tcPr>
          <w:p>
            <w:pPr>
              <w:pStyle w:val="TableText"/>
              <w:jc w:val="center"/>
            </w:pPr>
            <w:r>
              <w:rPr>
                <w:sz w:val="20"/>
                <w:szCs w:val="20"/>
                <w:b/>
              </w:rPr>
              <w:t xml:space="preserve">Layer</w:t>
            </w:r>
          </w:p>
        </w:tc>
        <w:tc>
          <w:tcPr>
            <w:tcW w:w="3392" w:type="dxa"/>
            <w:shd w:val="clear" w:color="auto" w:fill="D9D9D9"/>
            <w:vAlign w:val="center"/>
          </w:tcPr>
          <w:p>
            <w:pPr>
              <w:pStyle w:val="TableText"/>
              <w:jc w:val="center"/>
            </w:pPr>
            <w:r>
              <w:rPr>
                <w:sz w:val="20"/>
                <w:szCs w:val="20"/>
                <w:b/>
              </w:rPr>
              <w:t xml:space="preserve">Technology</w:t>
            </w:r>
          </w:p>
        </w:tc>
        <w:tc>
          <w:tcPr>
            <w:tcW w:w="3563" w:type="dxa"/>
            <w:shd w:val="clear" w:color="auto" w:fill="D9D9D9"/>
            <w:vAlign w:val="center"/>
          </w:tcPr>
          <w:p>
            <w:pPr>
              <w:pStyle w:val="TableText"/>
              <w:jc w:val="center"/>
            </w:pPr>
            <w:r>
              <w:rPr>
                <w:sz w:val="20"/>
                <w:szCs w:val="20"/>
                <w:b/>
              </w:rPr>
              <w:t xml:space="preserve">Why</w:t>
            </w:r>
          </w:p>
        </w:tc>
      </w:tr>
      <w:tr>
        <w:trPr>
          <w:cantSplit/>
        </w:trPr>
        <w:tc>
          <w:tcPr>
            <w:tcW w:w="1526" w:type="dxa"/>
            <w:vAlign w:val="center"/>
          </w:tcPr>
          <w:p>
            <w:pPr>
              <w:pStyle w:val="TableText"/>
              <w:jc w:val="left"/>
            </w:pPr>
            <w:r>
              <w:rPr>
                <w:sz w:val="20"/>
                <w:szCs w:val="20"/>
              </w:rPr>
              <w:t xml:space="preserve">AI / training</w:t>
            </w:r>
          </w:p>
        </w:tc>
        <w:tc>
          <w:tcPr>
            <w:tcW w:w="3392" w:type="dxa"/>
            <w:vAlign w:val="center"/>
          </w:tcPr>
          <w:p>
            <w:pPr>
              <w:pStyle w:val="TableText"/>
              <w:jc w:val="left"/>
            </w:pPr>
            <w:r>
              <w:rPr>
                <w:sz w:val="20"/>
                <w:szCs w:val="20"/>
              </w:rPr>
              <w:t xml:space="preserve">Python 3.13, PyTorch 2.6, torchvision 0.21, CUDA 12.4</w:t>
            </w:r>
          </w:p>
        </w:tc>
        <w:tc>
          <w:tcPr>
            <w:tcW w:w="3563" w:type="dxa"/>
            <w:vAlign w:val="center"/>
          </w:tcPr>
          <w:p>
            <w:pPr>
              <w:pStyle w:val="TableText"/>
              <w:jc w:val="left"/>
            </w:pPr>
            <w:r>
              <w:rPr>
                <w:sz w:val="20"/>
                <w:szCs w:val="20"/>
              </w:rPr>
              <w:t xml:space="preserve">Standard deep-learning tools with ready Faster/Mask R-CNN and ResNet</w:t>
            </w:r>
          </w:p>
        </w:tc>
      </w:tr>
      <w:tr>
        <w:trPr>
          <w:cantSplit/>
        </w:trPr>
        <w:tc>
          <w:tcPr>
            <w:tcW w:w="1526" w:type="dxa"/>
            <w:vAlign w:val="center"/>
          </w:tcPr>
          <w:p>
            <w:pPr>
              <w:pStyle w:val="TableText"/>
              <w:jc w:val="left"/>
            </w:pPr>
            <w:r>
              <w:rPr>
                <w:sz w:val="20"/>
                <w:szCs w:val="20"/>
              </w:rPr>
              <w:t xml:space="preserve">Backend API</w:t>
            </w:r>
          </w:p>
        </w:tc>
        <w:tc>
          <w:tcPr>
            <w:tcW w:w="3392" w:type="dxa"/>
            <w:vAlign w:val="center"/>
          </w:tcPr>
          <w:p>
            <w:pPr>
              <w:pStyle w:val="TableText"/>
              <w:jc w:val="left"/>
            </w:pPr>
            <w:r>
              <w:rPr>
                <w:sz w:val="20"/>
                <w:szCs w:val="20"/>
              </w:rPr>
              <w:t xml:space="preserve">FastAPI 0.143 + Uvicorn</w:t>
            </w:r>
          </w:p>
        </w:tc>
        <w:tc>
          <w:tcPr>
            <w:tcW w:w="3563" w:type="dxa"/>
            <w:vAlign w:val="center"/>
          </w:tcPr>
          <w:p>
            <w:pPr>
              <w:pStyle w:val="TableText"/>
              <w:jc w:val="left"/>
            </w:pPr>
            <w:r>
              <w:rPr>
                <w:sz w:val="20"/>
                <w:szCs w:val="20"/>
              </w:rPr>
              <w:t xml:space="preserve">Fast, simple Python web API that can call the models directly</w:t>
            </w:r>
          </w:p>
        </w:tc>
      </w:tr>
      <w:tr>
        <w:trPr>
          <w:cantSplit/>
        </w:trPr>
        <w:tc>
          <w:tcPr>
            <w:tcW w:w="1526" w:type="dxa"/>
            <w:vAlign w:val="center"/>
          </w:tcPr>
          <w:p>
            <w:pPr>
              <w:pStyle w:val="TableText"/>
              <w:jc w:val="left"/>
            </w:pPr>
            <w:r>
              <w:rPr>
                <w:sz w:val="20"/>
                <w:szCs w:val="20"/>
              </w:rPr>
              <w:t xml:space="preserve">Database</w:t>
            </w:r>
          </w:p>
        </w:tc>
        <w:tc>
          <w:tcPr>
            <w:tcW w:w="3392" w:type="dxa"/>
            <w:vAlign w:val="center"/>
          </w:tcPr>
          <w:p>
            <w:pPr>
              <w:pStyle w:val="TableText"/>
              <w:jc w:val="left"/>
            </w:pPr>
            <w:r>
              <w:rPr>
                <w:sz w:val="20"/>
                <w:szCs w:val="20"/>
              </w:rPr>
              <w:t xml:space="preserve">SQLite</w:t>
            </w:r>
          </w:p>
        </w:tc>
        <w:tc>
          <w:tcPr>
            <w:tcW w:w="3563" w:type="dxa"/>
            <w:vAlign w:val="center"/>
          </w:tcPr>
          <w:p>
            <w:pPr>
              <w:pStyle w:val="TableText"/>
              <w:jc w:val="left"/>
            </w:pPr>
            <w:r>
              <w:rPr>
                <w:sz w:val="20"/>
                <w:szCs w:val="20"/>
              </w:rPr>
              <w:t xml:space="preserve">No server to install; stores analyses, reports and reviews in one file</w:t>
            </w:r>
          </w:p>
        </w:tc>
      </w:tr>
      <w:tr>
        <w:trPr>
          <w:cantSplit/>
        </w:trPr>
        <w:tc>
          <w:tcPr>
            <w:tcW w:w="1526" w:type="dxa"/>
            <w:vAlign w:val="center"/>
          </w:tcPr>
          <w:p>
            <w:pPr>
              <w:pStyle w:val="TableText"/>
              <w:jc w:val="left"/>
            </w:pPr>
            <w:r>
              <w:rPr>
                <w:sz w:val="20"/>
                <w:szCs w:val="20"/>
              </w:rPr>
              <w:t xml:space="preserve">Frontend</w:t>
            </w:r>
          </w:p>
        </w:tc>
        <w:tc>
          <w:tcPr>
            <w:tcW w:w="3392" w:type="dxa"/>
            <w:vAlign w:val="center"/>
          </w:tcPr>
          <w:p>
            <w:pPr>
              <w:pStyle w:val="TableText"/>
              <w:jc w:val="left"/>
            </w:pPr>
            <w:r>
              <w:rPr>
                <w:sz w:val="20"/>
                <w:szCs w:val="20"/>
              </w:rPr>
              <w:t xml:space="preserve">React 18, Vite 5, Tailwind CSS, Recharts</w:t>
            </w:r>
          </w:p>
        </w:tc>
        <w:tc>
          <w:tcPr>
            <w:tcW w:w="3563" w:type="dxa"/>
            <w:vAlign w:val="center"/>
          </w:tcPr>
          <w:p>
            <w:pPr>
              <w:pStyle w:val="TableText"/>
              <w:jc w:val="left"/>
            </w:pPr>
            <w:r>
              <w:rPr>
                <w:sz w:val="20"/>
                <w:szCs w:val="20"/>
              </w:rPr>
              <w:t xml:space="preserve">Quick, modern web interface with charts</w:t>
            </w:r>
          </w:p>
        </w:tc>
      </w:tr>
      <w:tr>
        <w:trPr>
          <w:cantSplit/>
        </w:trPr>
        <w:tc>
          <w:tcPr>
            <w:tcW w:w="1526" w:type="dxa"/>
            <w:vAlign w:val="center"/>
          </w:tcPr>
          <w:p>
            <w:pPr>
              <w:pStyle w:val="TableText"/>
              <w:jc w:val="left"/>
            </w:pPr>
            <w:r>
              <w:rPr>
                <w:sz w:val="20"/>
                <w:szCs w:val="20"/>
              </w:rPr>
              <w:t xml:space="preserve">Testing</w:t>
            </w:r>
          </w:p>
        </w:tc>
        <w:tc>
          <w:tcPr>
            <w:tcW w:w="3392" w:type="dxa"/>
            <w:vAlign w:val="center"/>
          </w:tcPr>
          <w:p>
            <w:pPr>
              <w:pStyle w:val="TableText"/>
              <w:jc w:val="left"/>
            </w:pPr>
            <w:r>
              <w:rPr>
                <w:sz w:val="20"/>
                <w:szCs w:val="20"/>
              </w:rPr>
              <w:t xml:space="preserve">pytest (233 automated tests)</w:t>
            </w:r>
          </w:p>
        </w:tc>
        <w:tc>
          <w:tcPr>
            <w:tcW w:w="3563" w:type="dxa"/>
            <w:vAlign w:val="center"/>
          </w:tcPr>
          <w:p>
            <w:pPr>
              <w:pStyle w:val="TableText"/>
              <w:jc w:val="left"/>
            </w:pPr>
            <w:r>
              <w:rPr>
                <w:sz w:val="20"/>
                <w:szCs w:val="20"/>
              </w:rPr>
              <w:t xml:space="preserve">Catches mistakes in data handling, reports, security and reviews</w:t>
            </w:r>
          </w:p>
        </w:tc>
      </w:tr>
      <w:tr>
        <w:trPr>
          <w:cantSplit/>
        </w:trPr>
        <w:tc>
          <w:tcPr>
            <w:tcW w:w="1526" w:type="dxa"/>
            <w:vAlign w:val="center"/>
          </w:tcPr>
          <w:p>
            <w:pPr>
              <w:pStyle w:val="TableText"/>
              <w:jc w:val="left"/>
            </w:pPr>
            <w:r>
              <w:rPr>
                <w:sz w:val="20"/>
                <w:szCs w:val="20"/>
              </w:rPr>
              <w:t xml:space="preserve">Hardware</w:t>
            </w:r>
          </w:p>
        </w:tc>
        <w:tc>
          <w:tcPr>
            <w:tcW w:w="3392" w:type="dxa"/>
            <w:vAlign w:val="center"/>
          </w:tcPr>
          <w:p>
            <w:pPr>
              <w:pStyle w:val="TableText"/>
              <w:jc w:val="left"/>
            </w:pPr>
            <w:r>
              <w:rPr>
                <w:sz w:val="20"/>
                <w:szCs w:val="20"/>
              </w:rPr>
              <w:t xml:space="preserve">NVIDIA RTX 3050 laptop GPU, 4 GB</w:t>
            </w:r>
          </w:p>
        </w:tc>
        <w:tc>
          <w:tcPr>
            <w:tcW w:w="3563" w:type="dxa"/>
            <w:vAlign w:val="center"/>
          </w:tcPr>
          <w:p>
            <w:pPr>
              <w:pStyle w:val="TableText"/>
              <w:jc w:val="left"/>
            </w:pPr>
            <w:r>
              <w:rPr>
                <w:sz w:val="20"/>
                <w:szCs w:val="20"/>
              </w:rPr>
              <w:t xml:space="preserve">What we had; it limited batch sizes (1–2 for detectors)</w:t>
            </w:r>
          </w:p>
        </w:tc>
      </w:tr>
    </w:tbl>
    <w:p>
      <w:pPr>
        <w:pStyle w:val="TableNote"/>
      </w:pPr>
    </w:p>
    <w:p>
      <w:pPr>
        <w:pStyle w:val="Heading2"/>
      </w:pPr>
      <w:r>
        <w:t xml:space="preserve">6. HOW IT IS BUILT AND DEPLOYED</w:t>
      </w:r>
    </w:p>
    <w:p>
      <w:pPr>
        <w:pStyle w:val="BodyNoIndent"/>
      </w:pPr>
      <w:r>
        <w:t xml:space="preserve">The system runs locally on one computer; it is not hosted on the internet. The backend (FastAPI) starts with uvicorn on 127.0.0.1:8000 and loads the four trained models onto the GPU. The web interface runs on the Vite server at localhost:5173. Its proxy forwards requests to the backend and adds a secret API token on the server side, so the token never reaches the browser. The API listens only on the local address, needs the token and limits request rates. Every model file is stored with a SHA-256 hash and a description file. A new model is used only after a person approves it with a validation report, and the switch can be undone. Why this design: it is private (X-rays never leave the machine), simple to run for a student project, and safe for a prototype that is not ready for real patients.</w:t>
      </w:r>
    </w:p>
    <w:p>
      <w:pPr>
        <w:pStyle w:val="BodyNoIndent"/>
      </w:pPr>
      <w:r>
        <w:t xml:space="preserve">Speed: one full analysis with the uncertainty checks took 4.4 s for a 2872 × 1504 X-ray on the laptop GPU.</w:t>
      </w:r>
    </w:p>
    <w:p>
      <w:pPr>
        <w:pStyle w:val="Heading2"/>
      </w:pPr>
      <w:r>
        <w:t xml:space="preserve">7. RESULTS</w:t>
      </w:r>
    </w:p>
    <w:p>
      <w:pPr>
        <w:pStyle w:val="BodyNoIndent"/>
      </w:pPr>
      <w:r>
        <w:t xml:space="preserve">“Validation” results come from the split used to choose models (slightly optimistic). “Test” results come from the held-back test split, which was used only once per model.</w:t>
      </w:r>
    </w:p>
    <w:p>
      <w:pPr>
        <w:pStyle w:val="TableCaption"/>
      </w:pPr>
      <w:r>
        <w:t xml:space="preserve">Main results</w:t>
      </w:r>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865"/>
        <w:gridCol w:w="2544"/>
        <w:gridCol w:w="2035"/>
        <w:gridCol w:w="2037"/>
      </w:tblGrid>
      <w:tr>
        <w:trPr>
          <w:tblHeader/>
          <w:cantSplit/>
        </w:trPr>
        <w:tc>
          <w:tcPr>
            <w:tcW w:w="1865" w:type="dxa"/>
            <w:shd w:val="clear" w:color="auto" w:fill="D9D9D9"/>
            <w:vAlign w:val="center"/>
          </w:tcPr>
          <w:p>
            <w:pPr>
              <w:pStyle w:val="TableText"/>
              <w:jc w:val="center"/>
            </w:pPr>
            <w:r>
              <w:rPr>
                <w:sz w:val="20"/>
                <w:szCs w:val="20"/>
                <w:b/>
              </w:rPr>
              <w:t xml:space="preserve">Task</w:t>
            </w:r>
          </w:p>
        </w:tc>
        <w:tc>
          <w:tcPr>
            <w:tcW w:w="2544" w:type="dxa"/>
            <w:shd w:val="clear" w:color="auto" w:fill="D9D9D9"/>
            <w:vAlign w:val="center"/>
          </w:tcPr>
          <w:p>
            <w:pPr>
              <w:pStyle w:val="TableText"/>
              <w:jc w:val="center"/>
            </w:pPr>
            <w:r>
              <w:rPr>
                <w:sz w:val="20"/>
                <w:szCs w:val="20"/>
                <w:b/>
              </w:rPr>
              <w:t xml:space="preserve">Metric</w:t>
            </w:r>
          </w:p>
        </w:tc>
        <w:tc>
          <w:tcPr>
            <w:tcW w:w="2035" w:type="dxa"/>
            <w:shd w:val="clear" w:color="auto" w:fill="D9D9D9"/>
            <w:vAlign w:val="center"/>
          </w:tcPr>
          <w:p>
            <w:pPr>
              <w:pStyle w:val="TableText"/>
              <w:jc w:val="center"/>
            </w:pPr>
            <w:r>
              <w:rPr>
                <w:sz w:val="20"/>
                <w:szCs w:val="20"/>
                <w:b/>
              </w:rPr>
              <w:t xml:space="preserve">Validation</w:t>
            </w:r>
          </w:p>
        </w:tc>
        <w:tc>
          <w:tcPr>
            <w:tcW w:w="2037" w:type="dxa"/>
            <w:shd w:val="clear" w:color="auto" w:fill="D9D9D9"/>
            <w:vAlign w:val="center"/>
          </w:tcPr>
          <w:p>
            <w:pPr>
              <w:pStyle w:val="TableText"/>
              <w:jc w:val="center"/>
            </w:pPr>
            <w:r>
              <w:rPr>
                <w:sz w:val="20"/>
                <w:szCs w:val="20"/>
                <w:b/>
              </w:rPr>
              <w:t xml:space="preserve">Test</w:t>
            </w:r>
          </w:p>
        </w:tc>
      </w:tr>
      <w:tr>
        <w:trPr>
          <w:cantSplit/>
        </w:trPr>
        <w:tc>
          <w:tcPr>
            <w:tcW w:w="1865" w:type="dxa"/>
            <w:vAlign w:val="center"/>
          </w:tcPr>
          <w:p>
            <w:pPr>
              <w:pStyle w:val="TableText"/>
              <w:jc w:val="left"/>
            </w:pPr>
            <w:r>
              <w:rPr>
                <w:sz w:val="20"/>
                <w:szCs w:val="20"/>
              </w:rPr>
              <w:t xml:space="preserve">Find teeth</w:t>
            </w:r>
          </w:p>
        </w:tc>
        <w:tc>
          <w:tcPr>
            <w:tcW w:w="2544" w:type="dxa"/>
            <w:vAlign w:val="center"/>
          </w:tcPr>
          <w:p>
            <w:pPr>
              <w:pStyle w:val="TableText"/>
              <w:jc w:val="left"/>
            </w:pPr>
            <w:r>
              <w:rPr>
                <w:sz w:val="20"/>
                <w:szCs w:val="20"/>
              </w:rPr>
              <w:t xml:space="preserve">Precision / recall</w:t>
            </w:r>
          </w:p>
        </w:tc>
        <w:tc>
          <w:tcPr>
            <w:tcW w:w="2035" w:type="dxa"/>
            <w:vAlign w:val="center"/>
          </w:tcPr>
          <w:p>
            <w:pPr>
              <w:pStyle w:val="TableText"/>
              <w:jc w:val="center"/>
            </w:pPr>
            <w:r>
              <w:rPr>
                <w:sz w:val="20"/>
                <w:szCs w:val="20"/>
              </w:rPr>
              <w:t xml:space="preserve">0.962 / 0.984</w:t>
            </w:r>
          </w:p>
        </w:tc>
        <w:tc>
          <w:tcPr>
            <w:tcW w:w="2037" w:type="dxa"/>
            <w:vAlign w:val="center"/>
          </w:tcPr>
          <w:p>
            <w:pPr>
              <w:pStyle w:val="TableText"/>
              <w:jc w:val="center"/>
            </w:pPr>
            <w:r>
              <w:rPr>
                <w:sz w:val="20"/>
                <w:szCs w:val="20"/>
              </w:rPr>
              <w:t xml:space="preserve">0.960 / 0.974</w:t>
            </w:r>
          </w:p>
        </w:tc>
      </w:tr>
      <w:tr>
        <w:trPr>
          <w:cantSplit/>
        </w:trPr>
        <w:tc>
          <w:tcPr>
            <w:tcW w:w="1865" w:type="dxa"/>
            <w:vAlign w:val="center"/>
          </w:tcPr>
          <w:p>
            <w:pPr>
              <w:pStyle w:val="TableText"/>
              <w:jc w:val="left"/>
            </w:pPr>
            <w:r>
              <w:rPr>
                <w:sz w:val="20"/>
                <w:szCs w:val="20"/>
              </w:rPr>
              <w:t xml:space="preserve">Outline teeth</w:t>
            </w:r>
          </w:p>
        </w:tc>
        <w:tc>
          <w:tcPr>
            <w:tcW w:w="2544" w:type="dxa"/>
            <w:vAlign w:val="center"/>
          </w:tcPr>
          <w:p>
            <w:pPr>
              <w:pStyle w:val="TableText"/>
              <w:jc w:val="left"/>
            </w:pPr>
            <w:r>
              <w:rPr>
                <w:sz w:val="20"/>
                <w:szCs w:val="20"/>
              </w:rPr>
              <w:t xml:space="preserve">Mask AP50 / Dice</w:t>
            </w:r>
          </w:p>
        </w:tc>
        <w:tc>
          <w:tcPr>
            <w:tcW w:w="2035" w:type="dxa"/>
            <w:vAlign w:val="center"/>
          </w:tcPr>
          <w:p>
            <w:pPr>
              <w:pStyle w:val="TableText"/>
              <w:jc w:val="center"/>
            </w:pPr>
            <w:r>
              <w:rPr>
                <w:sz w:val="20"/>
                <w:szCs w:val="20"/>
              </w:rPr>
              <w:t xml:space="preserve">0.980 / –</w:t>
            </w:r>
          </w:p>
        </w:tc>
        <w:tc>
          <w:tcPr>
            <w:tcW w:w="2037" w:type="dxa"/>
            <w:vAlign w:val="center"/>
          </w:tcPr>
          <w:p>
            <w:pPr>
              <w:pStyle w:val="TableText"/>
              <w:jc w:val="center"/>
            </w:pPr>
            <w:r>
              <w:rPr>
                <w:sz w:val="20"/>
                <w:szCs w:val="20"/>
              </w:rPr>
              <w:t xml:space="preserve">0.974 / 0.873</w:t>
            </w:r>
          </w:p>
        </w:tc>
      </w:tr>
      <w:tr>
        <w:trPr>
          <w:cantSplit/>
        </w:trPr>
        <w:tc>
          <w:tcPr>
            <w:tcW w:w="1865" w:type="dxa"/>
            <w:vAlign w:val="center"/>
          </w:tcPr>
          <w:p>
            <w:pPr>
              <w:pStyle w:val="TableText"/>
              <w:jc w:val="left"/>
            </w:pPr>
            <w:r>
              <w:rPr>
                <w:sz w:val="20"/>
                <w:szCs w:val="20"/>
              </w:rPr>
              <w:t xml:space="preserve">Number teeth</w:t>
            </w:r>
          </w:p>
        </w:tc>
        <w:tc>
          <w:tcPr>
            <w:tcW w:w="2544" w:type="dxa"/>
            <w:vAlign w:val="center"/>
          </w:tcPr>
          <w:p>
            <w:pPr>
              <w:pStyle w:val="TableText"/>
              <w:jc w:val="left"/>
            </w:pPr>
            <w:r>
              <w:rPr>
                <w:sz w:val="20"/>
                <w:szCs w:val="20"/>
              </w:rPr>
              <w:t xml:space="preserve">Exact FDI number correct</w:t>
            </w:r>
          </w:p>
        </w:tc>
        <w:tc>
          <w:tcPr>
            <w:tcW w:w="2035" w:type="dxa"/>
            <w:vAlign w:val="center"/>
          </w:tcPr>
          <w:p>
            <w:pPr>
              <w:pStyle w:val="TableText"/>
              <w:jc w:val="center"/>
            </w:pPr>
            <w:r>
              <w:rPr>
                <w:sz w:val="20"/>
                <w:szCs w:val="20"/>
              </w:rPr>
              <w:t xml:space="preserve">93.6%</w:t>
            </w:r>
          </w:p>
        </w:tc>
        <w:tc>
          <w:tcPr>
            <w:tcW w:w="2037" w:type="dxa"/>
            <w:vAlign w:val="center"/>
          </w:tcPr>
          <w:p>
            <w:pPr>
              <w:pStyle w:val="TableText"/>
              <w:jc w:val="center"/>
            </w:pPr>
            <w:r>
              <w:rPr>
                <w:sz w:val="20"/>
                <w:szCs w:val="20"/>
              </w:rPr>
              <w:t xml:space="preserve">96.8%</w:t>
            </w:r>
          </w:p>
        </w:tc>
      </w:tr>
      <w:tr>
        <w:trPr>
          <w:cantSplit/>
        </w:trPr>
        <w:tc>
          <w:tcPr>
            <w:tcW w:w="1865" w:type="dxa"/>
            <w:vAlign w:val="center"/>
          </w:tcPr>
          <w:p>
            <w:pPr>
              <w:pStyle w:val="TableText"/>
              <w:jc w:val="left"/>
            </w:pPr>
            <w:r>
              <w:rPr>
                <w:sz w:val="20"/>
                <w:szCs w:val="20"/>
              </w:rPr>
              <w:t xml:space="preserve">Suggest finding</w:t>
            </w:r>
          </w:p>
        </w:tc>
        <w:tc>
          <w:tcPr>
            <w:tcW w:w="2544" w:type="dxa"/>
            <w:vAlign w:val="center"/>
          </w:tcPr>
          <w:p>
            <w:pPr>
              <w:pStyle w:val="TableText"/>
              <w:jc w:val="left"/>
            </w:pPr>
            <w:r>
              <w:rPr>
                <w:sz w:val="20"/>
                <w:szCs w:val="20"/>
              </w:rPr>
              <w:t xml:space="preserve">Accuracy / macro-F1</w:t>
            </w:r>
          </w:p>
        </w:tc>
        <w:tc>
          <w:tcPr>
            <w:tcW w:w="2035" w:type="dxa"/>
            <w:vAlign w:val="center"/>
          </w:tcPr>
          <w:p>
            <w:pPr>
              <w:pStyle w:val="TableText"/>
              <w:jc w:val="center"/>
            </w:pPr>
            <w:r>
              <w:rPr>
                <w:sz w:val="20"/>
                <w:szCs w:val="20"/>
              </w:rPr>
              <w:t xml:space="preserve">0.825 / 0.718</w:t>
            </w:r>
          </w:p>
        </w:tc>
        <w:tc>
          <w:tcPr>
            <w:tcW w:w="2037" w:type="dxa"/>
            <w:vAlign w:val="center"/>
          </w:tcPr>
          <w:p>
            <w:pPr>
              <w:pStyle w:val="TableText"/>
              <w:jc w:val="center"/>
            </w:pPr>
            <w:r>
              <w:rPr>
                <w:sz w:val="20"/>
                <w:szCs w:val="20"/>
              </w:rPr>
              <w:t xml:space="preserve">0.785 / 0.646</w:t>
            </w:r>
          </w:p>
        </w:tc>
      </w:tr>
      <w:tr>
        <w:trPr>
          <w:cantSplit/>
        </w:trPr>
        <w:tc>
          <w:tcPr>
            <w:tcW w:w="1865" w:type="dxa"/>
            <w:vAlign w:val="center"/>
          </w:tcPr>
          <w:p>
            <w:pPr>
              <w:pStyle w:val="TableText"/>
              <w:jc w:val="left"/>
            </w:pPr>
            <w:r>
              <w:rPr>
                <w:sz w:val="20"/>
                <w:szCs w:val="20"/>
              </w:rPr>
              <w:t xml:space="preserve">Suggest finding</w:t>
            </w:r>
          </w:p>
        </w:tc>
        <w:tc>
          <w:tcPr>
            <w:tcW w:w="2544" w:type="dxa"/>
            <w:vAlign w:val="center"/>
          </w:tcPr>
          <w:p>
            <w:pPr>
              <w:pStyle w:val="TableText"/>
              <w:jc w:val="left"/>
            </w:pPr>
            <w:r>
              <w:rPr>
                <w:sz w:val="20"/>
                <w:szCs w:val="20"/>
              </w:rPr>
              <w:t xml:space="preserve">Macro precision / recall</w:t>
            </w:r>
          </w:p>
        </w:tc>
        <w:tc>
          <w:tcPr>
            <w:tcW w:w="2035" w:type="dxa"/>
            <w:vAlign w:val="center"/>
          </w:tcPr>
          <w:p>
            <w:pPr>
              <w:pStyle w:val="TableText"/>
              <w:jc w:val="center"/>
            </w:pPr>
            <w:r>
              <w:rPr>
                <w:sz w:val="20"/>
                <w:szCs w:val="20"/>
              </w:rPr>
              <w:t xml:space="preserve">0.693 / 0.763</w:t>
            </w:r>
          </w:p>
        </w:tc>
        <w:tc>
          <w:tcPr>
            <w:tcW w:w="2037" w:type="dxa"/>
            <w:vAlign w:val="center"/>
          </w:tcPr>
          <w:p>
            <w:pPr>
              <w:pStyle w:val="TableText"/>
              <w:jc w:val="center"/>
            </w:pPr>
            <w:r>
              <w:rPr>
                <w:sz w:val="20"/>
                <w:szCs w:val="20"/>
              </w:rPr>
              <w:t xml:space="preserve">0.653 / 0.649</w:t>
            </w:r>
          </w:p>
        </w:tc>
      </w:tr>
    </w:tbl>
    <w:p>
      <w:pPr>
        <w:pStyle w:val="TableNote"/>
      </w:pPr>
    </w:p>
    <w:p>
      <w:pPr>
        <w:pStyle w:val="TableCaption"/>
      </w:pPr>
      <w:r>
        <w:t xml:space="preserve">Finding F1-score per class</w:t>
      </w:r>
    </w:p>
    <w:tbl>
      <w:tblPr>
        <w:tblW w:w="84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392"/>
        <w:gridCol w:w="2544"/>
        <w:gridCol w:w="2545"/>
      </w:tblGrid>
      <w:tr>
        <w:trPr>
          <w:tblHeader/>
          <w:cantSplit/>
        </w:trPr>
        <w:tc>
          <w:tcPr>
            <w:tcW w:w="3392" w:type="dxa"/>
            <w:shd w:val="clear" w:color="auto" w:fill="D9D9D9"/>
            <w:vAlign w:val="center"/>
          </w:tcPr>
          <w:p>
            <w:pPr>
              <w:pStyle w:val="TableText"/>
              <w:jc w:val="center"/>
            </w:pPr>
            <w:r>
              <w:rPr>
                <w:sz w:val="20"/>
                <w:szCs w:val="20"/>
                <w:b/>
              </w:rPr>
              <w:t xml:space="preserve">Finding</w:t>
            </w:r>
          </w:p>
        </w:tc>
        <w:tc>
          <w:tcPr>
            <w:tcW w:w="2544" w:type="dxa"/>
            <w:shd w:val="clear" w:color="auto" w:fill="D9D9D9"/>
            <w:vAlign w:val="center"/>
          </w:tcPr>
          <w:p>
            <w:pPr>
              <w:pStyle w:val="TableText"/>
              <w:jc w:val="center"/>
            </w:pPr>
            <w:r>
              <w:rPr>
                <w:sz w:val="20"/>
                <w:szCs w:val="20"/>
                <w:b/>
              </w:rPr>
              <w:t xml:space="preserve">Validation F1</w:t>
            </w:r>
          </w:p>
        </w:tc>
        <w:tc>
          <w:tcPr>
            <w:tcW w:w="2545" w:type="dxa"/>
            <w:shd w:val="clear" w:color="auto" w:fill="D9D9D9"/>
            <w:vAlign w:val="center"/>
          </w:tcPr>
          <w:p>
            <w:pPr>
              <w:pStyle w:val="TableText"/>
              <w:jc w:val="center"/>
            </w:pPr>
            <w:r>
              <w:rPr>
                <w:sz w:val="20"/>
                <w:szCs w:val="20"/>
                <w:b/>
              </w:rPr>
              <w:t xml:space="preserve">Test F1</w:t>
            </w:r>
          </w:p>
        </w:tc>
      </w:tr>
      <w:tr>
        <w:trPr>
          <w:cantSplit/>
        </w:trPr>
        <w:tc>
          <w:tcPr>
            <w:tcW w:w="3392" w:type="dxa"/>
            <w:vAlign w:val="center"/>
          </w:tcPr>
          <w:p>
            <w:pPr>
              <w:pStyle w:val="TableText"/>
              <w:jc w:val="left"/>
            </w:pPr>
            <w:r>
              <w:rPr>
                <w:sz w:val="20"/>
                <w:szCs w:val="20"/>
              </w:rPr>
              <w:t xml:space="preserve">Caries</w:t>
            </w:r>
          </w:p>
        </w:tc>
        <w:tc>
          <w:tcPr>
            <w:tcW w:w="2544" w:type="dxa"/>
            <w:vAlign w:val="center"/>
          </w:tcPr>
          <w:p>
            <w:pPr>
              <w:pStyle w:val="TableText"/>
              <w:jc w:val="center"/>
            </w:pPr>
            <w:r>
              <w:rPr>
                <w:sz w:val="20"/>
                <w:szCs w:val="20"/>
              </w:rPr>
              <w:t xml:space="preserve">0.87</w:t>
            </w:r>
          </w:p>
        </w:tc>
        <w:tc>
          <w:tcPr>
            <w:tcW w:w="2545" w:type="dxa"/>
            <w:vAlign w:val="center"/>
          </w:tcPr>
          <w:p>
            <w:pPr>
              <w:pStyle w:val="TableText"/>
              <w:jc w:val="center"/>
            </w:pPr>
            <w:r>
              <w:rPr>
                <w:sz w:val="20"/>
                <w:szCs w:val="20"/>
              </w:rPr>
              <w:t xml:space="preserve">0.84</w:t>
            </w:r>
          </w:p>
        </w:tc>
      </w:tr>
      <w:tr>
        <w:trPr>
          <w:cantSplit/>
        </w:trPr>
        <w:tc>
          <w:tcPr>
            <w:tcW w:w="3392" w:type="dxa"/>
            <w:vAlign w:val="center"/>
          </w:tcPr>
          <w:p>
            <w:pPr>
              <w:pStyle w:val="TableText"/>
              <w:jc w:val="left"/>
            </w:pPr>
            <w:r>
              <w:rPr>
                <w:sz w:val="20"/>
                <w:szCs w:val="20"/>
              </w:rPr>
              <w:t xml:space="preserve">Deep Caries</w:t>
            </w:r>
          </w:p>
        </w:tc>
        <w:tc>
          <w:tcPr>
            <w:tcW w:w="2544" w:type="dxa"/>
            <w:vAlign w:val="center"/>
          </w:tcPr>
          <w:p>
            <w:pPr>
              <w:pStyle w:val="TableText"/>
              <w:jc w:val="center"/>
            </w:pPr>
            <w:r>
              <w:rPr>
                <w:sz w:val="20"/>
                <w:szCs w:val="20"/>
              </w:rPr>
              <w:t xml:space="preserve">0.48</w:t>
            </w:r>
          </w:p>
        </w:tc>
        <w:tc>
          <w:tcPr>
            <w:tcW w:w="2545" w:type="dxa"/>
            <w:vAlign w:val="center"/>
          </w:tcPr>
          <w:p>
            <w:pPr>
              <w:pStyle w:val="TableText"/>
              <w:jc w:val="center"/>
            </w:pPr>
            <w:r>
              <w:rPr>
                <w:sz w:val="20"/>
                <w:szCs w:val="20"/>
              </w:rPr>
              <w:t xml:space="preserve">0.45</w:t>
            </w:r>
          </w:p>
        </w:tc>
      </w:tr>
      <w:tr>
        <w:trPr>
          <w:cantSplit/>
        </w:trPr>
        <w:tc>
          <w:tcPr>
            <w:tcW w:w="3392" w:type="dxa"/>
            <w:vAlign w:val="center"/>
          </w:tcPr>
          <w:p>
            <w:pPr>
              <w:pStyle w:val="TableText"/>
              <w:jc w:val="left"/>
            </w:pPr>
            <w:r>
              <w:rPr>
                <w:sz w:val="20"/>
                <w:szCs w:val="20"/>
              </w:rPr>
              <w:t xml:space="preserve">Impacted</w:t>
            </w:r>
          </w:p>
        </w:tc>
        <w:tc>
          <w:tcPr>
            <w:tcW w:w="2544" w:type="dxa"/>
            <w:vAlign w:val="center"/>
          </w:tcPr>
          <w:p>
            <w:pPr>
              <w:pStyle w:val="TableText"/>
              <w:jc w:val="center"/>
            </w:pPr>
            <w:r>
              <w:rPr>
                <w:sz w:val="20"/>
                <w:szCs w:val="20"/>
              </w:rPr>
              <w:t xml:space="preserve">0.93</w:t>
            </w:r>
          </w:p>
        </w:tc>
        <w:tc>
          <w:tcPr>
            <w:tcW w:w="2545" w:type="dxa"/>
            <w:vAlign w:val="center"/>
          </w:tcPr>
          <w:p>
            <w:pPr>
              <w:pStyle w:val="TableText"/>
              <w:jc w:val="center"/>
            </w:pPr>
            <w:r>
              <w:rPr>
                <w:sz w:val="20"/>
                <w:szCs w:val="20"/>
              </w:rPr>
              <w:t xml:space="preserve">0.93</w:t>
            </w:r>
          </w:p>
        </w:tc>
      </w:tr>
      <w:tr>
        <w:trPr>
          <w:cantSplit/>
        </w:trPr>
        <w:tc>
          <w:tcPr>
            <w:tcW w:w="3392" w:type="dxa"/>
            <w:vAlign w:val="center"/>
          </w:tcPr>
          <w:p>
            <w:pPr>
              <w:pStyle w:val="TableText"/>
              <w:jc w:val="left"/>
            </w:pPr>
            <w:r>
              <w:rPr>
                <w:sz w:val="20"/>
                <w:szCs w:val="20"/>
              </w:rPr>
              <w:t xml:space="preserve">Periapical Lesion</w:t>
            </w:r>
          </w:p>
        </w:tc>
        <w:tc>
          <w:tcPr>
            <w:tcW w:w="2544" w:type="dxa"/>
            <w:vAlign w:val="center"/>
          </w:tcPr>
          <w:p>
            <w:pPr>
              <w:pStyle w:val="TableText"/>
              <w:jc w:val="center"/>
            </w:pPr>
            <w:r>
              <w:rPr>
                <w:sz w:val="20"/>
                <w:szCs w:val="20"/>
              </w:rPr>
              <w:t xml:space="preserve">0.58</w:t>
            </w:r>
          </w:p>
        </w:tc>
        <w:tc>
          <w:tcPr>
            <w:tcW w:w="2545" w:type="dxa"/>
            <w:vAlign w:val="center"/>
          </w:tcPr>
          <w:p>
            <w:pPr>
              <w:pStyle w:val="TableText"/>
              <w:jc w:val="center"/>
            </w:pPr>
            <w:r>
              <w:rPr>
                <w:sz w:val="20"/>
                <w:szCs w:val="20"/>
              </w:rPr>
              <w:t xml:space="preserve">0.36</w:t>
            </w:r>
          </w:p>
        </w:tc>
      </w:tr>
    </w:tbl>
    <w:p>
      <w:pPr>
        <w:pStyle w:val="TableNote"/>
      </w:pPr>
    </w:p>
    <w:p>
      <w:pPr>
        <w:pStyle w:val="BodyNoIndent"/>
      </w:pPr>
      <w:r>
        <w:rPr>
          <w:b/>
        </w:rPr>
        <w:t xml:space="preserve">What this means.</w:t>
      </w:r>
      <w:r>
        <w:t xml:space="preserve"> Finding, numbering and outlining teeth work well. Suggesting the finding is the weak part. Impacted teeth and Caries are recognised well, but Deep Caries is often confused with Caries, and Periapical Lesion has very few examples (9 in validation, 13 in test). In the full app the classifier uses the detector’s own boxes. There, macro-F1 on validation drops to 0.649 on the same teeth and to 0.634 end to end, because small shifts in the box change about 10 % of predictions.</w:t>
      </w:r>
    </w:p>
    <w:p>
      <w:pPr>
        <w:pStyle w:val="Figure"/>
        <w:keepNext/>
        <w:jc w:val="center"/>
      </w:pPr>
      <w:r>
        <w:drawing>
          <wp:inline distT="0" distB="0" distL="0" distR="0">
            <wp:extent cx="4572000" cy="1997019"/>
            <wp:docPr id="2" name="Picture 2" descr="fig_classifier_per_class"/>
            <wp:cNvGraphicFramePr>
              <a:graphicFrameLocks noChangeAspect="1"/>
            </wp:cNvGraphicFramePr>
            <a:graphic>
              <a:graphicData uri="http://schemas.openxmlformats.org/drawingml/2006/picture">
                <pic:pic>
                  <pic:nvPicPr>
                    <pic:cNvPr id="2" name="image2.png"/>
                    <pic:cNvPicPr/>
                  </pic:nvPicPr>
                  <pic:blipFill>
                    <a:blip r:embed="rId11"/>
                    <a:stretch>
                      <a:fillRect/>
                    </a:stretch>
                  </pic:blipFill>
                  <pic:spPr>
                    <a:xfrm>
                      <a:off x="0" y="0"/>
                      <a:ext cx="4572000" cy="1997019"/>
                    </a:xfrm>
                    <a:prstGeom prst="rect">
                      <a:avLst/>
                    </a:prstGeom>
                  </pic:spPr>
                </pic:pic>
              </a:graphicData>
            </a:graphic>
          </wp:inline>
        </w:drawing>
      </w:r>
    </w:p>
    <w:p>
      <w:pPr>
        <w:pStyle w:val="FigureCaption"/>
      </w:pPr>
      <w:r>
        <w:t xml:space="preserve">Per-class precision, recall and F1 of the finding classifier (validation vs test)</w:t>
      </w:r>
    </w:p>
    <w:p>
      <w:pPr>
        <w:pStyle w:val="BodyNoIndent"/>
      </w:pPr>
      <w:r>
        <w:rPr>
          <w:b/>
        </w:rPr>
        <w:t xml:space="preserve">What we tried that did not help.</w:t>
      </w:r>
      <w:r>
        <w:t xml:space="preserve"> We tested five fixes for class imbalance (weighted sampler, oversampling, focal loss, square-root class weights, extra augmentation for rare classes), each with 5 random seeds. None beat the original model by more than the normal seed-to-seed variation, and most made the rare classes worse, so we kept the original model. Training on jittered crops and a different training recipe also did not pass our rules.</w:t>
      </w:r>
    </w:p>
    <w:p>
      <w:pPr>
        <w:pStyle w:val="BodyNoIndent"/>
      </w:pPr>
      <w:r>
        <w:rPr>
          <w:b/>
        </w:rPr>
        <w:t xml:space="preserve">Uncertainty works as a warning signal.</w:t>
      </w:r>
      <w:r>
        <w:t xml:space="preserve"> On the test split the AI flags 54 % of crops as “needs review”. These flagged crops contain 87 % of all mistakes: the error rate is 34 % for flagged crops and 6 % for the rest.</w:t>
      </w:r>
    </w:p>
    <w:p>
      <w:pPr>
        <w:pStyle w:val="Heading2"/>
      </w:pPr>
      <w:r>
        <w:t xml:space="preserve">8. MAIN LIMITATIONS</w:t>
      </w:r>
    </w:p>
    <w:p>
      <w:pPr>
        <w:pStyle w:val="BodyNoIndent"/>
        <w:jc w:val="left"/>
      </w:pPr>
      <w:r>
        <w:t xml:space="preserve">• No “healthy” class: every detected tooth gets one of four findings, so many teeth are shown as “no reliable class candidate”.</w:t>
      </w:r>
    </w:p>
    <w:p>
      <w:pPr>
        <w:pStyle w:val="BodyNoIndent"/>
        <w:jc w:val="left"/>
      </w:pPr>
      <w:r>
        <w:t xml:space="preserve">• Few examples of Deep Caries and Periapical Lesion, so results for these are weak and uncertain.</w:t>
      </w:r>
    </w:p>
    <w:p>
      <w:pPr>
        <w:pStyle w:val="BodyNoIndent"/>
        <w:jc w:val="left"/>
      </w:pPr>
      <w:r>
        <w:t xml:space="preserve">• Tested only on one public dataset; no other clinics or machines, and no patient IDs.</w:t>
      </w:r>
    </w:p>
    <w:p>
      <w:pPr>
        <w:pStyle w:val="BodyNoIndent"/>
        <w:jc w:val="left"/>
      </w:pPr>
      <w:r>
        <w:t xml:space="preserve">• Hindi and Marathi report wording has not been checked by dental professionals. Not clinically validated.</w:t>
      </w:r>
    </w:p>
    <w:sectPr>
      <w:footerReference w:type="default" r:id="rIdFooter"/>
      <w:pgSz w:w="11906" w:h="16838"/>
      <w:pgMar w:top="1327" w:right="1327" w:bottom="1814" w:left="2098" w:header="709" w:footer="567" w:gutter="0"/>
      <w:pgNumType w:fmt="decimal" w:start="1"/>
      <w:cols w:space="708"/>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p>
    <w:pPr>
      <w:pStyle w:val="Footer"/>
      <w:pBdr>
        <w:top w:val="single" w:sz="4" w:space="4" w:color="000000"/>
      </w:pBdr>
      <w:jc w:val="center"/>
    </w:pPr>
    <w:r>
      <w:t xml:space="preserve">PCCOE, Department of Computer Science and Engineering (AI &amp; ML) 2026-27</w:t>
    </w:r>
  </w:p>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p>
    <w:pPr>
      <w:pStyle w:val="Footer"/>
    </w:pPr>
  </w:p>
</w:ftr>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defaultTabStop w:val="720"/>
  <w:characterSpacingControl w:val="doNotCompress"/>
  <m:mathPr>
    <m:mathFont m:val="Cambria Math"/>
    <m:dispDef/>
    <m:wrapIndent m:val="1440"/>
  </m:mathPr>
  <w:compat>
    <w:compatSetting w:name="compatibilityMode" w:uri="http://schemas.microsoft.com/office/word" w:val="15"/>
  </w:compat>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docDefaults>
    <w:rPrDefault>
      <w:rPr>
        <w:rFonts w:ascii="Times New Roman" w:hAnsi="Times New Roman" w:cs="Times New Roman" w:eastAsia="Times New Roman"/>
        <w:sz w:val="24"/>
        <w:szCs w:val="24"/>
        <w:lang w:val="en-IN"/>
      </w:rPr>
    </w:rPrDefault>
    <w:pPrDefault>
      <w:pPr>
        <w:spacing w:after="0" w:line="360" w:lineRule="auto"/>
      </w:pPr>
    </w:pPrDefault>
  </w:docDefaults>
  <w:style w:type="paragraph" w:default="1" w:styleId="Normal">
    <w:name w:val="Normal"/>
    <w:qFormat/>
    <w:pPr>
      <w:spacing w:after="240" w:line="360" w:lineRule="auto"/>
      <w:ind w:firstLine="600"/>
      <w:jc w:val="both"/>
    </w:pPr>
  </w:style>
  <w:style w:type="paragraph" w:styleId="BodyNoIndent">
    <w:name w:val="Body No Indent"/>
    <w:basedOn w:val="Normal"/>
    <w:next w:val="Normal"/>
    <w:qFormat/>
    <w:pPr>
      <w:ind w:firstLine="0"/>
    </w:pPr>
    <w:rPr/>
  </w:style>
  <w:style w:type="paragraph" w:styleId="ChapterLabel">
    <w:name w:val="Chapter Label"/>
    <w:basedOn w:val="Normal"/>
    <w:next w:val="Normal"/>
    <w:qFormat/>
    <w:pPr>
      <w:pageBreakBefore/>
      <w:keepNext/>
      <w:spacing w:before="0" w:after="120"/>
      <w:ind w:firstLine="0"/>
      <w:jc w:val="center"/>
    </w:pPr>
    <w:rPr>
      <w:b/>
      <w:caps/>
      <w:sz w:val="28"/>
      <w:szCs w:val="28"/>
    </w:rPr>
  </w:style>
  <w:style w:type="paragraph" w:styleId="Heading1">
    <w:name w:val="heading 1"/>
    <w:basedOn w:val="Normal"/>
    <w:next w:val="Normal"/>
    <w:qFormat/>
    <w:pPr>
      <w:keepNext/>
      <w:spacing w:before="0" w:after="480"/>
      <w:ind w:firstLine="0"/>
      <w:jc w:val="center"/>
      <w:outlineLvl w:val="0"/>
    </w:pPr>
    <w:rPr>
      <w:b/>
      <w:caps/>
      <w:sz w:val="28"/>
      <w:szCs w:val="28"/>
    </w:rPr>
  </w:style>
  <w:style w:type="paragraph" w:styleId="Heading2">
    <w:name w:val="heading 2"/>
    <w:basedOn w:val="Normal"/>
    <w:next w:val="Normal"/>
    <w:qFormat/>
    <w:pPr>
      <w:keepNext/>
      <w:spacing w:before="360" w:after="240"/>
      <w:ind w:firstLine="0"/>
      <w:jc w:val="left"/>
      <w:outlineLvl w:val="1"/>
    </w:pPr>
    <w:rPr>
      <w:b/>
      <w:caps/>
      <w:sz w:val="24"/>
      <w:szCs w:val="24"/>
    </w:rPr>
  </w:style>
  <w:style w:type="paragraph" w:styleId="Heading3">
    <w:name w:val="heading 3"/>
    <w:basedOn w:val="Normal"/>
    <w:next w:val="Normal"/>
    <w:qFormat/>
    <w:pPr>
      <w:keepNext/>
      <w:spacing w:before="240" w:after="120"/>
      <w:ind w:firstLine="0"/>
      <w:jc w:val="left"/>
      <w:outlineLvl w:val="2"/>
    </w:pPr>
    <w:rPr>
      <w:b/>
      <w:sz w:val="24"/>
      <w:szCs w:val="24"/>
    </w:rPr>
  </w:style>
  <w:style w:type="paragraph" w:styleId="FrontTitle">
    <w:name w:val="Front Title"/>
    <w:basedOn w:val="Normal"/>
    <w:next w:val="Normal"/>
    <w:qFormat/>
    <w:pPr>
      <w:keepNext/>
      <w:spacing w:before="0" w:after="480"/>
      <w:ind w:firstLine="0"/>
      <w:jc w:val="center"/>
    </w:pPr>
    <w:rPr>
      <w:b/>
      <w:caps/>
      <w:sz w:val="28"/>
      <w:szCs w:val="28"/>
    </w:rPr>
  </w:style>
  <w:style w:type="paragraph" w:styleId="FrontTitleTOC">
    <w:name w:val="Front Title TOC"/>
    <w:basedOn w:val="Normal"/>
    <w:next w:val="Normal"/>
    <w:qFormat/>
    <w:pPr>
      <w:pageBreakBefore/>
      <w:keepNext/>
      <w:spacing w:before="0" w:after="480"/>
      <w:ind w:firstLine="0"/>
      <w:jc w:val="center"/>
      <w:outlineLvl w:val="0"/>
    </w:pPr>
    <w:rPr>
      <w:b/>
      <w:caps/>
      <w:sz w:val="28"/>
      <w:szCs w:val="28"/>
    </w:rPr>
  </w:style>
  <w:style w:type="paragraph" w:styleId="Cover">
    <w:name w:val="Cover"/>
    <w:basedOn w:val="Normal"/>
    <w:next w:val="Normal"/>
    <w:qFormat/>
    <w:pPr>
      <w:spacing w:after="60" w:line="276" w:lineRule="auto"/>
      <w:ind w:firstLine="0"/>
      <w:jc w:val="center"/>
    </w:pPr>
    <w:rPr>
      <w:b/>
    </w:rPr>
  </w:style>
  <w:style w:type="paragraph" w:styleId="Figure">
    <w:name w:val="Figure Para"/>
    <w:basedOn w:val="Normal"/>
    <w:next w:val="Normal"/>
    <w:qFormat/>
    <w:pPr>
      <w:spacing w:before="120" w:after="60" w:line="240" w:lineRule="auto"/>
      <w:ind w:firstLine="0"/>
      <w:jc w:val="center"/>
    </w:pPr>
    <w:rPr/>
  </w:style>
  <w:style w:type="paragraph" w:styleId="FigureCaption">
    <w:name w:val="Figure Caption"/>
    <w:basedOn w:val="Normal"/>
    <w:next w:val="Normal"/>
    <w:qFormat/>
    <w:pPr>
      <w:spacing w:before="60" w:after="300" w:line="240" w:lineRule="auto"/>
      <w:ind w:firstLine="0"/>
      <w:jc w:val="center"/>
    </w:pPr>
    <w:rPr>
      <w:sz w:val="20"/>
      <w:szCs w:val="20"/>
    </w:rPr>
  </w:style>
  <w:style w:type="paragraph" w:styleId="TableCaption">
    <w:name w:val="Table Caption"/>
    <w:basedOn w:val="Normal"/>
    <w:next w:val="Normal"/>
    <w:qFormat/>
    <w:pPr>
      <w:keepNext/>
      <w:spacing w:before="240" w:after="120" w:line="240" w:lineRule="auto"/>
      <w:ind w:firstLine="0"/>
      <w:jc w:val="center"/>
    </w:pPr>
    <w:rPr>
      <w:sz w:val="20"/>
      <w:szCs w:val="20"/>
    </w:rPr>
  </w:style>
  <w:style w:type="paragraph" w:styleId="TableText">
    <w:name w:val="Table Text"/>
    <w:basedOn w:val="Normal"/>
    <w:next w:val="Normal"/>
    <w:qFormat/>
    <w:pPr>
      <w:spacing w:before="20" w:after="20" w:line="240" w:lineRule="auto"/>
      <w:ind w:firstLine="0"/>
    </w:pPr>
    <w:rPr>
      <w:sz w:val="20"/>
      <w:szCs w:val="20"/>
    </w:rPr>
  </w:style>
  <w:style w:type="paragraph" w:styleId="TableNote">
    <w:name w:val="Table Note"/>
    <w:basedOn w:val="Normal"/>
    <w:next w:val="Normal"/>
    <w:qFormat/>
    <w:pPr>
      <w:spacing w:before="60" w:after="240" w:line="240" w:lineRule="auto"/>
      <w:ind w:firstLine="0"/>
      <w:jc w:val="both"/>
    </w:pPr>
    <w:rPr>
      <w:sz w:val="20"/>
      <w:szCs w:val="20"/>
    </w:rPr>
  </w:style>
  <w:style w:type="paragraph" w:styleId="Equation">
    <w:name w:val="Equation"/>
    <w:basedOn w:val="Normal"/>
    <w:next w:val="Normal"/>
    <w:qFormat/>
    <w:pPr>
      <w:spacing w:before="120" w:after="240" w:line="240" w:lineRule="auto"/>
      <w:ind w:firstLine="0"/>
    </w:pPr>
    <w:rPr/>
  </w:style>
  <w:style w:type="paragraph" w:styleId="Reference">
    <w:name w:val="Reference"/>
    <w:basedOn w:val="Normal"/>
    <w:next w:val="Normal"/>
    <w:qFormat/>
    <w:pPr>
      <w:spacing w:after="120" w:line="276" w:lineRule="auto"/>
      <w:ind w:left="567" w:hanging="567"/>
      <w:jc w:val="both"/>
    </w:pPr>
    <w:rPr/>
  </w:style>
  <w:style w:type="paragraph" w:styleId="TOCBody">
    <w:name w:val="TOC Body"/>
    <w:basedOn w:val="Normal"/>
    <w:next w:val="Normal"/>
    <w:qFormat/>
    <w:pPr>
      <w:ind w:firstLine="0"/>
      <w:spacing w:after="0"/>
    </w:pPr>
    <w:rPr/>
  </w:style>
  <w:style w:type="paragraph" w:styleId="TOC1">
    <w:name w:val="toc 1"/>
    <w:basedOn w:val="Normal"/>
    <w:next w:val="Normal"/>
    <w:qFormat/>
    <w:pPr>
      <w:tabs>
        <w:tab w:val="right" w:leader="dot" w:pos="8481"/>
      </w:tabs>
      <w:spacing w:before="120" w:after="0" w:line="300" w:lineRule="auto"/>
      <w:ind w:firstLine="0"/>
      <w:jc w:val="left"/>
    </w:pPr>
    <w:rPr>
      <w:b/>
    </w:rPr>
  </w:style>
  <w:style w:type="paragraph" w:styleId="TOC2">
    <w:name w:val="toc 2"/>
    <w:basedOn w:val="Normal"/>
    <w:next w:val="Normal"/>
    <w:qFormat/>
    <w:pPr>
      <w:tabs>
        <w:tab w:val="right" w:leader="dot" w:pos="8481"/>
      </w:tabs>
      <w:spacing w:after="0" w:line="300" w:lineRule="auto"/>
      <w:ind w:left="400" w:firstLine="0"/>
      <w:jc w:val="left"/>
    </w:pPr>
    <w:rPr/>
  </w:style>
  <w:style w:type="paragraph" w:styleId="TOC3">
    <w:name w:val="toc 3"/>
    <w:basedOn w:val="Normal"/>
    <w:next w:val="Normal"/>
    <w:qFormat/>
    <w:pPr>
      <w:tabs>
        <w:tab w:val="right" w:leader="dot" w:pos="8481"/>
      </w:tabs>
      <w:spacing w:after="0" w:line="300" w:lineRule="auto"/>
      <w:ind w:left="800" w:firstLine="0"/>
      <w:jc w:val="left"/>
    </w:pPr>
    <w:rPr>
      <w:sz w:val="22"/>
    </w:rPr>
  </w:style>
  <w:style w:type="paragraph" w:styleId="TableofFigures">
    <w:name w:val="table of figures"/>
    <w:basedOn w:val="Normal"/>
    <w:next w:val="Normal"/>
    <w:qFormat/>
    <w:pPr>
      <w:tabs>
        <w:tab w:val="right" w:leader="dot" w:pos="8481"/>
      </w:tabs>
      <w:spacing w:after="60" w:line="276" w:lineRule="auto"/>
      <w:ind w:left="0" w:firstLine="0"/>
      <w:jc w:val="left"/>
    </w:pPr>
    <w:rPr/>
  </w:style>
  <w:style w:type="paragraph" w:styleId="Footer">
    <w:name w:val="footer"/>
    <w:basedOn w:val="Normal"/>
    <w:next w:val="Normal"/>
    <w:qFormat/>
    <w:pPr>
      <w:spacing w:after="0" w:line="240" w:lineRule="auto"/>
      <w:ind w:firstLine="0"/>
      <w:jc w:val="center"/>
    </w:pPr>
    <w:rPr>
      <w:sz w:val="20"/>
      <w:szCs w:val="2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ooterEmpty"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DentaMind AI: Project Summary</dc:title>
  <dc:creator>DentaMind AI capstone group</dc:creator>
  <dcterms:created xsi:type="dcterms:W3CDTF">2026-10-15T15:26:57Z</dcterms:created>
  <dcterms:modified xsi:type="dcterms:W3CDTF">2026-10-15T15:26:57Z</dcterms:modified>
</cp:coreProperties>
</file>