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300"/>
        <w:jc w:val="center"/>
      </w:pPr>
      <w:r>
        <w:rPr>
          <w:rFonts w:ascii="Times New Roman" w:cs="Times New Roman" w:eastAsia="Times New Roman" w:hAnsi="Times New Roman"/>
          <w:b/>
          <w:bCs/>
          <w:color w:val="000000"/>
          <w:sz w:val="30"/>
          <w:szCs w:val="30"/>
        </w:rPr>
        <w:t xml:space="preserve">The Satellite Data Search and Overpass Forecast Toolkit: an open Python framework for multi-mission Earth observation discovery and field-campaign planning</w:t>
      </w:r>
    </w:p>
    <w:p>
      <w:pPr>
        <w:spacing w:after="200" w:line="240"/>
        <w:jc w:val="center"/>
      </w:pPr>
      <w:r>
        <w:rPr>
          <w:rFonts w:ascii="Times New Roman" w:cs="Times New Roman" w:eastAsia="Times New Roman" w:hAnsi="Times New Roman"/>
          <w:i/>
          <w:iCs/>
          <w:color w:val="444444"/>
          <w:sz w:val="20"/>
          <w:szCs w:val="20"/>
        </w:rPr>
        <w:t xml:space="preserve">Running title: Satellite Data Search and Overpass Forecast Toolkit</w:t>
      </w:r>
    </w:p>
    <w:p>
      <w:pPr>
        <w:spacing w:after="100" w:line="240"/>
        <w:jc w:val="center"/>
      </w:pPr>
      <w:r>
        <w:rPr>
          <w:rFonts w:ascii="Times New Roman" w:cs="Times New Roman" w:eastAsia="Times New Roman" w:hAnsi="Times New Roman"/>
          <w:color w:val="000000"/>
          <w:sz w:val="24"/>
          <w:szCs w:val="24"/>
        </w:rPr>
        <w:t xml:space="preserve">Suraj [Surname]¹*</w:t>
      </w:r>
    </w:p>
    <w:p>
      <w:pPr>
        <w:spacing w:after="60" w:line="240"/>
        <w:jc w:val="center"/>
      </w:pPr>
      <w:r>
        <w:rPr>
          <w:rFonts w:ascii="Times New Roman" w:cs="Times New Roman" w:eastAsia="Times New Roman" w:hAnsi="Times New Roman"/>
          <w:color w:val="333333"/>
          <w:sz w:val="20"/>
          <w:szCs w:val="20"/>
        </w:rPr>
        <w:t xml:space="preserve">¹ [Department], Mississippi State University, Mississippi State, MS 39762, USA</w:t>
      </w:r>
    </w:p>
    <w:p>
      <w:pPr>
        <w:spacing w:after="60" w:line="240"/>
        <w:jc w:val="center"/>
      </w:pPr>
      <w:r>
        <w:rPr>
          <w:rFonts w:ascii="Times New Roman" w:cs="Times New Roman" w:eastAsia="Times New Roman" w:hAnsi="Times New Roman"/>
          <w:color w:val="333333"/>
          <w:sz w:val="20"/>
          <w:szCs w:val="20"/>
        </w:rPr>
        <w:t xml:space="preserve">* Corresponding author: surajspce@gmail.com</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Abstract</w:t>
      </w:r>
    </w:p>
    <w:p>
      <w:pPr>
        <w:spacing w:after="140" w:before="0" w:line="360"/>
        <w:jc w:val="both"/>
      </w:pPr>
      <w:r>
        <w:rPr>
          <w:rFonts w:ascii="Times New Roman" w:cs="Times New Roman" w:eastAsia="Times New Roman" w:hAnsi="Times New Roman"/>
          <w:color w:val="000000"/>
          <w:sz w:val="24"/>
          <w:szCs w:val="24"/>
        </w:rPr>
        <w:t xml:space="preserve">Contemporary Earth observation (EO) science routinely requires the joint use of optical, thermal, and synthetic aperture radar (SAR) measurements acquired by a heterogeneous fleet of satellites. In practice, however, the discovery and retrieval of these measurements remains fragmented across mutually incompatible portals, application programming interfaces (APIs), authentication regimes, metadata vocabularies, and delivery mechanisms. A researcher assembling a multi-sensor record for a single field site must currently interact with at least three independent systems, reconcile at least three distinct metadata schemas, and manage two separate credential systems, before any scientific analysis can begin. This fragmentation imposes a substantial and largely invisible cost on reproducibility, on the onboarding of new practitioners, and on the practical feasibility of genuinely multi-mission study designs.</w:t>
      </w:r>
    </w:p>
    <w:p>
      <w:pPr>
        <w:spacing w:after="140" w:before="0" w:line="360"/>
        <w:jc w:val="both"/>
      </w:pPr>
      <w:r>
        <w:rPr>
          <w:rFonts w:ascii="Times New Roman" w:cs="Times New Roman" w:eastAsia="Times New Roman" w:hAnsi="Times New Roman"/>
          <w:color w:val="000000"/>
          <w:sz w:val="24"/>
          <w:szCs w:val="24"/>
        </w:rPr>
        <w:t xml:space="preserve">We present the Satellite Data Search and Overpass Forecast Toolkit (hereafter, the Toolkit), an open, modular Python framework that treats a single user-defined area of interest (AOI) as the sole binding contract across an end-to-end EO workflow. From one drawn polygon, the Toolkit federates catalogue queries across Google Earth Engine and NASA’s Common Metadata Repository (CMR), harmonises the returned granule metadata into a single analysis-ready table, routes retrieval through the appropriate authentication and transport mechanism for each archive, and forecasts future satellite overpasses of the same AOI by two methodologically independent routes. Sixteen product streams spanning Sentinel-1, Sentinel-2, Landsat 8/9, NISAR, MODIS Terra/Aqua, Sentinel-6, and the Harmonized Landsat and Sentinel-2 (HLS) series are supported at release; adding a further mission requires the addition of a single declarative configuration entry and no modification to the search, retrieval, or forecasting engines.</w:t>
      </w:r>
    </w:p>
    <w:p>
      <w:pPr>
        <w:spacing w:after="140" w:before="0" w:line="360"/>
        <w:jc w:val="both"/>
      </w:pPr>
      <w:r>
        <w:rPr>
          <w:rFonts w:ascii="Times New Roman" w:cs="Times New Roman" w:eastAsia="Times New Roman" w:hAnsi="Times New Roman"/>
          <w:color w:val="000000"/>
          <w:sz w:val="24"/>
          <w:szCs w:val="24"/>
        </w:rPr>
        <w:t xml:space="preserve">The forecasting component constitutes the framework’s principal methodological contribution. Rather than assuming each mission’s published nominal repeat cycle, the Toolkit mines the recent acquisition history of the specific AOI to detect the smallest repeating inter-acquisition gap pattern per platform, and projects that empirical pattern forward. This is cross-checked by an entirely independent module that propagates current two-line element (TLE) sets with an SGP4 orbital model and identifies geometric swath intersections. In a demonstration over a 17.2 km² agricultural site in Oktibbeha County, Mississippi, USA, a 61-day search returned 184 granules across 16 product streams representing 353 GB of archived data, and the empirical forecaster recovered an alternating 6/3-day acquisition pattern for Sentinel-2B and Sentinel-2C — yielding 49 constellation overpasses over a 90-day horizon against the 27 implied by the nominal 10-day repeat cycle, so that the nominal assumption accounts for only 55% of the available acquisition opportunities. Independent orbit propagation recovered mean local solar crossing times of 10.8 h and 22.0 h for Sentinel-2, 10.6 h and 21.8 h for Landsat, and 6.3 h and 17.7 h for Sentinel-1, in agreement with each mission’s published mean local solar time at the descending node, thereby validating the propagation chain independently of the archive-derived result.</w:t>
      </w:r>
    </w:p>
    <w:p>
      <w:pPr>
        <w:spacing w:after="140" w:before="0" w:line="360"/>
        <w:jc w:val="both"/>
      </w:pPr>
      <w:r>
        <w:rPr>
          <w:rFonts w:ascii="Times New Roman" w:cs="Times New Roman" w:eastAsia="Times New Roman" w:hAnsi="Times New Roman"/>
          <w:color w:val="000000"/>
          <w:sz w:val="24"/>
          <w:szCs w:val="24"/>
        </w:rPr>
        <w:t xml:space="preserve">The Toolkit is released under an open licence with a fully reproducible, credential-free repository archiving workflow. Its intended applications include multi-sensor time-series construction, SAR–optical data fusion, sensor-agnostic benchmarking, rapid-response tasking assessment, and — most directly — the scheduling of in-situ field campaigns to coincide with satellite overpasses, a requirement common to calibration/validation science, precision agriculture, hydrology, and ecosystem monitoring.</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Keywords</w:t>
      </w:r>
    </w:p>
    <w:p>
      <w:pPr>
        <w:spacing w:after="140" w:before="0" w:line="360"/>
        <w:jc w:val="both"/>
      </w:pPr>
      <w:r>
        <w:rPr>
          <w:rFonts w:ascii="Times New Roman" w:cs="Times New Roman" w:eastAsia="Times New Roman" w:hAnsi="Times New Roman"/>
          <w:color w:val="000000"/>
          <w:sz w:val="24"/>
          <w:szCs w:val="24"/>
        </w:rPr>
        <w:t xml:space="preserve">Earth observation; multi-mission data discovery; Google Earth Engine; NASA Common Metadata Repository; satellite overpass prediction; orbital propagation; field campaign planning; reproducible research software; Sentinel; NISAR</w:t>
      </w:r>
    </w:p>
    <w:p>
      <w:r>
        <w:br w:type="page"/>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1. Introduction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1.1. The multi-mission imperative</w:t>
      </w:r>
    </w:p>
    <w:p>
      <w:pPr>
        <w:spacing w:after="140" w:before="0" w:line="360"/>
        <w:jc w:val="both"/>
      </w:pPr>
      <w:r>
        <w:rPr>
          <w:rFonts w:ascii="Times New Roman" w:cs="Times New Roman" w:eastAsia="Times New Roman" w:hAnsi="Times New Roman"/>
          <w:color w:val="000000"/>
          <w:sz w:val="24"/>
          <w:szCs w:val="24"/>
        </w:rPr>
        <w:t xml:space="preserve">The scientific value of a satellite measurement is increasingly realised not in isolation but in combination. Optical reflectance constrains vegetation state but is defeated by cloud; SAR backscatter penetrates cloud and responds to structure and moisture but is difficult to interpret alone; thermal and coarse-resolution daily products supply temporal density that fine-resolution missions cannot. The dominant methodological trend across land-surface remote sensing over the past decade has accordingly been toward fusion — harmonised optical records that merge Landsat and Sentinel-2 into a common grid, SAR–optical composites that fill cloud gaps, and dense analysis-ready data cubes assembled from several sensors at once.</w:t>
      </w:r>
    </w:p>
    <w:p>
      <w:pPr>
        <w:spacing w:after="140" w:before="0" w:line="360"/>
        <w:jc w:val="both"/>
      </w:pPr>
      <w:r>
        <w:rPr>
          <w:rFonts w:ascii="Times New Roman" w:cs="Times New Roman" w:eastAsia="Times New Roman" w:hAnsi="Times New Roman"/>
          <w:color w:val="000000"/>
          <w:sz w:val="24"/>
          <w:szCs w:val="24"/>
        </w:rPr>
        <w:t xml:space="preserve">The instrument fleet available to support this trend is now unprecedented in both breadth and cadence. Three operational Sentinel-2 satellites carry the MultiSpectral Instrument; the Sentinel-1 constellation has been restored and extended following the loss of Sentinel-1B; Landsat 8 and 9 sustain a five-decade thermal and multispectral record; the NASA–ISRO Synthetic Aperture Radar (NISAR) mission began releasing provisional L-band products in 2026, adding a systematically acquired, globally consistent L-band SAR record for the first time; and MODIS Terra and Aqua continue to supply near-daily coarse-resolution vegetation and cryospheric products. In principle, a researcher working at a single field site can today assemble an extraordinarily rich, multi-frequency, multi-resolution observational record.</w:t>
      </w:r>
    </w:p>
    <w:p>
      <w:pPr>
        <w:spacing w:after="140" w:before="0" w:line="360"/>
        <w:jc w:val="both"/>
      </w:pPr>
      <w:r>
        <w:rPr>
          <w:rFonts w:ascii="Times New Roman" w:cs="Times New Roman" w:eastAsia="Times New Roman" w:hAnsi="Times New Roman"/>
          <w:color w:val="000000"/>
          <w:sz w:val="24"/>
          <w:szCs w:val="24"/>
        </w:rPr>
        <w:t xml:space="preserve">In practice, they generally do not — and the obstruction is rarely scientific.</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1.2. The fragmentation problem</w:t>
      </w:r>
    </w:p>
    <w:p>
      <w:pPr>
        <w:spacing w:after="140" w:before="0" w:line="360"/>
        <w:jc w:val="both"/>
      </w:pPr>
      <w:r>
        <w:rPr>
          <w:rFonts w:ascii="Times New Roman" w:cs="Times New Roman" w:eastAsia="Times New Roman" w:hAnsi="Times New Roman"/>
          <w:color w:val="000000"/>
          <w:sz w:val="24"/>
          <w:szCs w:val="24"/>
        </w:rPr>
        <w:t xml:space="preserve">The obstruction is infrastructural. Each mission’s data are discoverable and retrievable through a system designed independently of the others, and these systems differ along every axis that matters to an automated workflow:</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Discovery endpoints differ. </w:t>
      </w:r>
      <w:r>
        <w:rPr>
          <w:rFonts w:ascii="Times New Roman" w:cs="Times New Roman" w:eastAsia="Times New Roman" w:hAnsi="Times New Roman"/>
          <w:color w:val="000000"/>
          <w:sz w:val="24"/>
          <w:szCs w:val="24"/>
        </w:rPr>
        <w:t xml:space="preserve">Analysis-ready optical archives are queryable through Google Earth Engine’s catalogue; SAR archives are queryable through NASA’s Common Metadata Repository as served by the Alaska Satellite Facility (ASF) Distributed Active Archive Center (DAAC); harmonised products are served by the Land Processes (LP) DAAC cloud; ocean altimetry is served by the Physical Oceanography (PO) DAAC. No single endpoint covers the set.</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Metadata vocabularies differ. </w:t>
      </w:r>
      <w:r>
        <w:rPr>
          <w:rFonts w:ascii="Times New Roman" w:cs="Times New Roman" w:eastAsia="Times New Roman" w:hAnsi="Times New Roman"/>
          <w:color w:val="000000"/>
          <w:sz w:val="24"/>
          <w:szCs w:val="24"/>
        </w:rPr>
        <w:t xml:space="preserve">Scene cloud fraction is exposed as CLOUDY_PIXEL_PERCENTAGE for Sentinel-2, as CLOUD_COVER for Landsat, and as a cloud_cover attribute in CMR responses; platform identity is SPACECRAFT_NAME in one collection and SPACECRAFT_ID in another; spatial indexing is by MGRS tile for Sentinel-2 and by WRS-2 path/row for Landsat. Radar acquisition mode and polarisation are frequently not exposed as queryable attributes at all, and must be parsed from the granule identifier string.</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Authentication regimes differ. </w:t>
      </w:r>
      <w:r>
        <w:rPr>
          <w:rFonts w:ascii="Times New Roman" w:cs="Times New Roman" w:eastAsia="Times New Roman" w:hAnsi="Times New Roman"/>
          <w:color w:val="000000"/>
          <w:sz w:val="24"/>
          <w:szCs w:val="24"/>
        </w:rPr>
        <w:t xml:space="preserve">Earth Engine requires an authenticated Google Cloud project with the Earth Engine API enabled. CMR-brokered downloads require a NASA Earthdata Login. Within the Earthdata ecosystem, moreover, ASF-hosted assets and LP DAAC-hosted assets require materially different HTTP session handling, because the Earthdata Login OAuth redirect chain will silently discard or leak an Authorization header depending on how the redirect is followed.</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Delivery semantics differ. </w:t>
      </w:r>
      <w:r>
        <w:rPr>
          <w:rFonts w:ascii="Times New Roman" w:cs="Times New Roman" w:eastAsia="Times New Roman" w:hAnsi="Times New Roman"/>
          <w:color w:val="000000"/>
          <w:sz w:val="24"/>
          <w:szCs w:val="24"/>
        </w:rPr>
        <w:t xml:space="preserve">Earth Engine can compute a spatial subset server-side and deliver a small clipped raster; the DAACs deliver whole granules whose size ranges over four orders of magnitude, from ~2 kB MODIS subsets to ~25 GB NISAR L1 range-Doppler single-look complex files. A workflow that treats these identically will either waste bandwidth or fail outright.</w:t>
      </w:r>
    </w:p>
    <w:p>
      <w:pPr>
        <w:spacing w:after="140" w:before="0" w:line="360"/>
        <w:jc w:val="both"/>
      </w:pPr>
      <w:r>
        <w:rPr>
          <w:rFonts w:ascii="Times New Roman" w:cs="Times New Roman" w:eastAsia="Times New Roman" w:hAnsi="Times New Roman"/>
          <w:color w:val="000000"/>
          <w:sz w:val="24"/>
          <w:szCs w:val="24"/>
        </w:rPr>
        <w:t xml:space="preserve">The practical consequence is that a multi-mission study becomes an exercise in systems integration before it becomes an exercise in science. This cost is borne disproportionately by early-career researchers, by scientists whose primary expertise is in the application domain rather than in data engineering, and by any project for which reproducibility — the ability of a third party to regenerate the exact input set from a specification — is a requirement rather than an aspiration.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1.3. The forecasting problem</w:t>
      </w:r>
    </w:p>
    <w:p>
      <w:pPr>
        <w:spacing w:after="140" w:before="0" w:line="360"/>
        <w:jc w:val="both"/>
      </w:pPr>
      <w:r>
        <w:rPr>
          <w:rFonts w:ascii="Times New Roman" w:cs="Times New Roman" w:eastAsia="Times New Roman" w:hAnsi="Times New Roman"/>
          <w:color w:val="000000"/>
          <w:sz w:val="24"/>
          <w:szCs w:val="24"/>
        </w:rPr>
        <w:t xml:space="preserve">A second, distinct gap concerns the future rather than the past. A large class of EO science depends on temporal coincidence between a satellite acquisition and a ground-based measurement. Calibration and validation campaigns require in-situ observations at or near the overpass time; precision agriculture requires field sampling that can be meaningfully compared to an image; hydrological and cryospheric studies require gauge or probe measurements contemporaneous with the retrieval. Scheduling such campaigns requires knowing, in advance and for a specific location, when each satellite of interest will next acquire.</w:t>
      </w:r>
    </w:p>
    <w:p>
      <w:pPr>
        <w:spacing w:after="140" w:before="0" w:line="360"/>
        <w:jc w:val="both"/>
      </w:pPr>
      <w:r>
        <w:rPr>
          <w:rFonts w:ascii="Times New Roman" w:cs="Times New Roman" w:eastAsia="Times New Roman" w:hAnsi="Times New Roman"/>
          <w:color w:val="000000"/>
          <w:sz w:val="24"/>
          <w:szCs w:val="24"/>
        </w:rPr>
        <w:t xml:space="preserve">The default practice is to apply each mission’s published nominal repeat cycle — 10 days per Sentinel-2 satellite, 12 days per Sentinel-1 satellite, 16 days per Landsat satellite. This is systematically wrong for most locations, and wrong in a direction that costs the investigator opportunities. Sun-synchronous swaths overlap increasingly toward the poles, so a site situated within the side-lap between adjacent orbital tracks is imaged more frequently than the nominal cycle implies, at irregular rather than uniform intervals. The magnitude of this effect has been documented at global scale for the Landsat–Sentinel-2 system, but it is not typically incorporated into individual campaign planning, because doing so requires an analysis of the actual acquisition record at the specific site.</w:t>
      </w:r>
    </w:p>
    <w:p>
      <w:pPr>
        <w:spacing w:after="140" w:before="0" w:line="360"/>
        <w:jc w:val="both"/>
      </w:pPr>
      <w:r>
        <w:rPr>
          <w:rFonts w:ascii="Times New Roman" w:cs="Times New Roman" w:eastAsia="Times New Roman" w:hAnsi="Times New Roman"/>
          <w:color w:val="000000"/>
          <w:sz w:val="24"/>
          <w:szCs w:val="24"/>
        </w:rPr>
        <w:t xml:space="preserve">Existing overpass prediction tools — orbit propagators, acquisition plan viewers, and web services of various kinds — address a related but different question. They predict when a satellite will be geometrically overhead. This is a necessary but not sufficient condition for an acquisition: for optical instruments, half of all geometrically qualifying passes occur on the night side of the orbit; for SAR instruments, whether an acquisition is actually collected on a qualifying pass is a tasking decision made by the mission operator according to an evolving observation plan. A prediction system that reports geometric proximity alone will substantially over-predict, and a planner who trusts it will schedule field days against passes that produce no image.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1.4. Contributions</w:t>
      </w:r>
    </w:p>
    <w:p>
      <w:pPr>
        <w:spacing w:after="140" w:before="0" w:line="360"/>
        <w:jc w:val="both"/>
      </w:pPr>
      <w:r>
        <w:rPr>
          <w:rFonts w:ascii="Times New Roman" w:cs="Times New Roman" w:eastAsia="Times New Roman" w:hAnsi="Times New Roman"/>
          <w:color w:val="000000"/>
          <w:sz w:val="24"/>
          <w:szCs w:val="24"/>
        </w:rPr>
        <w:t xml:space="preserve">This paper describes the Satellite Data Search and Overpass Forecast Toolkit, a framework designed to close both gaps within a single coherent workflow. Its specific contributions are: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single-contract AOI abstraction. One drawn polygon, exported once in interoperable formats, is the sole input to every downstream stage. No stage re-specifies the spatial extent, eliminating an entire class of silent spatial-mismatch error.</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declarative, source-agnostic product registry. Each supported product is described by a configuration record specifying its host archive, its native metadata field names, its nominal ground sample distance, and its processing level. Two generic search engines — one for Earth Engine, one for CMR — consume these records. Extending the framework to a new mission is a data change, not a code change.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harmonised granule schema. Heterogeneous native metadata are normalised into a single tabular schema in which AOI coverage fraction, cloud fraction, processing level, nominal resolution, platform, and archival volume are directly comparable across missions and archives, enabling a single filtering expression to operate over the entire fleet.</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Provenance-aware, failure-safe retrieval. Downloads are routed by the resolved hostname of the asset rather than by product label, so that each archive receives the session handling it requires; transfers are written to temporary files and atomically renamed on completion, so that an interrupted transfer can never be mistaken for a complete one; and Earth Engine-hosted products are subset server-side to the AOI, bounding retrieval volume independently of native scene size.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An empirical revisit-pattern forecaster. Rather than assuming nominal cycles, the framework detects the smallest repeating inter-acquisition gap pattern in the recent archive record for the specific AOI and projects it forward, falling back to the nominal cycle only when the record is too sparse to confirm a pattern — a fallback that is explicitly recorded in the output rather than concealed.</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An independent physics-based cross-check. A second forecaster, sharing no data source, no dependency, and no assumption with the first, propagates current TLE sets and detects geometric swath intersections. Systematic disagreement between the two is diagnostic rather than merely inconvenient, and we show below that it isolates a specific and correctable deficiency in the geometric method.</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credential-free reproducibility path. The framework archives its own configuration, outputs, and a manifest of retrieved data to a version-controlled repository without ever writing a credential to disk or into version control, and without committing bulk data that would exceed repository limits.</w:t>
      </w:r>
    </w:p>
    <w:p>
      <w:pPr>
        <w:spacing w:after="140" w:before="0" w:line="360"/>
        <w:jc w:val="both"/>
      </w:pPr>
      <w:r>
        <w:rPr>
          <w:rFonts w:ascii="Times New Roman" w:cs="Times New Roman" w:eastAsia="Times New Roman" w:hAnsi="Times New Roman"/>
          <w:color w:val="000000"/>
          <w:sz w:val="24"/>
          <w:szCs w:val="24"/>
        </w:rPr>
        <w:t xml:space="preserve">The remainder of this paper is organised as follows. Section 2 positions the Toolkit with respect to existing platforms and tools. Section 3 describes the software architecture and each of its six modules in detail. Section 4 addresses implementation, extensibility, and the security model. Section 5 presents an illustrative application. Section 6 enumerates capabilities and application domains. Section 7 states limitations candidly. Section 8 sets out a development roadmap, and Section 9 concludes.</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2. Related Work and Positioning</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2.1. Cloud analysis platforms</w:t>
      </w:r>
    </w:p>
    <w:p>
      <w:pPr>
        <w:spacing w:after="140" w:before="0" w:line="360"/>
        <w:jc w:val="both"/>
      </w:pPr>
      <w:r>
        <w:rPr>
          <w:rFonts w:ascii="Times New Roman" w:cs="Times New Roman" w:eastAsia="Times New Roman" w:hAnsi="Times New Roman"/>
          <w:color w:val="000000"/>
          <w:sz w:val="24"/>
          <w:szCs w:val="24"/>
        </w:rPr>
        <w:t xml:space="preserve">Google Earth Engine transformed the accessibility of petabyte-scale EO archives by co-locating data and computation and exposing both through a high-level API. Its catalogue is broad and its server-side reduction model is highly efficient for the products it hosts. It is, however, a curated catalogue rather than a universal one: it does not host Sentinel-1 single-look complex products, the harmonised HLS series, NISAR, or Sentinel-6 altimetry. Similar observations apply to other analysis platforms and data cube implementations — the Open Data Cube, the Australian Geoscience Data Cube, the Joint Research Centre Earth Observation Data and Processing Platform, and Brazil Data Cube — each of which delivers excellent performance within a defined and necessarily bounded holding. The Toolkit does not compete with these systems; it uses Earth Engine as one of two backends precisely because its server-side clipping is the correct mechanism for the products it does host, and reaches past it for the products it does not.</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2.2. Archive-specific portals and clients</w:t>
      </w:r>
    </w:p>
    <w:p>
      <w:pPr>
        <w:spacing w:after="140" w:before="0" w:line="360"/>
        <w:jc w:val="both"/>
      </w:pPr>
      <w:r>
        <w:rPr>
          <w:rFonts w:ascii="Times New Roman" w:cs="Times New Roman" w:eastAsia="Times New Roman" w:hAnsi="Times New Roman"/>
          <w:color w:val="000000"/>
          <w:sz w:val="24"/>
          <w:szCs w:val="24"/>
        </w:rPr>
        <w:t xml:space="preserve">Each major archive provides its own discovery interface: ASF Vertex and the asf_search Python library for SAR; NASA Earthdata Search for the DAAC holdings generally; the Copernicus Browser and Copernicus Data Space Ecosystem APIs for Sentinel products; USGS EarthExplorer for Landsat. These are authoritative and complete within their scope, and the Toolkit uses asf_search as its transport layer for ASF-hosted assets for exactly this reason. What none of them provides is a cross-archive view: a researcher cannot ask a single question of ASF, LP DAAC, PO.DAAC, and Earth Engine simultaneously and receive one comparable answer.</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2.3. Federating libraries and standards</w:t>
      </w:r>
    </w:p>
    <w:p>
      <w:pPr>
        <w:spacing w:after="140" w:before="0" w:line="360"/>
        <w:jc w:val="both"/>
      </w:pPr>
      <w:r>
        <w:rPr>
          <w:rFonts w:ascii="Times New Roman" w:cs="Times New Roman" w:eastAsia="Times New Roman" w:hAnsi="Times New Roman"/>
          <w:color w:val="000000"/>
          <w:sz w:val="24"/>
          <w:szCs w:val="24"/>
        </w:rPr>
        <w:t xml:space="preserve">The SpatioTemporal Asset Catalog (STAC) specification and its client implementations, together with generalised access gateways such as EODAG and the openEO API, represent the most direct prior art for the discovery component of this work. These are mature, well-engineered, and in several respects more general than the Toolkit. Three considerations nonetheless motivate the present design. First, STAC coverage of the specific product set addressed here remains uneven — several targeted collections, including the NISAR provisional tier, are exposed through CMR before, or instead of, a stable STAC endpoint. Second, generalised gateways deliver a harmonised item model but do not compute AOI-relative coverage fractions server-side, which is the single most useful filtering criterion for site-scale work and which Earth Engine can evaluate without transferring geometry to the client. Third, and most importantly, none of these libraries addresses the forecasting problem at all; they are retrospective by construction. The Toolkit is explicitly designed so that its discovery layer could be re-implemented over STAC without disturbing the forecasting layer, and Section 8 identifies this as a roadmap item rather than a point of competition.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2.4. Overpass prediction tools</w:t>
      </w:r>
    </w:p>
    <w:p>
      <w:pPr>
        <w:spacing w:after="140" w:before="0" w:line="360"/>
        <w:jc w:val="both"/>
      </w:pPr>
      <w:r>
        <w:rPr>
          <w:rFonts w:ascii="Times New Roman" w:cs="Times New Roman" w:eastAsia="Times New Roman" w:hAnsi="Times New Roman"/>
          <w:color w:val="000000"/>
          <w:sz w:val="24"/>
          <w:szCs w:val="24"/>
        </w:rPr>
        <w:t xml:space="preserve">Prediction of satellite overpasses is well-established. The ESA Envisat Validation Data Centre orbit prediction tool, the NASA Langley Research Center satellite overpass predictor, the Digital Earth Australia analysis-ready-data overpass predictor, and commercial or semi-commercial services such as Spectator Earth all provide overpass times for specified locations, and mission operators publish forward acquisition plans for the Sentinel and Landsat systems. These tools are, without exception, geometric: they answer the question of when the satellite will be overhead.</w:t>
      </w:r>
    </w:p>
    <w:p>
      <w:pPr>
        <w:spacing w:after="140" w:before="0" w:line="360"/>
        <w:jc w:val="both"/>
      </w:pPr>
      <w:r>
        <w:rPr>
          <w:rFonts w:ascii="Times New Roman" w:cs="Times New Roman" w:eastAsia="Times New Roman" w:hAnsi="Times New Roman"/>
          <w:color w:val="000000"/>
          <w:sz w:val="24"/>
          <w:szCs w:val="24"/>
        </w:rPr>
        <w:t xml:space="preserve">The Toolkit differs in asking a different question — when the archive will next gain a granule covering this AOI — and in answering it twice, by independent means. The archive-driven empirical forecaster infers the effective revisit behaviour actually experienced at the site, implicitly incorporating side-lap geometry, tasking behaviour, and processing-tier availability without modelling any of them explicitly. The propagation-based forecaster provides an independent geometric prediction. Table 1 summarises the positioning.</w:t>
      </w:r>
    </w:p>
    <w:tbl>
      <w:tblPr>
        <w:tblW w:type="dxa" w:w="9900"/>
        <w:tblBorders>
          <w:top w:val="single" w:color="9AA3AB" w:sz="3"/>
          <w:left w:val="none" w:color="FFFFFF" w:sz="0"/>
          <w:bottom w:val="single" w:color="9AA3AB" w:sz="3"/>
          <w:right w:val="none" w:color="FFFFFF" w:sz="0"/>
          <w:insideH w:val="single" w:color="CFD5DA" w:sz="1"/>
          <w:insideV w:val="none" w:color="FFFFFF" w:sz="0"/>
        </w:tblBorders>
      </w:tblPr>
      <w:tblGrid>
        <w:gridCol w:w="2400"/>
        <w:gridCol w:w="1500"/>
        <w:gridCol w:w="1500"/>
        <w:gridCol w:w="1500"/>
        <w:gridCol w:w="1500"/>
        <w:gridCol w:w="1500"/>
      </w:tblGrid>
      <w:tr>
        <w:trPr>
          <w:tblHeader/>
        </w:trPr>
        <w:tc>
          <w:tcPr>
            <w:tcW w:type="dxa" w:w="24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System / library</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Multi-archive discovery</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Harmonised cross-mission schema</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AOI-relative coverage</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Authenticated retrieval</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Overpass forecasting</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Google Earth Engine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(own catalogue)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(server-side)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(own assets)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ASF Vertex / asf_search</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(ASF only)</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NASA Earthdata Search</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(DAACs only)</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Copernicus Browser / CDSE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(Copernicus only)</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(acq. plans)</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pystac-client / STAC</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(STAC endpoints)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(STAC item model)</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EODAG</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(many providers)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openEO</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(backend-dependent)</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EVDC / LaRC orbit tools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(geometric only)</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DEA ARD overpass predictor</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(geometric only)</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Spectator Earth</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(geometric + plans)</w:t>
            </w:r>
          </w:p>
        </w:tc>
      </w:tr>
      <w:tr>
        <w:tc>
          <w:tcPr>
            <w:tcW w:type="dxa" w:w="2400"/>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This work</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 (EE + CMR)</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 (server-side)</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 (dual-auth)</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 (empirical + physical)</w:t>
            </w:r>
          </w:p>
        </w:tc>
      </w:tr>
    </w:tbl>
    <w:p>
      <w:pPr>
        <w:spacing w:after="260" w:before="100" w:line="240"/>
        <w:jc w:val="left"/>
      </w:pPr>
      <w:r>
        <w:rPr>
          <w:rFonts w:ascii="Times New Roman" w:cs="Times New Roman" w:eastAsia="Times New Roman" w:hAnsi="Times New Roman"/>
          <w:color w:val="2B2B2B"/>
          <w:sz w:val="19"/>
          <w:szCs w:val="19"/>
        </w:rPr>
        <w:t xml:space="preserve">Table 1. Functional positioning of the Toolkit relative to representative existing systems. ● = full support; ◑ = partial or indirect support; ○ = not addressed.</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3. Software Description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3.1. Design principles</w:t>
      </w:r>
    </w:p>
    <w:p>
      <w:pPr>
        <w:spacing w:after="140" w:before="0" w:line="360"/>
        <w:jc w:val="both"/>
      </w:pPr>
      <w:r>
        <w:rPr>
          <w:rFonts w:ascii="Times New Roman" w:cs="Times New Roman" w:eastAsia="Times New Roman" w:hAnsi="Times New Roman"/>
          <w:color w:val="000000"/>
          <w:sz w:val="24"/>
          <w:szCs w:val="24"/>
        </w:rPr>
        <w:t xml:space="preserve">Five principles govern the architecture, and each is traceable to a specific failure mode observed in ad hoc multi-mission workflows.</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P1 — The AOI is the single contract. </w:t>
      </w:r>
      <w:r>
        <w:rPr>
          <w:rFonts w:ascii="Times New Roman" w:cs="Times New Roman" w:eastAsia="Times New Roman" w:hAnsi="Times New Roman"/>
          <w:color w:val="000000"/>
          <w:sz w:val="24"/>
          <w:szCs w:val="24"/>
        </w:rPr>
        <w:t xml:space="preserve">The spatial extent is specified exactly once, by direct interaction with a map, and is persisted to disk in GeoJSON, KML, and KMZ. Every subsequent stage reads that artefact. Because no stage accepts an independently specified extent, the common failure in which a search is run over one bounding box and a download or forecast over a slightly different one is structurally impossible.</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P2 — Product knowledge is declarative and separated from execution. </w:t>
      </w:r>
      <w:r>
        <w:rPr>
          <w:rFonts w:ascii="Times New Roman" w:cs="Times New Roman" w:eastAsia="Times New Roman" w:hAnsi="Times New Roman"/>
          <w:color w:val="000000"/>
          <w:sz w:val="24"/>
          <w:szCs w:val="24"/>
        </w:rPr>
        <w:t xml:space="preserve">Everything the system needs to know about a product — where it lives, what its native metadata fields are called, what its nominal resolution and processing level are, and how to parse structured information from its granule identifier — resides in a configuration record. The search engines contain no product-specific logic. This is what makes the extensibility claim in Section 4.2 substantive rather than rhetorical.</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P3 — Harmonisation occurs at ingest, not at analysis. </w:t>
      </w:r>
      <w:r>
        <w:rPr>
          <w:rFonts w:ascii="Times New Roman" w:cs="Times New Roman" w:eastAsia="Times New Roman" w:hAnsi="Times New Roman"/>
          <w:color w:val="000000"/>
          <w:sz w:val="24"/>
          <w:szCs w:val="24"/>
        </w:rPr>
        <w:t xml:space="preserve">Native field names are mapped to a common schema at the point of retrieval from the catalogue, so that all downstream code — filtering, export, retrieval routing, visualisation — operates on one vocabulary. A filtering criterion written once applies across every mission in the fleet.</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P4 — Retrieval is failure-safe and idempotent. </w:t>
      </w:r>
      <w:r>
        <w:rPr>
          <w:rFonts w:ascii="Times New Roman" w:cs="Times New Roman" w:eastAsia="Times New Roman" w:hAnsi="Times New Roman"/>
          <w:color w:val="000000"/>
          <w:sz w:val="24"/>
          <w:szCs w:val="24"/>
        </w:rPr>
        <w:t xml:space="preserve">Every design decision in the retrieval module assumes that transfers will be interrupted: by network failure, by session expiry, by the user stopping a notebook mid-cell. The module guarantees that no interrupted transfer can be misread as complete on a subsequent run, and that re-execution is safe and cheap.</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P5 — Credentials never touch disk. </w:t>
      </w:r>
      <w:r>
        <w:rPr>
          <w:rFonts w:ascii="Times New Roman" w:cs="Times New Roman" w:eastAsia="Times New Roman" w:hAnsi="Times New Roman"/>
          <w:color w:val="000000"/>
          <w:sz w:val="24"/>
          <w:szCs w:val="24"/>
        </w:rPr>
        <w:t xml:space="preserve">No password, token, or key is written to a configuration file, to version control, to a saved notebook output, or to an error message. This is a precondition for the framework’s reproducibility workflow, which publishes the working directory itself.</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3.2. Architecture overview</w:t>
      </w:r>
    </w:p>
    <w:p>
      <w:pPr>
        <w:spacing w:after="140" w:before="0" w:line="360"/>
        <w:jc w:val="both"/>
      </w:pPr>
      <w:r>
        <w:rPr>
          <w:rFonts w:ascii="Times New Roman" w:cs="Times New Roman" w:eastAsia="Times New Roman" w:hAnsi="Times New Roman"/>
          <w:color w:val="000000"/>
          <w:sz w:val="24"/>
          <w:szCs w:val="24"/>
        </w:rPr>
        <w:t xml:space="preserve">The Toolkit is organised as six sequential modules operating over a shared working directory, together with one supporting library. Figure 1 depicts the data flow. Modules 1–3 constitute the retrospective pipeline — define, discover, retrieve. Modules 4 and 5 constitute the prospective pipeline — two independent forecasts of future acquisition. Module 6 provides archival and reproducibility. Each module is independently executable and idempotent; the dependency structure is a directed acyclic graph rooted at Module 1, and the two forecasting modules depend only on the AOI, not on the search or retrieval stages.</w:t>
      </w:r>
    </w:p>
    <w:p>
      <w:pPr>
        <w:spacing w:after="80" w:before="200"/>
        <w:jc w:val="center"/>
      </w:pPr>
      <w:r>
        <w:drawing>
          <wp:inline distT="0" distB="0" distL="0" distR="0">
            <wp:extent cx="5669280" cy="36210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621024"/>
                    </a:xfrm>
                    <a:prstGeom prst="rect">
                      <a:avLst/>
                    </a:prstGeom>
                  </pic:spPr>
                </pic:pic>
              </a:graphicData>
            </a:graphic>
          </wp:inline>
        </w:drawing>
      </w:r>
    </w:p>
    <w:p>
      <w:pPr>
        <w:spacing w:after="260" w:before="100" w:line="240"/>
        <w:jc w:val="left"/>
      </w:pPr>
      <w:r>
        <w:rPr>
          <w:rFonts w:ascii="Times New Roman" w:cs="Times New Roman" w:eastAsia="Times New Roman" w:hAnsi="Times New Roman"/>
          <w:color w:val="2B2B2B"/>
          <w:sz w:val="19"/>
          <w:szCs w:val="19"/>
        </w:rPr>
        <w:t xml:space="preserve">Figure 1. Toolkit architecture and data flow. A single AOI polygon (Module 1) is the sole spatial contract for the retrospective pipeline (Modules 2–3), the two independent prospective forecasters (Modules 4–5), and the archival stage (Module 6). Dashed arrows indicate optional dependencies; the forecasting modules require only the AOI artefact.</w:t>
      </w:r>
    </w:p>
    <w:p>
      <w:pPr>
        <w:spacing w:after="140" w:before="0" w:line="360"/>
        <w:jc w:val="both"/>
      </w:pPr>
      <w:r>
        <w:rPr>
          <w:rFonts w:ascii="Times New Roman" w:cs="Times New Roman" w:eastAsia="Times New Roman" w:hAnsi="Times New Roman"/>
          <w:color w:val="000000"/>
          <w:sz w:val="24"/>
          <w:szCs w:val="24"/>
        </w:rPr>
        <w:t xml:space="preserve">The supporting library exposes four functions: three export routines that serialise a polygon geometry to GeoJSON, KML, and KMZ respectively, and one loader that reconstructs a geometry object from the exported GeoJSON. The exporters validate that the supplied geometry is a polygon and raise an informative error otherwise, and they correctly propagate interior rings so that AOIs containing exclusions are handled without loss.</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3.3. The product registry and the two search backends</w:t>
      </w:r>
    </w:p>
    <w:p>
      <w:pPr>
        <w:spacing w:after="140" w:before="0" w:line="360"/>
        <w:jc w:val="both"/>
      </w:pPr>
      <w:r>
        <w:rPr>
          <w:rFonts w:ascii="Times New Roman" w:cs="Times New Roman" w:eastAsia="Times New Roman" w:hAnsi="Times New Roman"/>
          <w:color w:val="000000"/>
          <w:sz w:val="24"/>
          <w:szCs w:val="24"/>
        </w:rPr>
        <w:t xml:space="preserve">The registry is the framework’s central abstraction. A product served by the Earth Engine catalogue is described by four fields: the collection identifier, the nominal ground sample distance in metres, the processing level as a human-readable label, and a property map from harmonised output column names to the collection’s native property names. A product served through CMR is described by five: the archival provider, the list of collection short names to query, an optional regular expression with named capture groups applied to the granule identifier, the nominal resolution, and the processing level.</w:t>
      </w:r>
    </w:p>
    <w:p>
      <w:pPr>
        <w:spacing w:after="140" w:before="0" w:line="360"/>
        <w:jc w:val="both"/>
      </w:pPr>
      <w:r>
        <w:rPr>
          <w:rFonts w:ascii="Times New Roman" w:cs="Times New Roman" w:eastAsia="Times New Roman" w:hAnsi="Times New Roman"/>
          <w:color w:val="000000"/>
          <w:sz w:val="24"/>
          <w:szCs w:val="24"/>
        </w:rPr>
        <w:t xml:space="preserve">The regular expression mechanism deserves comment, because it resolves a real and awkward problem. SAR acquisition mode and polarisation are semantically central to any radar analysis, yet they are not exposed as queryable CMR attributes. They are, however, deterministically encoded in the granule identifier under a documented and stable naming convention. The Toolkit therefore applies a per-product regular expression whose named capture groups are promoted directly to output columns. Because promotion is by capture-group name rather than by a fixed list, a product whose identifier encodes information not anticipated by the framework’s authors can expose it simply by naming a group for it, with no change to the engine.</w:t>
      </w:r>
    </w:p>
    <w:p>
      <w:pPr>
        <w:spacing w:after="140" w:before="0" w:line="360"/>
        <w:jc w:val="both"/>
      </w:pPr>
      <w:r>
        <w:rPr>
          <w:rFonts w:ascii="Times New Roman" w:cs="Times New Roman" w:eastAsia="Times New Roman" w:hAnsi="Times New Roman"/>
          <w:color w:val="000000"/>
          <w:sz w:val="24"/>
          <w:szCs w:val="24"/>
        </w:rPr>
        <w:t xml:space="preserve">The Earth Engine engine constructs a filtered image collection, maps a property-extraction function across it, and materialises the result in a single client-side round trip. Critically, the AOI coverage fraction — the proportion of the AOI intersected by the granule footprint — is computed server-side as part of that mapped operation, so no geometry is transferred to the client for this purpose. The CMR engine issues a granule search against the public CMR endpoint with a bounding-box and temporal constraint, and reconstructs each granule’s footprint from the polygon strings returned in the response. A subtlety handled here is coordinate order: CMR polygon strings are ordered latitude-first, whereas GeoJSON and the geometry library both require longitude-first, and the engine performs the transposition explicitly.</w:t>
      </w:r>
    </w:p>
    <w:p>
      <w:pPr>
        <w:spacing w:after="140" w:before="0" w:line="360"/>
        <w:jc w:val="both"/>
      </w:pPr>
      <w:r>
        <w:rPr>
          <w:rFonts w:ascii="Times New Roman" w:cs="Times New Roman" w:eastAsia="Times New Roman" w:hAnsi="Times New Roman"/>
          <w:color w:val="000000"/>
          <w:sz w:val="24"/>
          <w:szCs w:val="24"/>
        </w:rPr>
        <w:t xml:space="preserve">Both engines write the resulting footprint geometries into a side table keyed by the composite of product label and granule identifier, deliberately excluded from the returned data frame. This is a small decision with a disproportionate usability effect: a raw coordinate ring embedded as a table column renders every printed result illegible, whereas a side table preserves the geometry for cartographic use at no cost to tabular readability.</w:t>
      </w:r>
    </w:p>
    <w:tbl>
      <w:tblPr>
        <w:tblW w:type="dxa" w:w="7800"/>
        <w:tblBorders>
          <w:top w:val="single" w:color="9AA3AB" w:sz="3"/>
          <w:left w:val="none" w:color="FFFFFF" w:sz="0"/>
          <w:bottom w:val="single" w:color="9AA3AB" w:sz="3"/>
          <w:right w:val="none" w:color="FFFFFF" w:sz="0"/>
          <w:insideH w:val="single" w:color="CFD5DA" w:sz="1"/>
          <w:insideV w:val="none" w:color="FFFFFF" w:sz="0"/>
        </w:tblBorders>
      </w:tblPr>
      <w:tblGrid>
        <w:gridCol w:w="1700"/>
        <w:gridCol w:w="1400"/>
        <w:gridCol w:w="4700"/>
      </w:tblGrid>
      <w:tr>
        <w:trPr>
          <w:tblHeader/>
        </w:trPr>
        <w:tc>
          <w:tcPr>
            <w:tcW w:type="dxa" w:w="17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Field</w:t>
            </w:r>
          </w:p>
        </w:tc>
        <w:tc>
          <w:tcPr>
            <w:tcW w:type="dxa" w:w="14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Type</w:t>
            </w:r>
          </w:p>
        </w:tc>
        <w:tc>
          <w:tcPr>
            <w:tcW w:type="dxa" w:w="47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Description and provenance</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product</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Registry label identifying the product stream.</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sensor</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Mission family, derived from the product label; the grouping key for filtering and rendering.</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id</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Granule or image identifier as issued by the host archive.</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date</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datetime</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Acquisition start time, UTC.</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level</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Processing level label (e.g. L2A, GRDH, SLC, L2 GCOV, HLS S30).</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resolution_m</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numeric</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Nominal ground sample distance in metres, from the registry; null where the product is not a fixed image grid.</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aoi_cov_pct</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numeric</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Percentage of the AOI intersected by the granule footprint. Computed server-side for Earth Engine products; client-side from the CMR-reported footprint otherwise.</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cloud_pct</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numeric</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Scene cloud fraction, normalised from CLOUDY_PIXEL_PERCENTAGE, CLOUD_COVER, or the CMR cloud_cover attribute. Null for radar and altimetric products.</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platform</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Satellite identity, normalised from SPACECRAFT_NAME, SPACECRAFT_ID, or the granule identifier.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size_mb</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numeric</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Archive-reported granule volume. Null for Earth Engine products, which are delivered as AOI subsets.</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link</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Resolved asset URL. Null for Earth Engine products; its presence is the retrieval-path discriminator.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tile / path / row</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 / int</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Spatial index: MGRS tile for Sentinel-2, WRS-2 path and row for Landsat.</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instrument_mode</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SAR acquisition mode (IW, EW, SM, WV), parsed from the granule identifier.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polarization</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SAR polarisation configuration (SH, SV, DH, DV), parsed from the granule identifier.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orbit_pass</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Ascending or descending node, parsed from the NISAR granule identifier.</w:t>
            </w:r>
          </w:p>
        </w:tc>
      </w:tr>
      <w:tr>
        <w:tc>
          <w:tcPr>
            <w:tcW w:type="dxa" w:w="1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instrument</w:t>
            </w:r>
          </w:p>
        </w:tc>
        <w:tc>
          <w:tcPr>
            <w:tcW w:type="dxa" w:w="14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string</w:t>
            </w:r>
          </w:p>
        </w:tc>
        <w:tc>
          <w:tcPr>
            <w:tcW w:type="dxa" w:w="4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Sensor identifier where the platform carries more than one.</w:t>
            </w:r>
          </w:p>
        </w:tc>
      </w:tr>
    </w:tbl>
    <w:p>
      <w:pPr>
        <w:spacing w:after="260" w:before="100" w:line="240"/>
        <w:jc w:val="left"/>
      </w:pPr>
      <w:r>
        <w:rPr>
          <w:rFonts w:ascii="Times New Roman" w:cs="Times New Roman" w:eastAsia="Times New Roman" w:hAnsi="Times New Roman"/>
          <w:color w:val="2B2B2B"/>
          <w:sz w:val="19"/>
          <w:szCs w:val="19"/>
        </w:rPr>
        <w:t xml:space="preserve">Table 2. Harmonised granule schema. Every supported product populates this schema regardless of host archive; fields not reported by a given source are null rather than absent, so that a single filtering expression applies fleet-wide.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3.4. Module 1 — AOI definition and export</w:t>
      </w:r>
    </w:p>
    <w:p>
      <w:pPr>
        <w:spacing w:after="140" w:before="0" w:line="360"/>
        <w:jc w:val="both"/>
      </w:pPr>
      <w:r>
        <w:rPr>
          <w:rFonts w:ascii="Times New Roman" w:cs="Times New Roman" w:eastAsia="Times New Roman" w:hAnsi="Times New Roman"/>
          <w:color w:val="000000"/>
          <w:sz w:val="24"/>
          <w:szCs w:val="24"/>
        </w:rPr>
        <w:t xml:space="preserve">The first module presents an interactive map with satellite and roadmap basemaps, on which the user draws a single rectangle or polygon. The drawn geometry is retrieved, validated, and serialised to three formats in one operation. GeoJSON serves as the machine-readable contract consumed by every downstream module; KML and KMZ are produced because field practitioners overwhelmingly use Google Earth and handheld GPS software for site navigation, and an AOI that cannot be loaded onto the device carried into the field is of limited operational use. A verification step reloads the exported GeoJSON and re-displays it on an independent map, confirming that the round trip through disk preserved the geometry.</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3.5. Module 2 — Federated multi-mission discovery</w:t>
      </w:r>
    </w:p>
    <w:p>
      <w:pPr>
        <w:spacing w:after="140" w:before="0" w:line="360"/>
        <w:jc w:val="both"/>
      </w:pPr>
      <w:r>
        <w:rPr>
          <w:rFonts w:ascii="Times New Roman" w:cs="Times New Roman" w:eastAsia="Times New Roman" w:hAnsi="Times New Roman"/>
          <w:color w:val="000000"/>
          <w:sz w:val="24"/>
          <w:szCs w:val="24"/>
        </w:rPr>
        <w:t xml:space="preserve">The second module is the framework’s largest and constitutes its discovery core. It executes registry-driven searches across all supported product families, concatenates the results, applies user-specified quality filters, exports the retained set, and renders the retained footprints cartographically.</w:t>
      </w:r>
    </w:p>
    <w:p>
      <w:pPr>
        <w:spacing w:after="140" w:before="0" w:line="360"/>
        <w:jc w:val="both"/>
      </w:pPr>
      <w:r>
        <w:rPr>
          <w:rFonts w:ascii="Times New Roman" w:cs="Times New Roman" w:eastAsia="Times New Roman" w:hAnsi="Times New Roman"/>
          <w:color w:val="000000"/>
          <w:sz w:val="24"/>
          <w:szCs w:val="24"/>
        </w:rPr>
        <w:t xml:space="preserve">Sixteen product streams are supported at release, grouped by mission family. The Sentinel-2 family comprises Level-2A surface reflectance and Level-1C top-of-atmosphere reflectance from Earth Engine at 10 m, together with the HLS S30 harmonised product from LP DAAC Cloud at 30 m. The Sentinel-1 family comprises five ASF-hosted variants — high-resolution ground range detected in dual and single polarisation, medium-resolution ground range detected, single-look complex, and the Level-2 ocean product — none of which is available in the Earth Engine catalogue in its native form. The NISAR family comprises the Level-2 geocoded covariance product, the Level-1 range-Doppler single-look complex product, and the Level-3 soil moisture product, all in the provisional processing tier. The Landsat family comprises Collection 2 Level-2 surface reflectance from Landsat 8 and Landsat 9 via Earth Engine, together with HLS L30 via LP DAAC Cloud. The MODIS family comprises the Terra and Aqua 16-day vegetation index products and the Terra and Aqua daily snow cover products. Sentinel-6 low-resolution ocean surface topography completes the set.</w:t>
      </w:r>
    </w:p>
    <w:p>
      <w:pPr>
        <w:spacing w:after="140" w:before="0" w:line="360"/>
        <w:jc w:val="both"/>
      </w:pPr>
      <w:r>
        <w:rPr>
          <w:rFonts w:ascii="Times New Roman" w:cs="Times New Roman" w:eastAsia="Times New Roman" w:hAnsi="Times New Roman"/>
          <w:color w:val="000000"/>
          <w:sz w:val="24"/>
          <w:szCs w:val="24"/>
        </w:rPr>
        <w:t xml:space="preserve">Filtering operates on the harmonised schema, with two default criteria: a minimum AOI coverage fraction, and a maximum cloud fraction. The cloud criterion is applied conditionally, so that granules from radar and altimetric missions — for which cloud fraction is undefined and therefore null — are retained rather than silently discarded. This is a small but consequential detail: a naive numeric comparison against a null value would eliminate the entire SAR record.</w:t>
      </w:r>
    </w:p>
    <w:p>
      <w:pPr>
        <w:spacing w:after="140" w:before="0" w:line="360"/>
        <w:jc w:val="both"/>
      </w:pPr>
      <w:r>
        <w:rPr>
          <w:rFonts w:ascii="Times New Roman" w:cs="Times New Roman" w:eastAsia="Times New Roman" w:hAnsi="Times New Roman"/>
          <w:color w:val="000000"/>
          <w:sz w:val="24"/>
          <w:szCs w:val="24"/>
        </w:rPr>
        <w:t xml:space="preserve">The cartographic output renders the AOI and every retained granule footprint as unfilled coloured outlines, one colour per mission family, with an automatically generated legend. Boundary-only rendering is a deliberate choice: with 184 granules over a small AOI, filled polygons occlude one another completely, whereas outlines remain individually legible where they overlap.</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3.6. Module 3 — Provenance-aware retrieval</w:t>
      </w:r>
    </w:p>
    <w:p>
      <w:pPr>
        <w:spacing w:after="140" w:before="0" w:line="360"/>
        <w:jc w:val="both"/>
      </w:pPr>
      <w:r>
        <w:rPr>
          <w:rFonts w:ascii="Times New Roman" w:cs="Times New Roman" w:eastAsia="Times New Roman" w:hAnsi="Times New Roman"/>
          <w:color w:val="000000"/>
          <w:sz w:val="24"/>
          <w:szCs w:val="24"/>
        </w:rPr>
        <w:t xml:space="preserve">The third module retrieves the retained granules. It is organised around a bifurcation that reflects the fundamental difference in delivery semantics described in Section 1.2.</w:t>
      </w:r>
    </w:p>
    <w:p>
      <w:pPr>
        <w:spacing w:after="140" w:before="0" w:line="360"/>
        <w:jc w:val="both"/>
      </w:pPr>
      <w:r>
        <w:rPr>
          <w:rFonts w:ascii="Times New Roman" w:cs="Times New Roman" w:eastAsia="Times New Roman" w:hAnsi="Times New Roman"/>
          <w:color w:val="000000"/>
          <w:sz w:val="24"/>
          <w:szCs w:val="24"/>
        </w:rPr>
        <w:t xml:space="preserve">Granules carrying a resolved asset link are retrieved from their host archive as whole files. Granules without a link — those discovered through the Earth Engine catalogue — are exported as multi-band GeoTIFFs clipped server-side to the AOI. The second path bounds retrieval volume by the AOI extent rather than by the native scene extent, which for a site-scale study is a difference of two to three orders of magnitude. In the demonstration of Section 5, this mechanism reduced 147 Earth Engine-hosted granules — whose native footprints total tens of gigabytes — to a set of clipped rasters of which the largest is under 15 MB.</w:t>
      </w:r>
    </w:p>
    <w:p>
      <w:pPr>
        <w:spacing w:after="140" w:before="0" w:line="360"/>
        <w:jc w:val="both"/>
      </w:pPr>
      <w:r>
        <w:rPr>
          <w:rFonts w:ascii="Times New Roman" w:cs="Times New Roman" w:eastAsia="Times New Roman" w:hAnsi="Times New Roman"/>
          <w:color w:val="000000"/>
          <w:sz w:val="24"/>
          <w:szCs w:val="24"/>
        </w:rPr>
        <w:t xml:space="preserve">Retrieval routing for archive-hosted assets is determined by the resolved hostname of the asset URL, not by the product label. This is the correct discriminator because the operative distinction is which authentication chain the host implements, and hosts do not map one-to-one onto missions: both Sentinel-1 and NISAR assets are ASF-hosted and require the ASF session handler, whereas HLS and Sentinel-6 assets are hosted by other DAACs and are correctly served by a general Earthdata session. Routing on the product label would require the routing table to be updated every time a mission changed archive; routing on the hostname requires no maintenance.</w:t>
      </w:r>
    </w:p>
    <w:p>
      <w:pPr>
        <w:spacing w:after="140" w:before="0" w:line="360"/>
        <w:jc w:val="both"/>
      </w:pPr>
      <w:r>
        <w:rPr>
          <w:rFonts w:ascii="Times New Roman" w:cs="Times New Roman" w:eastAsia="Times New Roman" w:hAnsi="Times New Roman"/>
          <w:color w:val="000000"/>
          <w:sz w:val="24"/>
          <w:szCs w:val="24"/>
        </w:rPr>
        <w:t xml:space="preserve">Two Earthdata session types are therefore constructed. For ASF-hosted assets the module uses the mission-provided asf_search client, whose authentication handling is purpose-built for that archive’s redirect behaviour. For other Earthdata-hosted assets the module uses a custom HTTP session subclass implementing NASA’s documented redirect-authentication pattern: the Authorization header is preserved across the redirect to the Earthdata Login OAuth host, and stripped when the chain redirects onward to a third-party host, so that credentials are neither lost mid-chain nor disclosed to an unintended party.</w:t>
      </w:r>
    </w:p>
    <w:p>
      <w:pPr>
        <w:spacing w:after="140" w:before="0" w:line="360"/>
        <w:jc w:val="both"/>
      </w:pPr>
      <w:r>
        <w:rPr>
          <w:rFonts w:ascii="Times New Roman" w:cs="Times New Roman" w:eastAsia="Times New Roman" w:hAnsi="Times New Roman"/>
          <w:color w:val="000000"/>
          <w:sz w:val="24"/>
          <w:szCs w:val="24"/>
        </w:rPr>
        <w:t xml:space="preserve">Failure safety is implemented through atomic completion. Each transfer is written to a temporary partial file adjacent to its destination and renamed to the destination name only after the transfer completes without exception; any exception, including keyboard interruption, removes the partial file before propagating. Because the destination name comes into existence only on success, the module’s skip-if-exists check is a sound completeness test rather than a heuristic. The practical consequence is that a user may interrupt a multi-hundred-gigabyte retrieval at any point and re-execute with confidence that completed files are skipped and interrupted files are re-fetched in full.</w:t>
      </w:r>
    </w:p>
    <w:p>
      <w:pPr>
        <w:spacing w:after="140" w:before="0" w:line="360"/>
        <w:jc w:val="both"/>
      </w:pPr>
      <w:r>
        <w:rPr>
          <w:rFonts w:ascii="Times New Roman" w:cs="Times New Roman" w:eastAsia="Times New Roman" w:hAnsi="Times New Roman"/>
          <w:color w:val="000000"/>
          <w:sz w:val="24"/>
          <w:szCs w:val="24"/>
        </w:rPr>
        <w:t xml:space="preserve">A review stage precedes retrieval. It partitions the retained set by source, reports the aggregate archival volume of the link-carrying subset, and requires the user to set an explicit confirmation flag before either retrieval function will execute. Given that a single unreviewed execution over the demonstration AOI would initiate a 353 GB transfer, of which 269 GB is eleven NISAR Level-1 granules, this gate is not a formality. Retrieval is further partitioned into per-mission cells so that expensive product families can be omitted without affecting the rest.</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3.7. Module 4 — Empirical revisit-pattern forecasting</w:t>
      </w:r>
    </w:p>
    <w:p>
      <w:pPr>
        <w:spacing w:after="140" w:before="0" w:line="360"/>
        <w:jc w:val="both"/>
      </w:pPr>
      <w:r>
        <w:rPr>
          <w:rFonts w:ascii="Times New Roman" w:cs="Times New Roman" w:eastAsia="Times New Roman" w:hAnsi="Times New Roman"/>
          <w:color w:val="000000"/>
          <w:sz w:val="24"/>
          <w:szCs w:val="24"/>
        </w:rPr>
        <w:t xml:space="preserve">The fourth module addresses the forecasting problem by inference from the archive record rather than by assumption.</w:t>
      </w:r>
    </w:p>
    <w:p>
      <w:pPr>
        <w:spacing w:after="140" w:before="0" w:line="360"/>
        <w:jc w:val="both"/>
      </w:pPr>
      <w:r>
        <w:rPr>
          <w:rFonts w:ascii="Times New Roman" w:cs="Times New Roman" w:eastAsia="Times New Roman" w:hAnsi="Times New Roman"/>
          <w:color w:val="000000"/>
          <w:sz w:val="24"/>
          <w:szCs w:val="24"/>
        </w:rPr>
        <w:t xml:space="preserve">The module first assembles the acquisition history of the AOI over a configurable lookback window, defaulting to 60 days, drawing on the same federated sources as Module 2 but recording only platform identity, granule identifier, and acquisition timestamp. Platform identity requires per-source normalisation: Earth Engine exposes it directly for Sentinel-2 and Landsat, MODIS collections require it to be assigned by collection, and for ASF-hosted SAR products it is parsed from the granule identifier.</w:t>
      </w:r>
    </w:p>
    <w:p>
      <w:pPr>
        <w:spacing w:after="140" w:before="0" w:line="360"/>
        <w:jc w:val="both"/>
      </w:pPr>
      <w:r>
        <w:rPr>
          <w:rFonts w:ascii="Times New Roman" w:cs="Times New Roman" w:eastAsia="Times New Roman" w:hAnsi="Times New Roman"/>
          <w:color w:val="000000"/>
          <w:sz w:val="24"/>
          <w:szCs w:val="24"/>
        </w:rPr>
        <w:t xml:space="preserve">For each platform, the module then computes the ordered sequence of inter-acquisition gaps in whole days and searches for the smallest period P such that the final P gaps agree, within a one-day tolerance, with the P gaps immediately preceding them. Formally, given the gap sequence g₁, g₂, …, gₙ, the detected period is the smallest P ≤ min(P_max, ⌊n/2⌋) satisfying |g_{n-P+i} − g_{n-2P+i}| ≤ 1 for all i ∈ {1, …, P}. The default maximum period is four. Where such a period exists, the final P gaps are adopted as the repeating pattern and applied cyclically from the most recent observation to generate predictions across the forecast horizon. Where no such period exists — which occurs when the record is too sparse for a pattern to be confirmed — the module falls back to the mission’s published nominal repeat cycle.</w:t>
      </w:r>
    </w:p>
    <w:p>
      <w:pPr>
        <w:spacing w:after="140" w:before="0" w:line="360"/>
        <w:jc w:val="both"/>
      </w:pPr>
      <w:r>
        <w:rPr>
          <w:rFonts w:ascii="Times New Roman" w:cs="Times New Roman" w:eastAsia="Times New Roman" w:hAnsi="Times New Roman"/>
          <w:color w:val="000000"/>
          <w:sz w:val="24"/>
          <w:szCs w:val="24"/>
        </w:rPr>
        <w:t xml:space="preserve">Two properties of this design merit emphasis. First, the one-day tolerance is essential rather than cosmetic: acquisition timestamps carry a sub-daily component, and a strict integer comparison would reject genuine patterns whose gaps straddle a day boundary. Second, and more importantly, the fallback is recorded explicitly in a basis field emitted alongside every prediction, stating whether the prediction derives from a detected empirical pattern — and if so, which pattern and from how many observations — or from a nominal cycle that the record was insufficient to confirm. A user reading the output can therefore distinguish a well-supported prediction from a default assumption without inspecting the code. We regard this as a minimum standard for any forecasting tool intended to inform resource commitments, and note that it is not universal practice.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3.8. Module 5 — Physics-based orbital forecasting</w:t>
      </w:r>
    </w:p>
    <w:p>
      <w:pPr>
        <w:spacing w:after="140" w:before="0" w:line="360"/>
        <w:jc w:val="both"/>
      </w:pPr>
      <w:r>
        <w:rPr>
          <w:rFonts w:ascii="Times New Roman" w:cs="Times New Roman" w:eastAsia="Times New Roman" w:hAnsi="Times New Roman"/>
          <w:color w:val="000000"/>
          <w:sz w:val="24"/>
          <w:szCs w:val="24"/>
        </w:rPr>
        <w:t xml:space="preserve">The fifth module provides a methodologically independent second opinion. It shares with Module 4 neither a data source, nor a software dependency, nor an assumption; it does not require an Earth Engine session; and it can be executed on a machine with no archive credentials of any kind.</w:t>
      </w:r>
    </w:p>
    <w:p>
      <w:pPr>
        <w:spacing w:after="140" w:before="0" w:line="360"/>
        <w:jc w:val="both"/>
      </w:pPr>
      <w:r>
        <w:rPr>
          <w:rFonts w:ascii="Times New Roman" w:cs="Times New Roman" w:eastAsia="Times New Roman" w:hAnsi="Times New Roman"/>
          <w:color w:val="000000"/>
          <w:sz w:val="24"/>
          <w:szCs w:val="24"/>
        </w:rPr>
        <w:t xml:space="preserve">The module retrieves current two-line element sets for each tracked satellite from the CelesTrak general perturbations catalogue and propagates them using an SGP4 implementation. It computes the geodetic sub-satellite point at 30-second intervals across a 30-day horizon, evaluates the great-circle distance from each sub-satellite point to the AOI centroid, and identifies local minima of that distance series that fall below the satellite’s nominal swath half-width. Each such minimum is reported as a predicted overpass together with its closest-approach distance, which functions as a confidence proxy: a pass whose closest approach is well inside the half-width places the AOI near swath centre, whereas a pass approaching the half-width places it at the swath edge where geometric distortion is greatest and coverage least certain.</w:t>
      </w:r>
    </w:p>
    <w:p>
      <w:pPr>
        <w:spacing w:after="140" w:before="0" w:line="360"/>
        <w:jc w:val="both"/>
      </w:pPr>
      <w:r>
        <w:rPr>
          <w:rFonts w:ascii="Times New Roman" w:cs="Times New Roman" w:eastAsia="Times New Roman" w:hAnsi="Times New Roman"/>
          <w:color w:val="000000"/>
          <w:sz w:val="24"/>
          <w:szCs w:val="24"/>
        </w:rPr>
        <w:t xml:space="preserve">The module additionally renders a live map showing each satellite’s current sub-satellite position and its ground track from twenty minutes before to one hundred minutes after the moment of execution, with tracks segmented at the antimeridian to prevent the spurious horizontal lines that otherwise result from naive polyline rendering across the ±180° discontinuity.</w:t>
      </w:r>
    </w:p>
    <w:p>
      <w:pPr>
        <w:spacing w:after="140" w:before="0" w:line="360"/>
        <w:jc w:val="both"/>
      </w:pPr>
      <w:r>
        <w:rPr>
          <w:rFonts w:ascii="Times New Roman" w:cs="Times New Roman" w:eastAsia="Times New Roman" w:hAnsi="Times New Roman"/>
          <w:color w:val="000000"/>
          <w:sz w:val="24"/>
          <w:szCs w:val="24"/>
        </w:rPr>
        <w:t xml:space="preserve">Section 5.3 demonstrates that the comparison between Modules 4 and 5 is scientifically informative in its own right, and isolates a specific deficiency in the geometric criterion that neither module could reveal alone.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3.9. Module 6 — Reproducibility and archival</w:t>
      </w:r>
    </w:p>
    <w:p>
      <w:pPr>
        <w:spacing w:after="140" w:before="0" w:line="360"/>
        <w:jc w:val="both"/>
      </w:pPr>
      <w:r>
        <w:rPr>
          <w:rFonts w:ascii="Times New Roman" w:cs="Times New Roman" w:eastAsia="Times New Roman" w:hAnsi="Times New Roman"/>
          <w:color w:val="000000"/>
          <w:sz w:val="24"/>
          <w:szCs w:val="24"/>
        </w:rPr>
        <w:t xml:space="preserve">The sixth module publishes the working directory to a version-controlled repository, and is designed around the observation that EO working directories are pathological for version control: they mix small, highly valuable, text-serialisable artefacts with very large binary files that both exceed hosting limits and have no business in a repository.</w:t>
      </w:r>
    </w:p>
    <w:p>
      <w:pPr>
        <w:spacing w:after="140" w:before="0" w:line="360"/>
        <w:jc w:val="both"/>
      </w:pPr>
      <w:r>
        <w:rPr>
          <w:rFonts w:ascii="Times New Roman" w:cs="Times New Roman" w:eastAsia="Times New Roman" w:hAnsi="Times New Roman"/>
          <w:color w:val="000000"/>
          <w:sz w:val="24"/>
          <w:szCs w:val="24"/>
        </w:rPr>
        <w:t xml:space="preserve">The module resolves this by generating a manifest enumerating every retrieved file by relative path and size, committing the manifest, and excluding the data directory from version control entirely. The repository thus contains a complete and durable record of which granules were retrieved, at what size, without containing any of the data. A third party can reconstruct the retrieval exactly by re-executing Modules 1–3 against the committed configuration and verifying against the manifest.</w:t>
      </w:r>
    </w:p>
    <w:p>
      <w:pPr>
        <w:spacing w:after="140" w:before="0" w:line="360"/>
        <w:jc w:val="both"/>
      </w:pPr>
      <w:r>
        <w:rPr>
          <w:rFonts w:ascii="Times New Roman" w:cs="Times New Roman" w:eastAsia="Times New Roman" w:hAnsi="Times New Roman"/>
          <w:color w:val="000000"/>
          <w:sz w:val="24"/>
          <w:szCs w:val="24"/>
        </w:rPr>
        <w:t xml:space="preserve">The module is idempotent throughout: it initialises the local repository only if absent, creates the remote repository through the hosting provider’s REST API only if it does not exist, and commits only when the working tree has actually changed. Authentication is by personal access token, read from the environment where present and otherwise prompted for with concealed input. The token is passed as an argument to exactly one subprocess invocation and is never written to the repository configuration; the persistent remote is registered token-free. All subprocess output is passed through a redaction filter before it can surface in an exception message or a saved cell output, closing the most common route by which tokens are inadvertently published.</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4. Implementation and Software Architecture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4.1. Implementation and dependencies</w:t>
      </w:r>
    </w:p>
    <w:p>
      <w:pPr>
        <w:spacing w:after="140" w:before="0" w:line="360"/>
        <w:jc w:val="both"/>
      </w:pPr>
      <w:r>
        <w:rPr>
          <w:rFonts w:ascii="Times New Roman" w:cs="Times New Roman" w:eastAsia="Times New Roman" w:hAnsi="Times New Roman"/>
          <w:color w:val="000000"/>
          <w:sz w:val="24"/>
          <w:szCs w:val="24"/>
        </w:rPr>
        <w:t xml:space="preserve">The Toolkit is implemented in Python 3.11 and distributed as a set of executable notebooks together with a supporting module. Table 3 records the software metadata in the form required by software-focused journals. The dependency set is deliberately conservative and comprises only well-maintained, widely adopted libraries: the Earth Engine Python API and geemap for catalogue access and interactive cartography; pandas and NumPy for tabular and array operations; requests for HTTP; asf_search for ASF-authenticated transport; simplekml for KML and KMZ serialisation; skyfield for orbit propagation; and folium for the live tracking map. No component requires compilation, and the framework has no operating-system-specific dependencies.</w:t>
      </w:r>
    </w:p>
    <w:tbl>
      <w:tblPr>
        <w:tblW w:type="dxa" w:w="7800"/>
        <w:tblBorders>
          <w:top w:val="single" w:color="9AA3AB" w:sz="3"/>
          <w:left w:val="none" w:color="FFFFFF" w:sz="0"/>
          <w:bottom w:val="single" w:color="9AA3AB" w:sz="3"/>
          <w:right w:val="none" w:color="FFFFFF" w:sz="0"/>
          <w:insideH w:val="single" w:color="CFD5DA" w:sz="1"/>
          <w:insideV w:val="none" w:color="FFFFFF" w:sz="0"/>
        </w:tblBorders>
      </w:tblPr>
      <w:tblGrid>
        <w:gridCol w:w="2600"/>
        <w:gridCol w:w="5200"/>
      </w:tblGrid>
      <w:tr>
        <w:trPr>
          <w:tblHeader/>
        </w:trPr>
        <w:tc>
          <w:tcPr>
            <w:tcW w:type="dxa" w:w="26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Item</w:t>
            </w:r>
          </w:p>
        </w:tc>
        <w:tc>
          <w:tcPr>
            <w:tcW w:type="dxa" w:w="52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Value</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Software name</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Satellite Data Search and Overpass Forecast Toolkit</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Current version</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1.0.0</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Permanent link to repository</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[to be completed]</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Legal code licence</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[e.g. MIT / BSD-3-Clause / Apache-2.0]</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Code versioning system</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git</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Software languages and tools</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Python 3.11; Jupyter; Google Earth Engine Python API; geemap; pandas; NumPy; requests; asf_search; simplekml; skyfield; folium</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Compilation requirements</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None. Requires a Google Cloud project with the Earth Engine API enabled, and a NASA Earthdata Login for archive-hosted retrieval.</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Operating systems</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Platform independent (Windows, macOS, Linux)</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Documentation</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In-notebook narrative documentation; repository README</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Support email</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surajspce@gmail.com</w:t>
            </w:r>
          </w:p>
        </w:tc>
      </w:tr>
      <w:tr>
        <w:tc>
          <w:tcPr>
            <w:tcW w:type="dxa" w:w="2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Supported product streams</w:t>
            </w:r>
          </w:p>
        </w:tc>
        <w:tc>
          <w:tcPr>
            <w:tcW w:type="dxa" w:w="52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16, across Sentinel-1, Sentinel-2, Landsat 8/9, NISAR, MODIS Terra/Aqua, Sentinel-6, and HLS</w:t>
            </w:r>
          </w:p>
        </w:tc>
      </w:tr>
    </w:tbl>
    <w:p>
      <w:pPr>
        <w:spacing w:after="260" w:before="100" w:line="240"/>
        <w:jc w:val="left"/>
      </w:pPr>
      <w:r>
        <w:rPr>
          <w:rFonts w:ascii="Times New Roman" w:cs="Times New Roman" w:eastAsia="Times New Roman" w:hAnsi="Times New Roman"/>
          <w:color w:val="2B2B2B"/>
          <w:sz w:val="19"/>
          <w:szCs w:val="19"/>
        </w:rPr>
        <w:t xml:space="preserve">Table 3. Software metadata.</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4.2. Extensibility</w:t>
      </w:r>
    </w:p>
    <w:p>
      <w:pPr>
        <w:spacing w:after="140" w:before="0" w:line="360"/>
        <w:jc w:val="both"/>
      </w:pPr>
      <w:r>
        <w:rPr>
          <w:rFonts w:ascii="Times New Roman" w:cs="Times New Roman" w:eastAsia="Times New Roman" w:hAnsi="Times New Roman"/>
          <w:color w:val="000000"/>
          <w:sz w:val="24"/>
          <w:szCs w:val="24"/>
        </w:rPr>
        <w:t xml:space="preserve">The extensibility claim can be stated precisely. Adding a mission served by an archive already supported requires exactly two changes: the addition of one record to the appropriate registry dictionary, and the inclusion of the resulting data frame in the concatenation that forms the combined result. No modification to the search engines, the harmonisation logic, the filtering logic, the retrieval routing, or the cartographic rendering is required, because none of these contains product-specific logic.</w:t>
      </w:r>
    </w:p>
    <w:p>
      <w:pPr>
        <w:spacing w:after="140" w:before="0" w:line="360"/>
        <w:jc w:val="both"/>
      </w:pPr>
      <w:r>
        <w:rPr>
          <w:rFonts w:ascii="Times New Roman" w:cs="Times New Roman" w:eastAsia="Times New Roman" w:hAnsi="Times New Roman"/>
          <w:color w:val="000000"/>
          <w:sz w:val="24"/>
          <w:szCs w:val="24"/>
        </w:rPr>
        <w:t xml:space="preserve">A concrete and currently pertinent illustration is Sentinel-1D, which became available to users in April 2026 and whose products are now served by ASF. Because the Sentinel-1 registry entries enumerate collection short names explicitly, incorporating Sentinel-1D requires appending its short names to the existing entries and its nominal cycle to the nominal-cycle table — a change of a few lines that touches no algorithm. The framework’s regular expression for Sentinel-1 identifiers already matches the D-series naming convention without modification.</w:t>
      </w:r>
    </w:p>
    <w:p>
      <w:pPr>
        <w:spacing w:after="140" w:before="0" w:line="360"/>
        <w:jc w:val="both"/>
      </w:pPr>
      <w:r>
        <w:rPr>
          <w:rFonts w:ascii="Times New Roman" w:cs="Times New Roman" w:eastAsia="Times New Roman" w:hAnsi="Times New Roman"/>
          <w:color w:val="000000"/>
          <w:sz w:val="24"/>
          <w:szCs w:val="24"/>
        </w:rPr>
        <w:t xml:space="preserve">Adding a mission served by an archive not currently supported requires implementing one additional search engine conforming to the same contract: accept a registry dictionary, an AOI, and a temporal range; return a data frame in the harmonised schema; and populate the footprint side table. The remainder of the framework is agnostic to how many such engines exist.</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4.3. Computational considerations</w:t>
      </w:r>
    </w:p>
    <w:p>
      <w:pPr>
        <w:spacing w:after="140" w:before="0" w:line="360"/>
        <w:jc w:val="both"/>
      </w:pPr>
      <w:r>
        <w:rPr>
          <w:rFonts w:ascii="Times New Roman" w:cs="Times New Roman" w:eastAsia="Times New Roman" w:hAnsi="Times New Roman"/>
          <w:color w:val="000000"/>
          <w:sz w:val="24"/>
          <w:szCs w:val="24"/>
        </w:rPr>
        <w:t xml:space="preserve">The dominant cost in the discovery stage is network round trips, not computation. The Earth Engine engine is structured to materialise each collection’s entire filtered result in a single round trip by mapping property extraction server-side, rather than iterating client-side over images — an anti-pattern that converts a one-second query into a multi-minute one. AOI coverage fractions are likewise computed server-side within the same operation. The CMR engine issues one paginated request per product entry and reconstructs footprints locally; coverage fractions for CMR granules must be computed client-side, one geometry evaluation per granule, which is the principal cost in that path and the main opportunity for future optimisation through batching.</w:t>
      </w:r>
    </w:p>
    <w:p>
      <w:pPr>
        <w:spacing w:after="140" w:before="0" w:line="360"/>
        <w:jc w:val="both"/>
      </w:pPr>
      <w:r>
        <w:rPr>
          <w:rFonts w:ascii="Times New Roman" w:cs="Times New Roman" w:eastAsia="Times New Roman" w:hAnsi="Times New Roman"/>
          <w:color w:val="000000"/>
          <w:sz w:val="24"/>
          <w:szCs w:val="24"/>
        </w:rPr>
        <w:t xml:space="preserve">The orbital forecaster is vectorised throughout. Sub-satellite positions for the full 30-day horizon at 30-second sampling — 86,400 epochs per satellite — are computed in a single array operation, and the distance series and its local minima are evaluated with array primitives rather than loops. The complete seven-satellite forecast executes in seconds on a laptop.</w:t>
      </w:r>
    </w:p>
    <w:p>
      <w:pPr>
        <w:spacing w:after="140" w:before="0" w:line="360"/>
        <w:jc w:val="both"/>
      </w:pPr>
      <w:r>
        <w:rPr>
          <w:rFonts w:ascii="Times New Roman" w:cs="Times New Roman" w:eastAsia="Times New Roman" w:hAnsi="Times New Roman"/>
          <w:color w:val="000000"/>
          <w:sz w:val="24"/>
          <w:szCs w:val="24"/>
        </w:rPr>
        <w:t xml:space="preserve">The retrieval stage is bandwidth-bound. Transfers are streamed in one-megabyte chunks with a bounded memory footprint independent of file size, which is a necessary property given individual granules of ~25 GB.</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4.4. Security model</w:t>
      </w:r>
    </w:p>
    <w:p>
      <w:pPr>
        <w:spacing w:after="140" w:before="0" w:line="360"/>
        <w:jc w:val="both"/>
      </w:pPr>
      <w:r>
        <w:rPr>
          <w:rFonts w:ascii="Times New Roman" w:cs="Times New Roman" w:eastAsia="Times New Roman" w:hAnsi="Times New Roman"/>
          <w:color w:val="000000"/>
          <w:sz w:val="24"/>
          <w:szCs w:val="24"/>
        </w:rPr>
        <w:t xml:space="preserve">Three distinct credentials are handled: a Google Cloud project association for Earth Engine, an Earthdata Login username and password, and a repository hosting personal access token. The framework’s security posture with respect to each is that the credential exists in process memory for the duration of a session and nowhere else.</w:t>
      </w:r>
    </w:p>
    <w:p>
      <w:pPr>
        <w:spacing w:after="140" w:before="0" w:line="360"/>
        <w:jc w:val="both"/>
      </w:pPr>
      <w:r>
        <w:rPr>
          <w:rFonts w:ascii="Times New Roman" w:cs="Times New Roman" w:eastAsia="Times New Roman" w:hAnsi="Times New Roman"/>
          <w:color w:val="000000"/>
          <w:sz w:val="24"/>
          <w:szCs w:val="24"/>
        </w:rPr>
        <w:t xml:space="preserve">Passwords and tokens are collected through concealed-input prompts rather than stored in configuration. The Earthdata session subclass implements the redirect-authentication pattern described in Section 3.6, which is the specific mechanism by which credentials would otherwise leak to third-party hosts during the OAuth chain. Repository tokens are passed as a single subprocess argument, never persisted to repository configuration, and redacted from all subprocess output before that output can reach an exception message or a saved notebook cell. This last measure addresses a failure mode that is both common and severe: a token surfaced in a git error message, captured in a saved notebook output, and then committed by the very module that produced it.</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5. Illustrative Application</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5.1. Study configuration</w:t>
      </w:r>
    </w:p>
    <w:p>
      <w:pPr>
        <w:spacing w:after="140" w:before="0" w:line="360"/>
        <w:jc w:val="both"/>
      </w:pPr>
      <w:r>
        <w:rPr>
          <w:rFonts w:ascii="Times New Roman" w:cs="Times New Roman" w:eastAsia="Times New Roman" w:hAnsi="Times New Roman"/>
          <w:color w:val="000000"/>
          <w:sz w:val="24"/>
          <w:szCs w:val="24"/>
        </w:rPr>
        <w:t xml:space="preserve">The framework was exercised over a 17.2 km² agricultural AOI in Oktibbeha County, Mississippi, USA, centred at 33.470° N, 88.779° W and measuring approximately 4.3 km by 4.0 km. The site is representative of the scale at which field-based agricultural and hydrological research is conducted and is far smaller than the native footprint of any of the searched products, making it a stringent test of the coverage-fraction and server-side clipping mechanisms. The discovery window spanned 1 June to 1 August 2026, a 61-day interval within the regional growing season. Retention criteria were a minimum AOI coverage of 50% and a maximum cloud fraction of 30%.</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5.2. Discovery and retrieval results</w:t>
      </w:r>
    </w:p>
    <w:p>
      <w:pPr>
        <w:spacing w:after="140" w:before="0" w:line="360"/>
        <w:jc w:val="both"/>
      </w:pPr>
      <w:r>
        <w:rPr>
          <w:rFonts w:ascii="Times New Roman" w:cs="Times New Roman" w:eastAsia="Times New Roman" w:hAnsi="Times New Roman"/>
          <w:color w:val="000000"/>
          <w:sz w:val="24"/>
          <w:szCs w:val="24"/>
        </w:rPr>
        <w:t xml:space="preserve">The federated search returned 184 retained granules across 16 product streams and six mission families. Table 4 summarises the retained set. Several features of this result illustrate the framework’s behaviour under realistic conditions.</w:t>
      </w:r>
    </w:p>
    <w:tbl>
      <w:tblPr>
        <w:tblW w:type="dxa" w:w="8100"/>
        <w:tblBorders>
          <w:top w:val="single" w:color="9AA3AB" w:sz="3"/>
          <w:left w:val="none" w:color="FFFFFF" w:sz="0"/>
          <w:bottom w:val="single" w:color="9AA3AB" w:sz="3"/>
          <w:right w:val="none" w:color="FFFFFF" w:sz="0"/>
          <w:insideH w:val="single" w:color="CFD5DA" w:sz="1"/>
          <w:insideV w:val="none" w:color="FFFFFF" w:sz="0"/>
        </w:tblBorders>
      </w:tblPr>
      <w:tblGrid>
        <w:gridCol w:w="3000"/>
        <w:gridCol w:w="1300"/>
        <w:gridCol w:w="900"/>
        <w:gridCol w:w="900"/>
        <w:gridCol w:w="900"/>
        <w:gridCol w:w="1100"/>
      </w:tblGrid>
      <w:tr>
        <w:trPr>
          <w:tblHeader/>
        </w:trPr>
        <w:tc>
          <w:tcPr>
            <w:tcW w:type="dxa" w:w="30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Product stream</w:t>
            </w:r>
          </w:p>
        </w:tc>
        <w:tc>
          <w:tcPr>
            <w:tcW w:type="dxa" w:w="13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Archive</w:t>
            </w:r>
          </w:p>
        </w:tc>
        <w:tc>
          <w:tcPr>
            <w:tcW w:type="dxa" w:w="9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n</w:t>
            </w:r>
          </w:p>
        </w:tc>
        <w:tc>
          <w:tcPr>
            <w:tcW w:type="dxa" w:w="9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GSD (m)</w:t>
            </w:r>
          </w:p>
        </w:tc>
        <w:tc>
          <w:tcPr>
            <w:tcW w:type="dxa" w:w="9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Cloud (%)</w:t>
            </w:r>
          </w:p>
        </w:tc>
        <w:tc>
          <w:tcPr>
            <w:tcW w:type="dxa" w:w="11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Volume (GB)</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 L2A (Surface Reflectance)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15.3</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 L1C (Top-of-Atmosphere)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18.9</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 HLS S30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LP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6.0</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&lt;0.1</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Sentinel-1 GRD High-Res (Dual-pol)</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1.9</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Sentinel-1 SLC</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8.9</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NISAR L1 RSLC</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268.7</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NISAR L2 GCOV</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73.0</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NISAR L3 Soil Moisture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1000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0.8</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8 C2 L2 (Surface Reflectance)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18.4</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9 C2 L2 (Surface Reflectance)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11.7</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HLS L30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LP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9.0</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&lt;0.1</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Terra Vegetation (NDVI/EVI)</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250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Aqua Vegetation (NDVI/EVI)</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250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Terra Snow Cover</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500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Aqua Snow Cover</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Earth Engine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61</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500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 (clipped)</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Sentinel-1 SP-GRD / GRD-M / OCN</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ASF 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10–40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Sentinel-6 Low-Res OST (NTC)</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PO.DAAC</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0</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r>
      <w:tr>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Total retained</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184</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9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1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353.3</w:t>
            </w:r>
          </w:p>
        </w:tc>
      </w:tr>
    </w:tbl>
    <w:p>
      <w:pPr>
        <w:spacing w:after="260" w:before="100" w:line="240"/>
        <w:jc w:val="left"/>
      </w:pPr>
      <w:r>
        <w:rPr>
          <w:rFonts w:ascii="Times New Roman" w:cs="Times New Roman" w:eastAsia="Times New Roman" w:hAnsi="Times New Roman"/>
          <w:color w:val="2B2B2B"/>
          <w:sz w:val="19"/>
          <w:szCs w:val="19"/>
        </w:rPr>
        <w:t xml:space="preserve">Table 4. Retained granules by product stream for the demonstration AOI, 1 June – 1 August 2026. Volume is the archive-reported granule size; Earth Engine-hosted products report no archival volume because they are delivered as server-side AOI subsets. Cloud fraction is the mean over retained granules and is undefined for radar and altimetric products.</w:t>
      </w:r>
    </w:p>
    <w:p>
      <w:pPr>
        <w:spacing w:after="140" w:before="0" w:line="360"/>
        <w:jc w:val="both"/>
      </w:pPr>
      <w:r>
        <w:rPr>
          <w:rFonts w:ascii="Times New Roman" w:cs="Times New Roman" w:eastAsia="Times New Roman" w:hAnsi="Times New Roman"/>
          <w:color w:val="000000"/>
          <w:sz w:val="24"/>
          <w:szCs w:val="24"/>
        </w:rPr>
        <w:t xml:space="preserve">First, the aggregate archival volume of the link-carrying subset is 353 GB, of which 269 GB — 76% — is accounted for by eleven NISAR Level-1 range-Doppler single-look complex granules averaging 24.4 GB each. A single such granule exceeds the total volume of every optical granule in the retained set combined. This is precisely the asymmetry that motivates the mandatory review gate described in Section 3.6, and it is not apparent from any product description; it emerges only from an actual search.</w:t>
      </w:r>
    </w:p>
    <w:p>
      <w:pPr>
        <w:spacing w:after="140" w:before="0" w:line="360"/>
        <w:jc w:val="both"/>
      </w:pPr>
      <w:r>
        <w:rPr>
          <w:rFonts w:ascii="Times New Roman" w:cs="Times New Roman" w:eastAsia="Times New Roman" w:hAnsi="Times New Roman"/>
          <w:color w:val="000000"/>
          <w:sz w:val="24"/>
          <w:szCs w:val="24"/>
        </w:rPr>
        <w:t xml:space="preserve">Second, all four MODIS streams returned coverage fractions of exactly 100%. This is correct but uninformative: MODIS Level-3 products are global composites, so the AOI is trivially fully covered, and the coverage criterion carries no discriminatory power for these products. The framework reports the value faithfully and documents the interpretation, rather than special-casing it — a decision consistent with the principle that harmonisation should not conceal genuine differences in product semantics.</w:t>
      </w:r>
    </w:p>
    <w:p>
      <w:pPr>
        <w:spacing w:after="140" w:before="0" w:line="360"/>
        <w:jc w:val="both"/>
      </w:pPr>
      <w:r>
        <w:rPr>
          <w:rFonts w:ascii="Times New Roman" w:cs="Times New Roman" w:eastAsia="Times New Roman" w:hAnsi="Times New Roman"/>
          <w:color w:val="000000"/>
          <w:sz w:val="24"/>
          <w:szCs w:val="24"/>
        </w:rPr>
        <w:t xml:space="preserve">Third, the Sentinel-2 HLS S30 stream returned a mean coverage of 93.3%, the only sub-unity value in the retained set, reflecting the AOI’s position relative to the boundary of MGRS tile 16SCC. Fourth, the five Sentinel-1 registry entries returned granules for only two — high-resolution dual-polarisation ground range detected, and single-look complex. Single-polarisation and medium-resolution entries returned nothing, as expected: ESA’s observation scenario allocates dual-polarisation interferometric wide-swath acquisition over land, and the ocean Level-2 product is generated only over water. A search returning zero granules for these entries is a correct report of mission acquisition policy, not a defect, and the framework documents this explicitly to forestall the natural misinterpretation.</w:t>
      </w:r>
    </w:p>
    <w:p>
      <w:pPr>
        <w:spacing w:after="140" w:before="0" w:line="360"/>
        <w:jc w:val="both"/>
      </w:pPr>
      <w:r>
        <w:rPr>
          <w:rFonts w:ascii="Times New Roman" w:cs="Times New Roman" w:eastAsia="Times New Roman" w:hAnsi="Times New Roman"/>
          <w:color w:val="000000"/>
          <w:sz w:val="24"/>
          <w:szCs w:val="24"/>
        </w:rPr>
        <w:t xml:space="preserve">Retrieval of the Earth Engine-hosted subset produced clipped multi-band GeoTIFFs. MODIS snow-cover subsets are approximately 2 kB each at 500 m over a 17 km² AOI; Sentinel-2 Level-2A subsets are 4–6 MB; the largest retrieved file is a 14.3 MB HLS L30 granule. The contrast with the 353 GB archive-hosted subset quantifies the value of server-side subsetting for site-scale work.</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5.3. Forecasting results and cross-method comparison</w:t>
      </w:r>
    </w:p>
    <w:p>
      <w:pPr>
        <w:spacing w:after="140" w:before="0" w:line="360"/>
        <w:jc w:val="both"/>
      </w:pPr>
      <w:r>
        <w:rPr>
          <w:rFonts w:ascii="Times New Roman" w:cs="Times New Roman" w:eastAsia="Times New Roman" w:hAnsi="Times New Roman"/>
          <w:color w:val="000000"/>
          <w:sz w:val="24"/>
          <w:szCs w:val="24"/>
        </w:rPr>
        <w:t xml:space="preserve">The empirical forecaster, executed on 24 August 2026 with a 60-day lookback and a 90-day horizon, produced 218 predicted overpasses across eight platforms. Table 5 reports the detected patterns.</w:t>
      </w:r>
    </w:p>
    <w:tbl>
      <w:tblPr>
        <w:tblW w:type="dxa" w:w="8800"/>
        <w:tblBorders>
          <w:top w:val="single" w:color="9AA3AB" w:sz="3"/>
          <w:left w:val="none" w:color="FFFFFF" w:sz="0"/>
          <w:bottom w:val="single" w:color="9AA3AB" w:sz="3"/>
          <w:right w:val="none" w:color="FFFFFF" w:sz="0"/>
          <w:insideH w:val="single" w:color="CFD5DA" w:sz="1"/>
          <w:insideV w:val="none" w:color="FFFFFF" w:sz="0"/>
        </w:tblBorders>
      </w:tblPr>
      <w:tblGrid>
        <w:gridCol w:w="1900"/>
        <w:gridCol w:w="1500"/>
        <w:gridCol w:w="1400"/>
        <w:gridCol w:w="1300"/>
        <w:gridCol w:w="1300"/>
        <w:gridCol w:w="1400"/>
      </w:tblGrid>
      <w:tr>
        <w:trPr>
          <w:tblHeader/>
        </w:trPr>
        <w:tc>
          <w:tcPr>
            <w:tcW w:type="dxa" w:w="19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Platform</w:t>
            </w:r>
          </w:p>
        </w:tc>
        <w:tc>
          <w:tcPr>
            <w:tcW w:type="dxa" w:w="15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Detected pattern (d)</w:t>
            </w:r>
          </w:p>
        </w:tc>
        <w:tc>
          <w:tcPr>
            <w:tcW w:type="dxa" w:w="14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Observations</w:t>
            </w:r>
          </w:p>
        </w:tc>
        <w:tc>
          <w:tcPr>
            <w:tcW w:type="dxa" w:w="13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Nominal cycle (d)</w:t>
            </w:r>
          </w:p>
        </w:tc>
        <w:tc>
          <w:tcPr>
            <w:tcW w:type="dxa" w:w="13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Predicted (90 d)</w:t>
            </w:r>
          </w:p>
        </w:tc>
        <w:tc>
          <w:tcPr>
            <w:tcW w:type="dxa" w:w="1400"/>
            <w:shd w:fill="EAEEF2" w:color="auto" w:val="clear"/>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Nominal implies</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Sentinel-2A</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[13, 6]</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Sentinel-2B</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 3]</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20</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Sentinel-2C</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 3]</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20</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Sentinel-2 constellation</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30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49</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27</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8</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9</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7</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Landsat constellation</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13</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16</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24</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10</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NISAR</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not confirmed (fallback)</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12</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8</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7</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Terra</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58</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91</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91</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MODIS Aqua</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[2]</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58</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1</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46</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val="false"/>
                <w:bCs w:val="false"/>
                <w:color w:val="000000"/>
                <w:sz w:val="18"/>
                <w:szCs w:val="18"/>
              </w:rPr>
              <w:t xml:space="preserve">91</w:t>
            </w:r>
          </w:p>
        </w:tc>
      </w:tr>
      <w:tr>
        <w:tc>
          <w:tcPr>
            <w:tcW w:type="dxa" w:w="1900"/>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All platforms</w:t>
            </w:r>
          </w:p>
        </w:tc>
        <w:tc>
          <w:tcPr>
            <w:tcW w:type="dxa" w:w="15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c>
          <w:tcPr>
            <w:tcW w:type="dxa" w:w="13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218</w:t>
            </w:r>
          </w:p>
        </w:tc>
        <w:tc>
          <w:tcPr>
            <w:tcW w:type="dxa" w:w="1400"/>
            <w:tcMar>
              <w:top w:type="dxa" w:w="60"/>
              <w:left w:type="dxa" w:w="90"/>
              <w:bottom w:type="dxa" w:w="60"/>
              <w:right w:type="dxa" w:w="90"/>
            </w:tcMar>
          </w:tcPr>
          <w:p>
            <w:pPr>
              <w:spacing w:after="0" w:line="220"/>
              <w:jc w:val="center"/>
            </w:pPr>
            <w:r>
              <w:rPr>
                <w:rFonts w:ascii="Times New Roman" w:cs="Times New Roman" w:eastAsia="Times New Roman" w:hAnsi="Times New Roman"/>
                <w:b/>
                <w:bCs/>
                <w:color w:val="000000"/>
                <w:sz w:val="18"/>
                <w:szCs w:val="18"/>
              </w:rPr>
              <w:t xml:space="preserve">—</w:t>
            </w:r>
          </w:p>
        </w:tc>
      </w:tr>
    </w:tbl>
    <w:p>
      <w:pPr>
        <w:spacing w:after="260" w:before="100" w:line="240"/>
        <w:jc w:val="left"/>
      </w:pPr>
      <w:r>
        <w:rPr>
          <w:rFonts w:ascii="Times New Roman" w:cs="Times New Roman" w:eastAsia="Times New Roman" w:hAnsi="Times New Roman"/>
          <w:color w:val="2B2B2B"/>
          <w:sz w:val="19"/>
          <w:szCs w:val="19"/>
        </w:rPr>
        <w:t xml:space="preserve">Table 5. Empirically detected acquisition patterns and resulting 90-day predicted overpass counts, by platform. The nominal-cycle column gives the mission’s published per-satellite repeat interval; the implied count is what a nominal-cycle assumption would predict over the same horizon.</w:t>
      </w:r>
    </w:p>
    <w:p>
      <w:pPr>
        <w:spacing w:after="140" w:before="0" w:line="360"/>
        <w:jc w:val="both"/>
      </w:pPr>
      <w:r>
        <w:rPr>
          <w:rFonts w:ascii="Times New Roman" w:cs="Times New Roman" w:eastAsia="Times New Roman" w:hAnsi="Times New Roman"/>
          <w:color w:val="000000"/>
          <w:sz w:val="24"/>
          <w:szCs w:val="24"/>
        </w:rPr>
        <w:t xml:space="preserve">The central result is the divergence between the empirically detected patterns and the nominal cycles. Sentinel-2B and Sentinel-2C both resolved to an alternating 6/3-day pattern, and Sentinel-2A to an alternating 13/6-day pattern, against a nominal per-satellite repeat of 10 days. Over the 90-day horizon this yields 49 Sentinel-2 constellation overpasses where the nominal assumption implies 27; the nominal figure therefore accounts for 55% of the available opportunities, and the empirical count exceeds it by 81%. Landsat 8 and Landsat 9 each resolved to a uniform 8-day pattern against a nominal 16-day cycle, raising the predicted constellation opportunity count from the 10 implied by the nominal cycle to 24, of which the nominal figure accounts for 42%. Figure 2a presents the comparison.</w:t>
      </w:r>
    </w:p>
    <w:p>
      <w:pPr>
        <w:spacing w:after="140" w:before="0" w:line="360"/>
        <w:jc w:val="both"/>
      </w:pPr>
      <w:r>
        <w:rPr>
          <w:rFonts w:ascii="Times New Roman" w:cs="Times New Roman" w:eastAsia="Times New Roman" w:hAnsi="Times New Roman"/>
          <w:color w:val="000000"/>
          <w:sz w:val="24"/>
          <w:szCs w:val="24"/>
        </w:rPr>
        <w:t xml:space="preserve">The physical explanation is orbital side-lap. At 33.5° N, adjacent Sentinel-2 and Landsat ground tracks overlap sufficiently that this AOI falls within the region imaged by two successive tracks, and is therefore acquired at two distinct points within each nominal repeat cycle rather than one. The alternating rather than uniform gap structure is the direct signature of this geometry, and it is exactly what a uniform nominal cycle cannot represent. For a field campaign planner, the operational consequence is substantial: a planning assumption based on published repeat cycles would forgo roughly half of the available coincident-acquisition opportunities at this site.</w:t>
      </w:r>
    </w:p>
    <w:p>
      <w:pPr>
        <w:spacing w:after="140" w:before="0" w:line="360"/>
        <w:jc w:val="both"/>
      </w:pPr>
      <w:r>
        <w:rPr>
          <w:rFonts w:ascii="Times New Roman" w:cs="Times New Roman" w:eastAsia="Times New Roman" w:hAnsi="Times New Roman"/>
          <w:color w:val="000000"/>
          <w:sz w:val="24"/>
          <w:szCs w:val="24"/>
        </w:rPr>
        <w:t xml:space="preserve">NISAR provides an instructive negative case. With only nine observations in the lookback window, no period satisfied the detection criterion, and the module fell back to the nominal 12-day cycle — reporting this explicitly in the basis field. This is the correct behaviour for a mission in its early operational phase, whose observation plan has not yet reached steady state, and it demonstrates that the module degrades transparently rather than fabricating a pattern from insufficient evidence.</w:t>
      </w:r>
    </w:p>
    <w:p>
      <w:pPr>
        <w:spacing w:after="140" w:before="0" w:line="360"/>
        <w:jc w:val="both"/>
      </w:pPr>
      <w:r>
        <w:rPr>
          <w:rFonts w:ascii="Times New Roman" w:cs="Times New Roman" w:eastAsia="Times New Roman" w:hAnsi="Times New Roman"/>
          <w:color w:val="000000"/>
          <w:sz w:val="24"/>
          <w:szCs w:val="24"/>
        </w:rPr>
        <w:t xml:space="preserve">MODIS provides a second cautionary case, in the opposite direction. Terra resolved to the expected uniform 1-day pattern, but Aqua resolved to a 2-day pattern, yielding 46 predictions against the 91 implied by a daily product. The Aqua record in the searched collection is intermittent over the lookback window, and the detector has correctly characterised the cadence of </w:t>
      </w:r>
      <w:r>
        <w:rPr>
          <w:rFonts w:ascii="Times New Roman" w:cs="Times New Roman" w:eastAsia="Times New Roman" w:hAnsi="Times New Roman"/>
          <w:i/>
          <w:iCs/>
          <w:color w:val="000000"/>
          <w:sz w:val="24"/>
          <w:szCs w:val="24"/>
        </w:rPr>
        <w:t xml:space="preserve">granule availability</w:t>
      </w:r>
      <w:r>
        <w:rPr>
          <w:rFonts w:ascii="Times New Roman" w:cs="Times New Roman" w:eastAsia="Times New Roman" w:hAnsi="Times New Roman"/>
          <w:color w:val="000000"/>
          <w:sz w:val="24"/>
          <w:szCs w:val="24"/>
        </w:rPr>
        <w:t xml:space="preserve"> rather than the cadence of </w:t>
      </w:r>
      <w:r>
        <w:rPr>
          <w:rFonts w:ascii="Times New Roman" w:cs="Times New Roman" w:eastAsia="Times New Roman" w:hAnsi="Times New Roman"/>
          <w:i/>
          <w:iCs/>
          <w:color w:val="000000"/>
          <w:sz w:val="24"/>
          <w:szCs w:val="24"/>
        </w:rPr>
        <w:t xml:space="preserve">acquisition</w:t>
      </w:r>
      <w:r>
        <w:rPr>
          <w:rFonts w:ascii="Times New Roman" w:cs="Times New Roman" w:eastAsia="Times New Roman" w:hAnsi="Times New Roman"/>
          <w:color w:val="000000"/>
          <w:sz w:val="24"/>
          <w:szCs w:val="24"/>
        </w:rPr>
        <w:t xml:space="preserve">. For a daily systematic product these are not the same thing, and the distinction matters wherever a product’s archive is incomplete: the empirical method describes what the archive delivers, which is the operationally relevant quantity for a planner but is not a statement about the satellite.</w:t>
      </w:r>
    </w:p>
    <w:p>
      <w:pPr>
        <w:spacing w:after="140" w:before="0" w:line="360"/>
        <w:jc w:val="both"/>
      </w:pPr>
      <w:r>
        <w:rPr>
          <w:rFonts w:ascii="Times New Roman" w:cs="Times New Roman" w:eastAsia="Times New Roman" w:hAnsi="Times New Roman"/>
          <w:color w:val="000000"/>
          <w:sz w:val="24"/>
          <w:szCs w:val="24"/>
        </w:rPr>
        <w:t xml:space="preserve">The physics-based forecaster, executed over a 30-day horizon, identified 48 geometric overpasses across seven satellites, with closest-approach distances ranging from 37.9 km to 142.8 km. Two findings emerge from the comparison with Module 4, and they point in opposite directions.</w:t>
      </w:r>
    </w:p>
    <w:p>
      <w:pPr>
        <w:spacing w:after="140" w:before="0" w:line="360"/>
        <w:jc w:val="both"/>
      </w:pPr>
      <w:r>
        <w:rPr>
          <w:rFonts w:ascii="Times New Roman" w:cs="Times New Roman" w:eastAsia="Times New Roman" w:hAnsi="Times New Roman"/>
          <w:color w:val="000000"/>
          <w:sz w:val="24"/>
          <w:szCs w:val="24"/>
        </w:rPr>
        <w:t xml:space="preserve">The first is a validation. Converting the predicted epochs to local solar time at the AOI longitude, the propagator recovers two tightly clustered crossing times per satellite: 10.8 h and 22.0 h for the Sentinel-2 satellites, 10.6 h and 21.8 h for Landsat 8 and 9, and 6.3 h and 17.7 h for the Sentinel-1 satellites. These are shown in Figure 2b, and correspond to the descending and ascending nodes of each mission’s sun-synchronous orbit, and they agree with the published mean local solar time at the descending node for each mission — approximately 10:30 for Sentinel-2, 10:00–10:15 for Landsat, and 18:00 for Sentinel-1. Because this agreement is obtained from current TLE sets propagated by an independent orbital model, with no reference to the archive record, it constitutes an end-to-end verification of the propagation chain.</w:t>
      </w:r>
    </w:p>
    <w:p>
      <w:pPr>
        <w:spacing w:after="140" w:before="0" w:line="360"/>
        <w:jc w:val="both"/>
      </w:pPr>
      <w:r>
        <w:rPr>
          <w:rFonts w:ascii="Times New Roman" w:cs="Times New Roman" w:eastAsia="Times New Roman" w:hAnsi="Times New Roman"/>
          <w:color w:val="000000"/>
          <w:sz w:val="24"/>
          <w:szCs w:val="24"/>
        </w:rPr>
        <w:t xml:space="preserve">The second is a diagnosis. Of the 48 geometric passes, only 29 occur in daylight, and only 14 of those involve an optical platform. Comparing each daylight optical pass to the nearest empirical prediction for the same platform, 7 of 14 agree within 24 hours and only 2 within 2 hours. The disagreement is systematic and its causes are identifiable. The geometric criterion admits night-side passes at which an optical instrument acquires nothing, over-predicting optical opportunity by approximately a factor of two; it admits passes at closest approaches near the swath half-width, at which coverage of a specific small AOI is marginal; and it cannot represent tasking decisions at all. The empirical forecaster, conversely, propagates gaps in whole days and therefore carries an intrinsic sub-daily quantisation error, which accounts for the cluster of near-24-hour offsets.</w:t>
      </w:r>
    </w:p>
    <w:p>
      <w:pPr>
        <w:spacing w:after="80" w:before="200"/>
        <w:jc w:val="center"/>
      </w:pPr>
      <w:r>
        <w:drawing>
          <wp:inline distT="0" distB="0" distL="0" distR="0">
            <wp:extent cx="585216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072384"/>
                    </a:xfrm>
                    <a:prstGeom prst="rect">
                      <a:avLst/>
                    </a:prstGeom>
                  </pic:spPr>
                </pic:pic>
              </a:graphicData>
            </a:graphic>
          </wp:inline>
        </w:drawing>
      </w:r>
    </w:p>
    <w:p>
      <w:pPr>
        <w:spacing w:after="260" w:before="100" w:line="240"/>
        <w:jc w:val="left"/>
      </w:pPr>
      <w:r>
        <w:rPr>
          <w:rFonts w:ascii="Times New Roman" w:cs="Times New Roman" w:eastAsia="Times New Roman" w:hAnsi="Times New Roman"/>
          <w:color w:val="2B2B2B"/>
          <w:sz w:val="19"/>
          <w:szCs w:val="19"/>
        </w:rPr>
        <w:t xml:space="preserve">Figure 2. (a) Predicted overpass counts over a 90-day horizon from the empirically detected acquisition pattern (blue) against the count implied by each mission’s published nominal repeat cycle (orange). NISAR is the single platform for which no pattern was confirmed and the nominal cycle was applied as a labelled fallback. (b) Local solar time of every geometric overpass identified by the independent orbital forecaster over a 30-day horizon. Each satellite resolves into two tight clusters corresponding to the descending and ascending nodes of its sun-synchronous orbit, in agreement with each mission’s published mean local solar time; passes falling outside the shaded daylight interval yield no optical acquisition and account for the systematic over-prediction discussed in the text.</w:t>
      </w:r>
    </w:p>
    <w:p>
      <w:pPr>
        <w:spacing w:after="140" w:before="0" w:line="360"/>
        <w:jc w:val="both"/>
      </w:pPr>
      <w:r>
        <w:rPr>
          <w:rFonts w:ascii="Times New Roman" w:cs="Times New Roman" w:eastAsia="Times New Roman" w:hAnsi="Times New Roman"/>
          <w:color w:val="000000"/>
          <w:sz w:val="24"/>
          <w:szCs w:val="24"/>
        </w:rPr>
        <w:t xml:space="preserve">This comparison is the strongest argument for retaining both modules. Either alone would present a coherent but incomplete picture; together they identify a specific, correctable deficiency — the absence of a solar-illumination filter in the geometric criterion — that is invisible to each in isolation. Section 8 records the corresponding remedy.</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6. Capabilities and Application Domains</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6.1. Capability summary</w:t>
      </w:r>
    </w:p>
    <w:p>
      <w:pPr>
        <w:spacing w:after="140" w:before="0" w:line="360"/>
        <w:jc w:val="both"/>
      </w:pPr>
      <w:r>
        <w:rPr>
          <w:rFonts w:ascii="Times New Roman" w:cs="Times New Roman" w:eastAsia="Times New Roman" w:hAnsi="Times New Roman"/>
          <w:color w:val="000000"/>
          <w:sz w:val="24"/>
          <w:szCs w:val="24"/>
        </w:rPr>
        <w:t xml:space="preserve">Table 6 enumerates the framework’s functional capabilities, organised by pipeline stage, with the implementing mechanism identified for each.</w:t>
      </w:r>
    </w:p>
    <w:tbl>
      <w:tblPr>
        <w:tblW w:type="dxa" w:w="8400"/>
        <w:tblBorders>
          <w:top w:val="single" w:color="9AA3AB" w:sz="3"/>
          <w:left w:val="none" w:color="FFFFFF" w:sz="0"/>
          <w:bottom w:val="single" w:color="9AA3AB" w:sz="3"/>
          <w:right w:val="none" w:color="FFFFFF" w:sz="0"/>
          <w:insideH w:val="single" w:color="CFD5DA" w:sz="1"/>
          <w:insideV w:val="none" w:color="FFFFFF" w:sz="0"/>
        </w:tblBorders>
      </w:tblPr>
      <w:tblGrid>
        <w:gridCol w:w="1800"/>
        <w:gridCol w:w="3600"/>
        <w:gridCol w:w="3000"/>
      </w:tblGrid>
      <w:tr>
        <w:trPr>
          <w:tblHeader/>
        </w:trPr>
        <w:tc>
          <w:tcPr>
            <w:tcW w:type="dxa" w:w="18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Stage</w:t>
            </w:r>
          </w:p>
        </w:tc>
        <w:tc>
          <w:tcPr>
            <w:tcW w:type="dxa" w:w="36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Capability</w:t>
            </w:r>
          </w:p>
        </w:tc>
        <w:tc>
          <w:tcPr>
            <w:tcW w:type="dxa" w:w="30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Implementing mechanism</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AOI definition</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Interactive polygon or rectangle delineation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geemap interactive map with drawing toolbar</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Multi-format export (GeoJSON, KML, KMZ)</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Custom serialisers with interior-ring support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Round-trip verification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Reload and re-display on an independent map</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Discovery</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Federated query across two archive systems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Two engines over one declarative registry</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16 product streams, six mission families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Registry records; no engine-side product logic</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Server-side AOI coverage computation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Mapped intersection–area reduction in Earth Engine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Attribute extraction from granule identifiers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Per-product regex with named capture-group promotion</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Cross-mission metadata harmonisation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Property maps applied at ingest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Null-safe multi-criteria filtering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Conditional cloud predicate preserving radar granules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Footprint cartography with legend</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Boundary-only raster painting from the footprint side table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Retrieval</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Dual-path retrieval by delivery semantics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Link presence discriminates archive from Earth Engine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Host-resolved authentication routing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Hostname inspection selecting asf_search or Earthdata session</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Credential-safe redirect handling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Custom session preserving and stripping headers per host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Server-side AOI subsetting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Clipped multi-band GeoTIFF export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Atomic, resumable, idempotent transfers</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Partial-file write with rename-on-success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Mandatory volume review gate</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Explicit confirmation flag with aggregate volume report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Selective per-mission retrieval</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Independent per-family execution cells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Forecasting</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Empirical revisit-pattern detection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Smallest-period gap matching with ±1 day tolerance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Transparent evidential basis reporting</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Per-prediction basis field naming pattern and sample size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Nominal-cycle fallback</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Published repeat cycles applied when no pattern confirms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Independent orbital propagation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CelesTrak TLE retrieval with SGP4 propagation</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Geometric swath-intersection detection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Vectorised local-minimum search under swath half-width</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Live position and ground-track display</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Antimeridian-segmented folium polylines</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Confidence proxy per prediction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Closest-approach distance relative to swath half-width</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Archival</w:t>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Data-free acquisition manifest</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Recursive enumeration of retrieved files by path and size</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Idempotent repository synchronisation</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Conditional init, create, and commit</w:t>
            </w:r>
          </w:p>
        </w:tc>
      </w:tr>
      <w:tr>
        <w:tc>
          <w:tcPr>
            <w:tcW w:type="dxa" w:w="18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
            </w:r>
          </w:p>
        </w:tc>
        <w:tc>
          <w:tcPr>
            <w:tcW w:type="dxa" w:w="36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Credential-free version control</w:t>
            </w:r>
          </w:p>
        </w:tc>
        <w:tc>
          <w:tcPr>
            <w:tcW w:type="dxa" w:w="3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Single-invocation token passing with output redaction</w:t>
            </w:r>
          </w:p>
        </w:tc>
      </w:tr>
    </w:tbl>
    <w:p>
      <w:pPr>
        <w:spacing w:after="260" w:before="100" w:line="240"/>
        <w:jc w:val="left"/>
      </w:pPr>
      <w:r>
        <w:rPr>
          <w:rFonts w:ascii="Times New Roman" w:cs="Times New Roman" w:eastAsia="Times New Roman" w:hAnsi="Times New Roman"/>
          <w:color w:val="2B2B2B"/>
          <w:sz w:val="19"/>
          <w:szCs w:val="19"/>
        </w:rPr>
        <w:t xml:space="preserve">Table 6. Functional capabilities of the Toolkit by pipeline stage.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6.2. Multi-sensor time-series construction and data fusion</w:t>
      </w:r>
    </w:p>
    <w:p>
      <w:pPr>
        <w:spacing w:after="140" w:before="0" w:line="360"/>
        <w:jc w:val="both"/>
      </w:pPr>
      <w:r>
        <w:rPr>
          <w:rFonts w:ascii="Times New Roman" w:cs="Times New Roman" w:eastAsia="Times New Roman" w:hAnsi="Times New Roman"/>
          <w:color w:val="000000"/>
          <w:sz w:val="24"/>
          <w:szCs w:val="24"/>
        </w:rPr>
        <w:t xml:space="preserve">The framework’s primary intended use is the assembly of dense, multi-sensor observational records over a fixed site. The harmonised schema makes cross-mission comparability immediate: a single expression selects, for instance, all granules of any provenance with better than 30 m nominal resolution, at least 80% AOI coverage, and cloud fraction below 20%, with radar granules retained automatically because their cloud fraction is null rather than large. The retained set can then be split by mission for sensor-specific preprocessing while retaining a common temporal index. For studies employing harmonised products, the Toolkit retrieves the Landsat and Sentinel-2 HLS streams alongside their native counterparts, permitting direct assessment of harmonisation effects. For SAR–optical fusion, the framework surfaces acquisition mode, polarisation, and orbit pass as first-class filterable columns, so that an interferometric stack requiring consistent geometry can be assembled by direct query rather than by manual inspection of granule identifiers.</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6.3. Field campaign planning and in-situ synergy</w:t>
      </w:r>
    </w:p>
    <w:p>
      <w:pPr>
        <w:spacing w:after="140" w:before="0" w:line="360"/>
        <w:jc w:val="both"/>
      </w:pPr>
      <w:r>
        <w:rPr>
          <w:rFonts w:ascii="Times New Roman" w:cs="Times New Roman" w:eastAsia="Times New Roman" w:hAnsi="Times New Roman"/>
          <w:color w:val="000000"/>
          <w:sz w:val="24"/>
          <w:szCs w:val="24"/>
        </w:rPr>
        <w:t xml:space="preserve">The forecasting modules address a requirement that recurs across every EO subdiscipline that validates against ground measurement. Calibration and validation of surface reflectance, soil moisture, snow, and vegetation products all depend on in-situ observations acquired close in time to the overpass; core validation site networks are constructed around precisely this coincidence requirement. Precision agriculture requires that destructive sampling and canopy measurement coincide with imagery. Hydrological and cryospheric studies require probe and gauge measurements contemporaneous with retrieval.</w:t>
      </w:r>
    </w:p>
    <w:p>
      <w:pPr>
        <w:spacing w:after="140" w:before="0" w:line="360"/>
        <w:jc w:val="both"/>
      </w:pPr>
      <w:r>
        <w:rPr>
          <w:rFonts w:ascii="Times New Roman" w:cs="Times New Roman" w:eastAsia="Times New Roman" w:hAnsi="Times New Roman"/>
          <w:color w:val="000000"/>
          <w:sz w:val="24"/>
          <w:szCs w:val="24"/>
        </w:rPr>
        <w:t xml:space="preserve">The results of Section 5.3 indicate that the framework’s empirical approach materially improves planning at this site relative to standard practice, identifying 81% more Sentinel-2 and 140% more Landsat acquisition opportunities than the nominal-cycle assumption admits. The magnitude of the effect is latitude- and site-dependent, and the framework computes it for the specific AOI rather than requiring the planner to reason about side-lap geometry. The explicit basis field allows a planner to weight predictions by their evidential support — committing personnel and instrumentation against a well-supported empirical pattern, and treating a nominal-cycle fallback as provisional. The KML and KMZ exports of Module 1 close the loop operationally by placing the same AOI on the navigation device carried into the field.</w:t>
      </w:r>
    </w:p>
    <w:p>
      <w:pPr>
        <w:spacing w:after="140" w:before="0" w:line="360"/>
        <w:jc w:val="both"/>
      </w:pPr>
      <w:r>
        <w:rPr>
          <w:rFonts w:ascii="Times New Roman" w:cs="Times New Roman" w:eastAsia="Times New Roman" w:hAnsi="Times New Roman"/>
          <w:color w:val="000000"/>
          <w:sz w:val="24"/>
          <w:szCs w:val="24"/>
        </w:rPr>
        <w:t xml:space="preserve">Two caveats are integral to this application and are stated in the software’s own documentation. Cloud cover cannot be forecast, so an optical overpass prediction is a prediction of acquisition opportunity rather than of usable imagery. And for Sentinel-1, acquisition is tasked according to an evolving observation scenario, so a predicted pass is a necessary rather than sufficient condition for a granule.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6.4. Rapid-response and event-driven assessment</w:t>
      </w:r>
    </w:p>
    <w:p>
      <w:pPr>
        <w:spacing w:after="140" w:before="0" w:line="360"/>
        <w:jc w:val="both"/>
      </w:pPr>
      <w:r>
        <w:rPr>
          <w:rFonts w:ascii="Times New Roman" w:cs="Times New Roman" w:eastAsia="Times New Roman" w:hAnsi="Times New Roman"/>
          <w:color w:val="000000"/>
          <w:sz w:val="24"/>
          <w:szCs w:val="24"/>
        </w:rPr>
        <w:t xml:space="preserve">Following a flood, fire, storm, or landslide, the operative question is which sensor will next observe the affected area, and how soon. The framework answers this directly: a bounding polygon drawn over the affected area yields both the retrospective pre-event record and the forward acquisition schedule across the full fleet in a single workflow, with the SAR streams — uniquely valuable under the cloud cover that typically accompanies such events — given the same treatment as optical streams rather than requiring a separate system.</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6.5. Sensor-agnostic benchmarking and algorithm transfer</w:t>
      </w:r>
    </w:p>
    <w:p>
      <w:pPr>
        <w:spacing w:after="140" w:before="0" w:line="360"/>
        <w:jc w:val="both"/>
      </w:pPr>
      <w:r>
        <w:rPr>
          <w:rFonts w:ascii="Times New Roman" w:cs="Times New Roman" w:eastAsia="Times New Roman" w:hAnsi="Times New Roman"/>
          <w:color w:val="000000"/>
          <w:sz w:val="24"/>
          <w:szCs w:val="24"/>
        </w:rPr>
        <w:t xml:space="preserve">Assessing whether a retrieval algorithm developed for one sensor transfers to another requires assembling matched observations across sensors over identical extents. The harmonised schema and common AOI make this assembly a filtering operation. The framework’s coverage of three distinct resolution regimes — 10 m, 30 m, and 250–1000 m — over the same AOI additionally supports scaling studies concerned with the effect of ground sample distance on retrieval accuracy.</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6.6. Reproducible research and instruction</w:t>
      </w:r>
    </w:p>
    <w:p>
      <w:pPr>
        <w:spacing w:after="140" w:before="0" w:line="360"/>
        <w:jc w:val="both"/>
      </w:pPr>
      <w:r>
        <w:rPr>
          <w:rFonts w:ascii="Times New Roman" w:cs="Times New Roman" w:eastAsia="Times New Roman" w:hAnsi="Times New Roman"/>
          <w:color w:val="000000"/>
          <w:sz w:val="24"/>
          <w:szCs w:val="24"/>
        </w:rPr>
        <w:t xml:space="preserve">The archival module renders an entire multi-mission acquisition specification reproducible from a repository containing no bulk data and no credentials. A reviewer or subsequent investigator can regenerate the exact input set from the committed configuration and verify it against the committed manifest. In an instructional context, the framework’s modular structure allows the fragmentation problem itself to be taught — the differences in metadata vocabulary, authentication, and delivery semantics are visible in the registry rather than hidden behind an abstraction — while sparing students the systems-integration work that would otherwise consume the available time.</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7. Limitations</w:t>
      </w:r>
    </w:p>
    <w:p>
      <w:pPr>
        <w:spacing w:after="140" w:before="0" w:line="360"/>
        <w:jc w:val="both"/>
      </w:pPr>
      <w:r>
        <w:rPr>
          <w:rFonts w:ascii="Times New Roman" w:cs="Times New Roman" w:eastAsia="Times New Roman" w:hAnsi="Times New Roman"/>
          <w:color w:val="000000"/>
          <w:sz w:val="24"/>
          <w:szCs w:val="24"/>
        </w:rPr>
        <w:t xml:space="preserve">We state the framework’s limitations explicitly, both because candour is a scientific obligation and because several of them define the roadmap of Section 8.</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Acquisition tasking is not modelled. </w:t>
      </w:r>
      <w:r>
        <w:rPr>
          <w:rFonts w:ascii="Times New Roman" w:cs="Times New Roman" w:eastAsia="Times New Roman" w:hAnsi="Times New Roman"/>
          <w:color w:val="000000"/>
          <w:sz w:val="24"/>
          <w:szCs w:val="24"/>
        </w:rPr>
        <w:t xml:space="preserve">Neither forecaster can determine whether a mission operator will task an acquisition on a geometrically qualifying pass. This limits the reliability of Sentinel-1 and, at present, NISAR predictions specifically. The empirical forecaster partially compensates by inferring effective behaviour from what was actually acquired, but it cannot anticipate a change in observation plan.</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Cloud cover is not forecast. </w:t>
      </w:r>
      <w:r>
        <w:rPr>
          <w:rFonts w:ascii="Times New Roman" w:cs="Times New Roman" w:eastAsia="Times New Roman" w:hAnsi="Times New Roman"/>
          <w:color w:val="000000"/>
          <w:sz w:val="24"/>
          <w:szCs w:val="24"/>
        </w:rPr>
        <w:t xml:space="preserve">Optical overpass predictions describe opportunity, not usable imagery. Integration of numerical weather prediction cloud fields would materially improve planning utility and is not currently implemented.</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The geometric criterion lacks an illumination filter. </w:t>
      </w:r>
      <w:r>
        <w:rPr>
          <w:rFonts w:ascii="Times New Roman" w:cs="Times New Roman" w:eastAsia="Times New Roman" w:hAnsi="Times New Roman"/>
          <w:color w:val="000000"/>
          <w:sz w:val="24"/>
          <w:szCs w:val="24"/>
        </w:rPr>
        <w:t xml:space="preserve">As quantified in Section 5.3, the physics-based module admits night-side passes for optical platforms, over-predicting optical opportunity by approximately a factor of two. This is a known and readily correctable deficiency.</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The empirical forecaster quantises to whole days. </w:t>
      </w:r>
      <w:r>
        <w:rPr>
          <w:rFonts w:ascii="Times New Roman" w:cs="Times New Roman" w:eastAsia="Times New Roman" w:hAnsi="Times New Roman"/>
          <w:color w:val="000000"/>
          <w:sz w:val="24"/>
          <w:szCs w:val="24"/>
        </w:rPr>
        <w:t xml:space="preserve">Gaps are computed and applied in integer days, introducing sub-daily error in predicted epochs. Predicted times of day are carried from the historical record and are typically accurate to within minutes, but predicted dates carry an intrinsic ±1 day uncertainty in the presence of drifting acquisition times.</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Pattern detection is heuristic and assumes local stationarity. </w:t>
      </w:r>
      <w:r>
        <w:rPr>
          <w:rFonts w:ascii="Times New Roman" w:cs="Times New Roman" w:eastAsia="Times New Roman" w:hAnsi="Times New Roman"/>
          <w:color w:val="000000"/>
          <w:sz w:val="24"/>
          <w:szCs w:val="24"/>
        </w:rPr>
        <w:t xml:space="preserve">The detector searches periods up to four and requires one repetition of the candidate pattern. It cannot detect longer-period structure, and it assumes the pattern observed in the lookback window persists across the forecast horizon — an assumption violated by constellation changes, satellite manoeuvres, and observation-plan revisions.</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Coverage fraction is uninformative for global composites. </w:t>
      </w:r>
      <w:r>
        <w:rPr>
          <w:rFonts w:ascii="Times New Roman" w:cs="Times New Roman" w:eastAsia="Times New Roman" w:hAnsi="Times New Roman"/>
          <w:color w:val="000000"/>
          <w:sz w:val="24"/>
          <w:szCs w:val="24"/>
        </w:rPr>
        <w:t xml:space="preserve">For MODIS Level-3 products the criterion returns 100% by construction and carries no discriminatory power.</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HLS retrieval is incomplete. </w:t>
      </w:r>
      <w:r>
        <w:rPr>
          <w:rFonts w:ascii="Times New Roman" w:cs="Times New Roman" w:eastAsia="Times New Roman" w:hAnsi="Times New Roman"/>
          <w:color w:val="000000"/>
          <w:sz w:val="24"/>
          <w:szCs w:val="24"/>
        </w:rPr>
        <w:t xml:space="preserve">Each HLS granule comprises many per-band assets; the framework currently records one representative asset link rather than the complete band set, so HLS retrieval is partial.</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TLE-based prediction degrades with propagation time. </w:t>
      </w:r>
      <w:r>
        <w:rPr>
          <w:rFonts w:ascii="Times New Roman" w:cs="Times New Roman" w:eastAsia="Times New Roman" w:hAnsi="Times New Roman"/>
          <w:color w:val="000000"/>
          <w:sz w:val="24"/>
          <w:szCs w:val="24"/>
        </w:rPr>
        <w:t xml:space="preserve">Orbital element accuracy decays with time since epoch, so the far end of a 30-day horizon carries greater positional uncertainty than the near end.</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NISAR products are provisional. </w:t>
      </w:r>
      <w:r>
        <w:rPr>
          <w:rFonts w:ascii="Times New Roman" w:cs="Times New Roman" w:eastAsia="Times New Roman" w:hAnsi="Times New Roman"/>
          <w:color w:val="000000"/>
          <w:sz w:val="24"/>
          <w:szCs w:val="24"/>
        </w:rPr>
        <w:t xml:space="preserve">NISAR data remain in a provisional processing tier with documented known issues; quoted resolutions are approximate and the acquisition record does not yet reflect steady-state operations.</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Current packaging constrains reuse and citation. </w:t>
      </w:r>
      <w:r>
        <w:rPr>
          <w:rFonts w:ascii="Times New Roman" w:cs="Times New Roman" w:eastAsia="Times New Roman" w:hAnsi="Times New Roman"/>
          <w:color w:val="000000"/>
          <w:sz w:val="24"/>
          <w:szCs w:val="24"/>
        </w:rPr>
        <w:t xml:space="preserve">The framework is currently distributed as notebooks rather than as an installable library with a programmatic interface and an automated test suite. This limits its use as a dependency of other software and, as Section 8.1 notes, constrains the set of venues in which it can be published as software.</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8. Development Roadmap</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8.1. Packaging and software engineering</w:t>
      </w:r>
    </w:p>
    <w:p>
      <w:pPr>
        <w:spacing w:after="140" w:before="0" w:line="360"/>
        <w:jc w:val="both"/>
      </w:pPr>
      <w:r>
        <w:rPr>
          <w:rFonts w:ascii="Times New Roman" w:cs="Times New Roman" w:eastAsia="Times New Roman" w:hAnsi="Times New Roman"/>
          <w:color w:val="000000"/>
          <w:sz w:val="24"/>
          <w:szCs w:val="24"/>
        </w:rPr>
        <w:t xml:space="preserve">The highest-priority development is refactoring the framework into an installable Python package exposing the registry, the two search engines, the retrieval router, and both forecasters as a documented programmatic interface, with the notebooks retained as worked examples layered over that interface. This should be accompanied by a unit test suite covering the pattern detector, the coordinate transposition, the identifier parsers, and the routing logic — all of which are pure functions amenable to direct testing — together with continuous integration, a containerised environment specification, and a complete and pinned dependency declaration. We note that the current requirements declaration omits several libraries the framework imports, which would prevent a clean installation from succeeding; correcting this is a prerequisite to any release.</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8.2. Functional extensions</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Solar-illumination filtering in the geometric forecaster, eliminating the over-prediction quantified in Section 5.3.</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Full-swath rather than centroid-based geometric intersection, replacing the point-to-track distance criterion with a polygon intersection test against a modelled swath footprint.</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Integration of published forward acquisition plans for the Sentinel and Landsat systems, which would convert Sentinel-1 predictions from opportunity to scheduled acquisition where such plans are available.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Sentinel-1D support, requiring only registry additions as described in Section 4.2.</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Complete HLS band-set retrieval.</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Numerical weather prediction cloud forecast integration for optical planning.</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A STAC-backed discovery engine as a third backend, permitting collections exposed through STAC to be reached without CMR.</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Concurrent retrieval with per-host connection limits and checksum verification against archive-reported values.</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Quantitative validation of both forecasters against the subsequently realised acquisition record across a latitudinally stratified sample of AOIs, converting the single-site comparison of Section 5.3 into a generalisable accuracy assessment.</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9. Conclusions</w:t>
      </w:r>
    </w:p>
    <w:p>
      <w:pPr>
        <w:spacing w:after="140" w:before="0" w:line="360"/>
        <w:jc w:val="both"/>
      </w:pPr>
      <w:r>
        <w:rPr>
          <w:rFonts w:ascii="Times New Roman" w:cs="Times New Roman" w:eastAsia="Times New Roman" w:hAnsi="Times New Roman"/>
          <w:color w:val="000000"/>
          <w:sz w:val="24"/>
          <w:szCs w:val="24"/>
        </w:rPr>
        <w:t xml:space="preserve">Multi-mission Earth observation science is presently constrained less by data availability than by the infrastructural fragmentation that separates the available data from the researcher. The Toolkit addresses this fragmentation with a deliberately narrow architectural commitment — that a single area of interest should be the only spatial specification a workflow requires — and demonstrates that this commitment is sufficient to unify discovery across two structurally dissimilar archive systems, sixteen product streams, and six mission families, while remaining extensible to further missions by declarative configuration alone.</w:t>
      </w:r>
    </w:p>
    <w:p>
      <w:pPr>
        <w:spacing w:after="140" w:before="0" w:line="360"/>
        <w:jc w:val="both"/>
      </w:pPr>
      <w:r>
        <w:rPr>
          <w:rFonts w:ascii="Times New Roman" w:cs="Times New Roman" w:eastAsia="Times New Roman" w:hAnsi="Times New Roman"/>
          <w:color w:val="000000"/>
          <w:sz w:val="24"/>
          <w:szCs w:val="24"/>
        </w:rPr>
        <w:t xml:space="preserve">The framework’s forecasting contribution is to replace an assumption with an inference. Published nominal repeat cycles are, for most locations, a poor description of the acquisition behaviour actually experienced, and the demonstration presented here quantifies the cost of the assumption at a specific site: a planner relying on published repeat cycles would have anticipated 27 of the 49 available Sentinel-2 opportunities and 10 of the 24 available Landsat opportunities, overlooking 45% and 58% of them respectively. That the framework arrives at this result by two independent routes, and that the disagreement between those routes proves diagnostic of a specific correctable deficiency rather than merely of noise, is itself an argument for methodological redundancy in operational planning tools.</w:t>
      </w:r>
    </w:p>
    <w:p>
      <w:pPr>
        <w:spacing w:after="140" w:before="0" w:line="360"/>
        <w:jc w:val="both"/>
      </w:pPr>
      <w:r>
        <w:rPr>
          <w:rFonts w:ascii="Times New Roman" w:cs="Times New Roman" w:eastAsia="Times New Roman" w:hAnsi="Times New Roman"/>
          <w:color w:val="000000"/>
          <w:sz w:val="24"/>
          <w:szCs w:val="24"/>
        </w:rPr>
        <w:t xml:space="preserve">We regard the framework’s explicit accounting for the evidential basis of each prediction as equally consequential. A forecasting tool that reports whether a prediction rests on observed evidence or on a default assumption permits a user to allocate resources proportionately to confidence. Field campaigns commit personnel, instrumentation, and irreplaceable seasonal windows; a prediction system that conceals its own uncertainty is not merely incomplete but actively hazardous to such commitments.</w:t>
      </w:r>
    </w:p>
    <w:p>
      <w:pPr>
        <w:spacing w:after="140" w:before="0" w:line="360"/>
        <w:jc w:val="both"/>
      </w:pPr>
      <w:r>
        <w:rPr>
          <w:rFonts w:ascii="Times New Roman" w:cs="Times New Roman" w:eastAsia="Times New Roman" w:hAnsi="Times New Roman"/>
          <w:color w:val="000000"/>
          <w:sz w:val="24"/>
          <w:szCs w:val="24"/>
        </w:rPr>
        <w:t xml:space="preserve">The Toolkit is released openly, with a reproducibility workflow that publishes a complete acquisition specification without publishing either bulk data or credentials. Its immediate development priority is consolidation into an installable, tested library; its immediate scientific priority is validation of both forecasters against realised acquisitions across a latitudinally stratified sample of sites.</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Declarations</w:t>
      </w:r>
    </w:p>
    <w:p>
      <w:pPr>
        <w:pStyle w:val="Heading3"/>
        <w:spacing w:after="140" w:before="260" w:line="360"/>
      </w:pPr>
      <w:r>
        <w:rPr>
          <w:rFonts w:ascii="Times New Roman" w:cs="Times New Roman" w:eastAsia="Times New Roman" w:hAnsi="Times New Roman"/>
          <w:b/>
          <w:bCs/>
          <w:i/>
          <w:iCs/>
          <w:color w:val="000000"/>
          <w:sz w:val="24"/>
          <w:szCs w:val="24"/>
        </w:rPr>
        <w:t xml:space="preserve">Code availability</w:t>
      </w:r>
    </w:p>
    <w:p>
      <w:pPr>
        <w:spacing w:after="140" w:before="0" w:line="360"/>
        <w:jc w:val="both"/>
      </w:pPr>
      <w:r>
        <w:rPr>
          <w:rFonts w:ascii="Times New Roman" w:cs="Times New Roman" w:eastAsia="Times New Roman" w:hAnsi="Times New Roman"/>
          <w:color w:val="000000"/>
          <w:sz w:val="24"/>
          <w:szCs w:val="24"/>
        </w:rPr>
        <w:t xml:space="preserve">The Satellite Data Search and Overpass Forecast Toolkit is available at [repository URL] under the [licence] licence. The version described in this paper is archived at [Zenodo DOI].</w:t>
      </w:r>
    </w:p>
    <w:p>
      <w:pPr>
        <w:pStyle w:val="Heading3"/>
        <w:spacing w:after="140" w:before="260" w:line="360"/>
      </w:pPr>
      <w:r>
        <w:rPr>
          <w:rFonts w:ascii="Times New Roman" w:cs="Times New Roman" w:eastAsia="Times New Roman" w:hAnsi="Times New Roman"/>
          <w:b/>
          <w:bCs/>
          <w:i/>
          <w:iCs/>
          <w:color w:val="000000"/>
          <w:sz w:val="24"/>
          <w:szCs w:val="24"/>
        </w:rPr>
        <w:t xml:space="preserve">Data availability</w:t>
      </w:r>
    </w:p>
    <w:p>
      <w:pPr>
        <w:spacing w:after="140" w:before="0" w:line="360"/>
        <w:jc w:val="both"/>
      </w:pPr>
      <w:r>
        <w:rPr>
          <w:rFonts w:ascii="Times New Roman" w:cs="Times New Roman" w:eastAsia="Times New Roman" w:hAnsi="Times New Roman"/>
          <w:color w:val="000000"/>
          <w:sz w:val="24"/>
          <w:szCs w:val="24"/>
        </w:rPr>
        <w:t xml:space="preserve">All data used in the demonstration are publicly available: Sentinel-1, Sentinel-2, Landsat, and MODIS products through the Copernicus Data Space Ecosystem, the USGS archive, and Google Earth Engine; Sentinel-1, NISAR, HLS, and Sentinel-6 products through the NASA Earthdata system, subject to free registration. The granule manifest for the demonstration is included in the software repository.</w:t>
      </w:r>
    </w:p>
    <w:p>
      <w:pPr>
        <w:pStyle w:val="Heading3"/>
        <w:spacing w:after="140" w:before="260" w:line="360"/>
      </w:pPr>
      <w:r>
        <w:rPr>
          <w:rFonts w:ascii="Times New Roman" w:cs="Times New Roman" w:eastAsia="Times New Roman" w:hAnsi="Times New Roman"/>
          <w:b/>
          <w:bCs/>
          <w:i/>
          <w:iCs/>
          <w:color w:val="000000"/>
          <w:sz w:val="24"/>
          <w:szCs w:val="24"/>
        </w:rPr>
        <w:t xml:space="preserve">Funding</w:t>
      </w:r>
    </w:p>
    <w:p>
      <w:pPr>
        <w:spacing w:after="140" w:before="0" w:line="360"/>
        <w:jc w:val="both"/>
      </w:pPr>
      <w:r>
        <w:rPr>
          <w:rFonts w:ascii="Times New Roman" w:cs="Times New Roman" w:eastAsia="Times New Roman" w:hAnsi="Times New Roman"/>
          <w:color w:val="000000"/>
          <w:sz w:val="24"/>
          <w:szCs w:val="24"/>
        </w:rPr>
        <w:t xml:space="preserve">[To be completed.]</w:t>
      </w:r>
    </w:p>
    <w:p>
      <w:pPr>
        <w:pStyle w:val="Heading3"/>
        <w:spacing w:after="140" w:before="260" w:line="360"/>
      </w:pPr>
      <w:r>
        <w:rPr>
          <w:rFonts w:ascii="Times New Roman" w:cs="Times New Roman" w:eastAsia="Times New Roman" w:hAnsi="Times New Roman"/>
          <w:b/>
          <w:bCs/>
          <w:i/>
          <w:iCs/>
          <w:color w:val="000000"/>
          <w:sz w:val="24"/>
          <w:szCs w:val="24"/>
        </w:rPr>
        <w:t xml:space="preserve">Competing interests</w:t>
      </w:r>
    </w:p>
    <w:p>
      <w:pPr>
        <w:spacing w:after="140" w:before="0" w:line="360"/>
        <w:jc w:val="both"/>
      </w:pPr>
      <w:r>
        <w:rPr>
          <w:rFonts w:ascii="Times New Roman" w:cs="Times New Roman" w:eastAsia="Times New Roman" w:hAnsi="Times New Roman"/>
          <w:color w:val="000000"/>
          <w:sz w:val="24"/>
          <w:szCs w:val="24"/>
        </w:rPr>
        <w:t xml:space="preserve">The author declares no competing interests.</w:t>
      </w:r>
    </w:p>
    <w:p>
      <w:pPr>
        <w:pStyle w:val="Heading3"/>
        <w:spacing w:after="140" w:before="260" w:line="360"/>
      </w:pPr>
      <w:r>
        <w:rPr>
          <w:rFonts w:ascii="Times New Roman" w:cs="Times New Roman" w:eastAsia="Times New Roman" w:hAnsi="Times New Roman"/>
          <w:b/>
          <w:bCs/>
          <w:i/>
          <w:iCs/>
          <w:color w:val="000000"/>
          <w:sz w:val="24"/>
          <w:szCs w:val="24"/>
        </w:rPr>
        <w:t xml:space="preserve">CRediT author statement</w:t>
      </w:r>
    </w:p>
    <w:p>
      <w:pPr>
        <w:spacing w:after="140" w:before="0" w:line="360"/>
        <w:jc w:val="both"/>
      </w:pPr>
      <w:r>
        <w:rPr>
          <w:rFonts w:ascii="Times New Roman" w:cs="Times New Roman" w:eastAsia="Times New Roman" w:hAnsi="Times New Roman"/>
          <w:color w:val="000000"/>
          <w:sz w:val="24"/>
          <w:szCs w:val="24"/>
        </w:rPr>
        <w:t xml:space="preserve">[Author]: Conceptualization, Methodology, Software, Validation, Formal analysis, Investigation, Data curation, Writing – original draft, Writing – review &amp; editing, Visualization.</w:t>
      </w:r>
    </w:p>
    <w:p>
      <w:pPr>
        <w:pStyle w:val="Heading3"/>
        <w:spacing w:after="140" w:before="260" w:line="360"/>
      </w:pPr>
      <w:r>
        <w:rPr>
          <w:rFonts w:ascii="Times New Roman" w:cs="Times New Roman" w:eastAsia="Times New Roman" w:hAnsi="Times New Roman"/>
          <w:b/>
          <w:bCs/>
          <w:i/>
          <w:iCs/>
          <w:color w:val="000000"/>
          <w:sz w:val="24"/>
          <w:szCs w:val="24"/>
        </w:rPr>
        <w:t xml:space="preserve">Use of generative artificial intelligence</w:t>
      </w:r>
    </w:p>
    <w:p>
      <w:pPr>
        <w:spacing w:after="140" w:before="0" w:line="360"/>
        <w:jc w:val="both"/>
      </w:pPr>
      <w:r>
        <w:rPr>
          <w:rFonts w:ascii="Times New Roman" w:cs="Times New Roman" w:eastAsia="Times New Roman" w:hAnsi="Times New Roman"/>
          <w:color w:val="000000"/>
          <w:sz w:val="24"/>
          <w:szCs w:val="24"/>
        </w:rPr>
        <w:t xml:space="preserve">[Complete according to the target journal’s policy. Several venues, including the Journal of Open Source Software, now require explicit disclosure of generative AI use in software development, documentation, or manuscript preparation, with a statement confirming human review of all outputs and human responsibility for core design decisions.]</w:t>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References</w:t>
      </w:r>
    </w:p>
    <w:p>
      <w:pPr>
        <w:spacing w:after="120" w:line="240"/>
        <w:ind w:left="504" w:hanging="504"/>
        <w:jc w:val="left"/>
      </w:pPr>
      <w:r>
        <w:rPr>
          <w:rFonts w:ascii="Times New Roman" w:cs="Times New Roman" w:eastAsia="Times New Roman" w:hAnsi="Times New Roman"/>
          <w:color w:val="000000"/>
          <w:sz w:val="21"/>
          <w:szCs w:val="21"/>
        </w:rPr>
        <w:t xml:space="preserve">Amani, M., Ghorbanian, A., Ahmadi, S.A., Kakooei, M., Moghimi, A., Mirmazloumi, S.M., Moghaddam, S.H.A., Mahdavi, S., Ghahremanloo, M., Parsian, S., Wu, Q., Brisco, B. (2020). Google Earth Engine cloud computing platform for remote sensing big data applications: a comprehensive review. IEEE Journal of Selected Topics in Applied Earth Observations and Remote Sensing, 13, 5326–5350.</w:t>
      </w:r>
    </w:p>
    <w:p>
      <w:pPr>
        <w:spacing w:after="120" w:line="240"/>
        <w:ind w:left="504" w:hanging="504"/>
        <w:jc w:val="left"/>
      </w:pPr>
      <w:r>
        <w:rPr>
          <w:rFonts w:ascii="Times New Roman" w:cs="Times New Roman" w:eastAsia="Times New Roman" w:hAnsi="Times New Roman"/>
          <w:color w:val="000000"/>
          <w:sz w:val="21"/>
          <w:szCs w:val="21"/>
        </w:rPr>
        <w:t xml:space="preserve">Claverie, M., Ju, J., Masek, J.G., Dungan, J.L., Vermote, E.F., Roger, J.-C., Skakun, S.V., Justice, C. (2018). The Harmonized Landsat and Sentinel-2 surface reflectance data set. Remote Sensing of Environment, 219, 145–161.</w:t>
      </w:r>
    </w:p>
    <w:p>
      <w:pPr>
        <w:spacing w:after="120" w:line="240"/>
        <w:ind w:left="504" w:hanging="504"/>
        <w:jc w:val="left"/>
      </w:pPr>
      <w:r>
        <w:rPr>
          <w:rFonts w:ascii="Times New Roman" w:cs="Times New Roman" w:eastAsia="Times New Roman" w:hAnsi="Times New Roman"/>
          <w:color w:val="000000"/>
          <w:sz w:val="21"/>
          <w:szCs w:val="21"/>
        </w:rPr>
        <w:t xml:space="preserve">Colliander, A., Jackson, T.J., Bindlish, R., Chan, S., Das, N., Kim, S.B., Cosh, M.H., Dunbar, R.S., Dang, L., Pashaian, L., Asanuma, J., Aida, K., Berg, A., Rowlandson, T., Bosch, D., Caldwell, T., Caylor, K., Goodrich, D., al Jassar, H., Lopez-Baeza, E., et al. (2017). Validation of SMAP surface soil moisture products with core validation sites. Remote Sensing of Environment, 191, 215–231.</w:t>
      </w:r>
    </w:p>
    <w:p>
      <w:pPr>
        <w:spacing w:after="120" w:line="240"/>
        <w:ind w:left="504" w:hanging="504"/>
        <w:jc w:val="left"/>
      </w:pPr>
      <w:r>
        <w:rPr>
          <w:rFonts w:ascii="Times New Roman" w:cs="Times New Roman" w:eastAsia="Times New Roman" w:hAnsi="Times New Roman"/>
          <w:color w:val="000000"/>
          <w:sz w:val="21"/>
          <w:szCs w:val="21"/>
        </w:rPr>
        <w:t xml:space="preserve">Didan, K. (2015). MOD13Q1 MODIS/Terra Vegetation Indices 16-Day L3 Global 250 m SIN Grid V006. NASA EOSDIS Land Processes DAAC.</w:t>
      </w:r>
    </w:p>
    <w:p>
      <w:pPr>
        <w:spacing w:after="120" w:line="240"/>
        <w:ind w:left="504" w:hanging="504"/>
        <w:jc w:val="left"/>
      </w:pPr>
      <w:r>
        <w:rPr>
          <w:rFonts w:ascii="Times New Roman" w:cs="Times New Roman" w:eastAsia="Times New Roman" w:hAnsi="Times New Roman"/>
          <w:color w:val="000000"/>
          <w:sz w:val="21"/>
          <w:szCs w:val="21"/>
        </w:rPr>
        <w:t xml:space="preserve">Drusch, M., Del Bello, U., Carlier, S., Colin, O., Fernandez, V., Gascon, F., Hoersch, B., Isola, C., Laberinti, P., Martimort, P., Meygret, A., Spoto, F., Sy, O., Marchese, F., Bargellini, P. (2012). Sentinel-2: ESA’s optical high-resolution mission for GMES operational services. Remote Sensing of Environment, 120, 25–36.</w:t>
      </w:r>
    </w:p>
    <w:p>
      <w:pPr>
        <w:spacing w:after="120" w:line="240"/>
        <w:ind w:left="504" w:hanging="504"/>
        <w:jc w:val="left"/>
      </w:pPr>
      <w:r>
        <w:rPr>
          <w:rFonts w:ascii="Times New Roman" w:cs="Times New Roman" w:eastAsia="Times New Roman" w:hAnsi="Times New Roman"/>
          <w:color w:val="000000"/>
          <w:sz w:val="21"/>
          <w:szCs w:val="21"/>
        </w:rPr>
        <w:t xml:space="preserve">Entekhabi, D., Njoku, E.G., O’Neill, P.E., Kellogg, K.H., Crow, W.T., Edelstein, W.N., Entin, J.K., Goodman, S.D., Jackson, T.J., Johnson, J., Kimball, J., Piepmeier, J.R., Koster, R.D., Martin, N., McDonald, K.C., Moghaddam, M., Moran, S., Reichle, R., Shi, J.C., Spencer, M.W., et al. (2010). The Soil Moisture Active Passive (SMAP) mission. Proceedings of the IEEE, 98(5), 704–716.</w:t>
      </w:r>
    </w:p>
    <w:p>
      <w:pPr>
        <w:spacing w:after="120" w:line="240"/>
        <w:ind w:left="504" w:hanging="504"/>
        <w:jc w:val="left"/>
      </w:pPr>
      <w:r>
        <w:rPr>
          <w:rFonts w:ascii="Times New Roman" w:cs="Times New Roman" w:eastAsia="Times New Roman" w:hAnsi="Times New Roman"/>
          <w:color w:val="000000"/>
          <w:sz w:val="21"/>
          <w:szCs w:val="21"/>
        </w:rPr>
        <w:t xml:space="preserve">Frantz, D. (2019). FORCE — Landsat + Sentinel-2 analysis ready data and beyond. Remote Sensing, 11(9), 1124.</w:t>
      </w:r>
    </w:p>
    <w:p>
      <w:pPr>
        <w:spacing w:after="120" w:line="240"/>
        <w:ind w:left="504" w:hanging="504"/>
        <w:jc w:val="left"/>
      </w:pPr>
      <w:r>
        <w:rPr>
          <w:rFonts w:ascii="Times New Roman" w:cs="Times New Roman" w:eastAsia="Times New Roman" w:hAnsi="Times New Roman"/>
          <w:color w:val="000000"/>
          <w:sz w:val="21"/>
          <w:szCs w:val="21"/>
        </w:rPr>
        <w:t xml:space="preserve">Giuliani, G., Chatenoux, B., De Bono, A., Rodila, D., Richard, J.-P., Allenbach, K., Dao, H., Peduzzi, P. (2017). Building an Earth observations data cube: lessons learned from the Swiss Data Cube (SDC) on generating analysis ready data (ARD). Big Earth Data, 1(1–2), 100–117.</w:t>
      </w:r>
    </w:p>
    <w:p>
      <w:pPr>
        <w:spacing w:after="120" w:line="240"/>
        <w:ind w:left="504" w:hanging="504"/>
        <w:jc w:val="left"/>
      </w:pPr>
      <w:r>
        <w:rPr>
          <w:rFonts w:ascii="Times New Roman" w:cs="Times New Roman" w:eastAsia="Times New Roman" w:hAnsi="Times New Roman"/>
          <w:color w:val="000000"/>
          <w:sz w:val="21"/>
          <w:szCs w:val="21"/>
        </w:rPr>
        <w:t xml:space="preserve">Gomes, V.C.F., Queiroz, G.R., Ferreira, K.R. (2020). An overview of platforms for big Earth observation data management and analysis. Remote Sensing, 12(8), 1253.</w:t>
      </w:r>
    </w:p>
    <w:p>
      <w:pPr>
        <w:spacing w:after="120" w:line="240"/>
        <w:ind w:left="504" w:hanging="504"/>
        <w:jc w:val="left"/>
      </w:pPr>
      <w:r>
        <w:rPr>
          <w:rFonts w:ascii="Times New Roman" w:cs="Times New Roman" w:eastAsia="Times New Roman" w:hAnsi="Times New Roman"/>
          <w:color w:val="000000"/>
          <w:sz w:val="21"/>
          <w:szCs w:val="21"/>
        </w:rPr>
        <w:t xml:space="preserve">Gorelick, N., Hancher, M., Dixon, M., Ilyushchenko, S., Thau, D., Moore, R. (2017). Google Earth Engine: planetary-scale geospatial analysis for everyone. Remote Sensing of Environment, 202, 18–27.</w:t>
      </w:r>
    </w:p>
    <w:p>
      <w:pPr>
        <w:spacing w:after="120" w:line="240"/>
        <w:ind w:left="504" w:hanging="504"/>
        <w:jc w:val="left"/>
      </w:pPr>
      <w:r>
        <w:rPr>
          <w:rFonts w:ascii="Times New Roman" w:cs="Times New Roman" w:eastAsia="Times New Roman" w:hAnsi="Times New Roman"/>
          <w:color w:val="000000"/>
          <w:sz w:val="21"/>
          <w:szCs w:val="21"/>
        </w:rPr>
        <w:t xml:space="preserve">Hall, D.K., Riggs, G.A. (2007). Accuracy assessment of the MODIS snow products. Hydrological Processes, 21(12), 1534–1547.</w:t>
      </w:r>
    </w:p>
    <w:p>
      <w:pPr>
        <w:spacing w:after="120" w:line="240"/>
        <w:ind w:left="504" w:hanging="504"/>
        <w:jc w:val="left"/>
      </w:pPr>
      <w:r>
        <w:rPr>
          <w:rFonts w:ascii="Times New Roman" w:cs="Times New Roman" w:eastAsia="Times New Roman" w:hAnsi="Times New Roman"/>
          <w:color w:val="000000"/>
          <w:sz w:val="21"/>
          <w:szCs w:val="21"/>
        </w:rPr>
        <w:t xml:space="preserve">Harris, C.R., Millman, K.J., van der Walt, S.J., Gommers, R., Virtanen, P., Cournapeau, D., Wieser, E., Taylor, J., Berg, S., Smith, N.J., Kern, R., Picus, M., Hoyer, S., van Kerkwijk, M.H., Brett, M., Haldane, A., del Río, J.F., Wiebe, M., Peterson, P., et al. (2020). Array programming with NumPy. Nature, 585, 357–362.</w:t>
      </w:r>
    </w:p>
    <w:p>
      <w:pPr>
        <w:spacing w:after="120" w:line="240"/>
        <w:ind w:left="504" w:hanging="504"/>
        <w:jc w:val="left"/>
      </w:pPr>
      <w:r>
        <w:rPr>
          <w:rFonts w:ascii="Times New Roman" w:cs="Times New Roman" w:eastAsia="Times New Roman" w:hAnsi="Times New Roman"/>
          <w:color w:val="000000"/>
          <w:sz w:val="21"/>
          <w:szCs w:val="21"/>
        </w:rPr>
        <w:t xml:space="preserve">Huete, A., Didan, K., Miura, T., Rodriguez, E.P., Gao, X., Ferreira, L.G. (2002). Overview of the radiometric and biophysical performance of the MODIS vegetation indices. Remote Sensing of Environment, 83(1–2), 195–213.</w:t>
      </w:r>
    </w:p>
    <w:p>
      <w:pPr>
        <w:spacing w:after="120" w:line="240"/>
        <w:ind w:left="504" w:hanging="504"/>
        <w:jc w:val="left"/>
      </w:pPr>
      <w:r>
        <w:rPr>
          <w:rFonts w:ascii="Times New Roman" w:cs="Times New Roman" w:eastAsia="Times New Roman" w:hAnsi="Times New Roman"/>
          <w:color w:val="000000"/>
          <w:sz w:val="21"/>
          <w:szCs w:val="21"/>
        </w:rPr>
        <w:t xml:space="preserve">Justice, C.O., Townshend, J.R.G., Vermote, E.F., Masuoka, E., Wolfe, R.E., Saleous, N., Roy, D.P., Morisette, J.T. (2002). An overview of MODIS Land data processing and product status. Remote Sensing of Environment, 83(1–2), 3–15.</w:t>
      </w:r>
    </w:p>
    <w:p>
      <w:pPr>
        <w:spacing w:after="120" w:line="240"/>
        <w:ind w:left="504" w:hanging="504"/>
        <w:jc w:val="left"/>
      </w:pPr>
      <w:r>
        <w:rPr>
          <w:rFonts w:ascii="Times New Roman" w:cs="Times New Roman" w:eastAsia="Times New Roman" w:hAnsi="Times New Roman"/>
          <w:color w:val="000000"/>
          <w:sz w:val="21"/>
          <w:szCs w:val="21"/>
        </w:rPr>
        <w:t xml:space="preserve">Kellogg, K., Hoffman, P., Standley, S., Shaffer, S., Rosen, P., Edelstein, W., Dunn, C., Baker, C., Barela, P., Shen, Y., Guerrero, A.M., Xaypraseuth, P., Sagi, V.R., Sreekantha, C.V., Harinath, N., Kumar, R., Bhan, R., Sarma, C.V.H.S. (2020). NASA-ISRO Synthetic Aperture Radar (NISAR) mission. In: IEEE Aerospace Conference, Big Sky, MT, USA, 1–21.</w:t>
      </w:r>
    </w:p>
    <w:p>
      <w:pPr>
        <w:spacing w:after="120" w:line="240"/>
        <w:ind w:left="504" w:hanging="504"/>
        <w:jc w:val="left"/>
      </w:pPr>
      <w:r>
        <w:rPr>
          <w:rFonts w:ascii="Times New Roman" w:cs="Times New Roman" w:eastAsia="Times New Roman" w:hAnsi="Times New Roman"/>
          <w:color w:val="000000"/>
          <w:sz w:val="21"/>
          <w:szCs w:val="21"/>
        </w:rPr>
        <w:t xml:space="preserve">Kluyver, T., Ragan-Kelley, B., Pérez, F., Granger, B., Bussonnier, M., Frederic, J., Kelley, K., Hamrick, J., Grout, J., Corlay, S., Ivanov, P., Avila, D., Abdalla, S., Willing, C. (2016). Jupyter Notebooks — a publishing format for reproducible computational workflows. In: Positioning and Power in Academic Publishing: Players, Agents and Agendas. IOS Press, 87–90.</w:t>
      </w:r>
    </w:p>
    <w:p>
      <w:pPr>
        <w:spacing w:after="120" w:line="240"/>
        <w:ind w:left="504" w:hanging="504"/>
        <w:jc w:val="left"/>
      </w:pPr>
      <w:r>
        <w:rPr>
          <w:rFonts w:ascii="Times New Roman" w:cs="Times New Roman" w:eastAsia="Times New Roman" w:hAnsi="Times New Roman"/>
          <w:color w:val="000000"/>
          <w:sz w:val="21"/>
          <w:szCs w:val="21"/>
        </w:rPr>
        <w:t xml:space="preserve">Lewis, A., Oliver, S., Lymburner, L., Evans, B., Wyborn, L., Mueller, N., Raevksi, G., Hooke, J., Woodcock, R., Sixsmith, J., Wu, W., Tan, P., Li, F., Killough, B., Minchin, S., Roberts, D., Ayers, D., Bala, B., Dwyer, J., Dekker, A., et al. (2017). The Australian Geoscience Data Cube — foundations and lessons learned. Remote Sensing of Environment, 202, 276–292.</w:t>
      </w:r>
    </w:p>
    <w:p>
      <w:pPr>
        <w:spacing w:after="120" w:line="240"/>
        <w:ind w:left="504" w:hanging="504"/>
        <w:jc w:val="left"/>
      </w:pPr>
      <w:r>
        <w:rPr>
          <w:rFonts w:ascii="Times New Roman" w:cs="Times New Roman" w:eastAsia="Times New Roman" w:hAnsi="Times New Roman"/>
          <w:color w:val="000000"/>
          <w:sz w:val="21"/>
          <w:szCs w:val="21"/>
        </w:rPr>
        <w:t xml:space="preserve">Li, J., Roy, D.P. (2017). A global analysis of Sentinel-2A, Sentinel-2B and Landsat-8 data revisit intervals and implications for terrestrial monitoring. Remote Sensing, 9(9), 902.</w:t>
      </w:r>
    </w:p>
    <w:p>
      <w:pPr>
        <w:spacing w:after="120" w:line="240"/>
        <w:ind w:left="504" w:hanging="504"/>
        <w:jc w:val="left"/>
      </w:pPr>
      <w:r>
        <w:rPr>
          <w:rFonts w:ascii="Times New Roman" w:cs="Times New Roman" w:eastAsia="Times New Roman" w:hAnsi="Times New Roman"/>
          <w:color w:val="000000"/>
          <w:sz w:val="21"/>
          <w:szCs w:val="21"/>
        </w:rPr>
        <w:t xml:space="preserve">Masek, J.G., Wulder, M.A., Markham, B., McCorkel, J., Crawford, C.J., Storey, J., Jenstrom, D.T. (2020). Landsat 9: empowering open science and applications through continuity. Remote Sensing of Environment, 248, 111968.</w:t>
      </w:r>
    </w:p>
    <w:p>
      <w:pPr>
        <w:spacing w:after="120" w:line="240"/>
        <w:ind w:left="504" w:hanging="504"/>
        <w:jc w:val="left"/>
      </w:pPr>
      <w:r>
        <w:rPr>
          <w:rFonts w:ascii="Times New Roman" w:cs="Times New Roman" w:eastAsia="Times New Roman" w:hAnsi="Times New Roman"/>
          <w:color w:val="000000"/>
          <w:sz w:val="21"/>
          <w:szCs w:val="21"/>
        </w:rPr>
        <w:t xml:space="preserve">McKinney, W. (2010). Data structures for statistical computing in Python. In: Proceedings of the 9th Python in Science Conference, 56–61.</w:t>
      </w:r>
    </w:p>
    <w:p>
      <w:pPr>
        <w:spacing w:after="120" w:line="240"/>
        <w:ind w:left="504" w:hanging="504"/>
        <w:jc w:val="left"/>
      </w:pPr>
      <w:r>
        <w:rPr>
          <w:rFonts w:ascii="Times New Roman" w:cs="Times New Roman" w:eastAsia="Times New Roman" w:hAnsi="Times New Roman"/>
          <w:color w:val="000000"/>
          <w:sz w:val="21"/>
          <w:szCs w:val="21"/>
        </w:rPr>
        <w:t xml:space="preserve">Rosen, P.A., Hensley, S., Shaffer, S., Edelstein, W., Kim, Y., Kumar, R., Misra, T., Bhan, R., Satish, R., Sagi, R. (2017). The NASA-ISRO SAR (NISAR) mission dual-band radar instrument preliminary design. In: IEEE International Geoscience and Remote Sensing Symposium (IGARSS), 3832–3835.</w:t>
      </w:r>
    </w:p>
    <w:p>
      <w:pPr>
        <w:spacing w:after="120" w:line="240"/>
        <w:ind w:left="504" w:hanging="504"/>
        <w:jc w:val="left"/>
      </w:pPr>
      <w:r>
        <w:rPr>
          <w:rFonts w:ascii="Times New Roman" w:cs="Times New Roman" w:eastAsia="Times New Roman" w:hAnsi="Times New Roman"/>
          <w:color w:val="000000"/>
          <w:sz w:val="21"/>
          <w:szCs w:val="21"/>
        </w:rPr>
        <w:t xml:space="preserve">Roy, D.P., Wulder, M.A., Loveland, T.R., Woodcock, C.E., Allen, R.G., Anderson, M.C., Helder, D., Irons, J.R., Johnson, D.M., Kennedy, R., Scambos, T.A., Schaaf, C.B., Schott, J.R., Sheng, Y., Vermote, E.F., Belward, A.S., Bindschadler, R., Cohen, W.B., Gao, F., Hipple, J.D., et al. (2014). Landsat-8: science and product vision for terrestrial global change research. Remote Sensing of Environment, 145, 154–172.</w:t>
      </w:r>
    </w:p>
    <w:p>
      <w:pPr>
        <w:spacing w:after="120" w:line="240"/>
        <w:ind w:left="504" w:hanging="504"/>
        <w:jc w:val="left"/>
      </w:pPr>
      <w:r>
        <w:rPr>
          <w:rFonts w:ascii="Times New Roman" w:cs="Times New Roman" w:eastAsia="Times New Roman" w:hAnsi="Times New Roman"/>
          <w:color w:val="000000"/>
          <w:sz w:val="21"/>
          <w:szCs w:val="21"/>
        </w:rPr>
        <w:t xml:space="preserve">Schramm, M., Pebesma, E., Milenković, M., Foresta, L., Dries, J., Jacob, A., Wagner, W., Mohr, M., Neteler, M., Kadunc, M., Miksa, T., Kempeneers, P., Verbesselt, J., Gößwein, B., Navacchi, C., Lippens, S., Reiche, J. (2021). The openEO API — harmonising the use of Earth observation cloud services using virtual data cube functionalities. Remote Sensing, 13(6), 1125.</w:t>
      </w:r>
    </w:p>
    <w:p>
      <w:pPr>
        <w:spacing w:after="120" w:line="240"/>
        <w:ind w:left="504" w:hanging="504"/>
        <w:jc w:val="left"/>
      </w:pPr>
      <w:r>
        <w:rPr>
          <w:rFonts w:ascii="Times New Roman" w:cs="Times New Roman" w:eastAsia="Times New Roman" w:hAnsi="Times New Roman"/>
          <w:color w:val="000000"/>
          <w:sz w:val="21"/>
          <w:szCs w:val="21"/>
        </w:rPr>
        <w:t xml:space="preserve">Skakun, S., Justice, C.O., Vermote, E., Roger, J.-C. (2018). Transitioning from MODIS to VIIRS: an analysis of inter-consistency of NDVI data sets for agricultural monitoring. International Journal of Remote Sensing, 39(4), 971–992.</w:t>
      </w:r>
    </w:p>
    <w:p>
      <w:pPr>
        <w:spacing w:after="120" w:line="240"/>
        <w:ind w:left="504" w:hanging="504"/>
        <w:jc w:val="left"/>
      </w:pPr>
      <w:r>
        <w:rPr>
          <w:rFonts w:ascii="Times New Roman" w:cs="Times New Roman" w:eastAsia="Times New Roman" w:hAnsi="Times New Roman"/>
          <w:color w:val="000000"/>
          <w:sz w:val="21"/>
          <w:szCs w:val="21"/>
        </w:rPr>
        <w:t xml:space="preserve">Soille, P., Burger, A., De Marchi, D., Kempeneers, P., Rodriguez, D., Syrris, V., Vasilev, V. (2018). A versatile data-intensive computing platform for information retrieval from big geospatial data. Future Generation Computer Systems, 81, 30–40.</w:t>
      </w:r>
    </w:p>
    <w:p>
      <w:pPr>
        <w:spacing w:after="120" w:line="240"/>
        <w:ind w:left="504" w:hanging="504"/>
        <w:jc w:val="left"/>
      </w:pPr>
      <w:r>
        <w:rPr>
          <w:rFonts w:ascii="Times New Roman" w:cs="Times New Roman" w:eastAsia="Times New Roman" w:hAnsi="Times New Roman"/>
          <w:color w:val="000000"/>
          <w:sz w:val="21"/>
          <w:szCs w:val="21"/>
        </w:rPr>
        <w:t xml:space="preserve">Sudmanns, M., Tiede, D., Lang, S., Bergstedt, H., Trost, G., Augustin, H., Baraldi, A., Blaschke, T. (2020). Big Earth data: disruptive changes in Earth observation data management and analysis? International Journal of Digital Earth, 13(7), 832–850.</w:t>
      </w:r>
    </w:p>
    <w:p>
      <w:pPr>
        <w:spacing w:after="120" w:line="240"/>
        <w:ind w:left="504" w:hanging="504"/>
        <w:jc w:val="left"/>
      </w:pPr>
      <w:r>
        <w:rPr>
          <w:rFonts w:ascii="Times New Roman" w:cs="Times New Roman" w:eastAsia="Times New Roman" w:hAnsi="Times New Roman"/>
          <w:color w:val="000000"/>
          <w:sz w:val="21"/>
          <w:szCs w:val="21"/>
        </w:rPr>
        <w:t xml:space="preserve">Tamiminia, H., Salehi, B., Mahdianpari, M., Quackenbush, L., Adeli, S., Brisco, B. (2020). Google Earth Engine for geo-big data applications: a meta-analysis and systematic review. ISPRS Journal of Photogrammetry and Remote Sensing, 164, 152–170.</w:t>
      </w:r>
    </w:p>
    <w:p>
      <w:pPr>
        <w:spacing w:after="120" w:line="240"/>
        <w:ind w:left="504" w:hanging="504"/>
        <w:jc w:val="left"/>
      </w:pPr>
      <w:r>
        <w:rPr>
          <w:rFonts w:ascii="Times New Roman" w:cs="Times New Roman" w:eastAsia="Times New Roman" w:hAnsi="Times New Roman"/>
          <w:color w:val="000000"/>
          <w:sz w:val="21"/>
          <w:szCs w:val="21"/>
        </w:rPr>
        <w:t xml:space="preserve">Torres, R., Snoeij, P., Geudtner, D., Bibby, D., Davidson, M., Attema, E., Potin, P., Rommen, B., Floury, N., Brown, M., Traver, I.N., Deghaye, P., Duesmann, B., Rosich, B., Miranda, N., Bruno, C., L’Abbate, M., Croci, R., Pietropaolo, A., Huchler, M., Rostan, F. (2012). GMES Sentinel-1 mission. Remote Sensing of Environment, 120, 9–24.</w:t>
      </w:r>
    </w:p>
    <w:p>
      <w:pPr>
        <w:spacing w:after="120" w:line="240"/>
        <w:ind w:left="504" w:hanging="504"/>
        <w:jc w:val="left"/>
      </w:pPr>
      <w:r>
        <w:rPr>
          <w:rFonts w:ascii="Times New Roman" w:cs="Times New Roman" w:eastAsia="Times New Roman" w:hAnsi="Times New Roman"/>
          <w:color w:val="000000"/>
          <w:sz w:val="21"/>
          <w:szCs w:val="21"/>
        </w:rPr>
        <w:t xml:space="preserve">Vallado, D.A., Crawford, P., Hujsak, R., Kelso, T.S. (2006). Revisiting Spacetrack Report #3. In: AIAA/AAS Astrodynamics Specialist Conference and Exhibit, AIAA 2006-6753.</w:t>
      </w:r>
    </w:p>
    <w:p>
      <w:pPr>
        <w:spacing w:after="120" w:line="240"/>
        <w:ind w:left="504" w:hanging="504"/>
        <w:jc w:val="left"/>
      </w:pPr>
      <w:r>
        <w:rPr>
          <w:rFonts w:ascii="Times New Roman" w:cs="Times New Roman" w:eastAsia="Times New Roman" w:hAnsi="Times New Roman"/>
          <w:color w:val="000000"/>
          <w:sz w:val="21"/>
          <w:szCs w:val="21"/>
        </w:rPr>
        <w:t xml:space="preserve">Vermote, E., Justice, C., Claverie, M., Franch, B. (2016). Preliminary analysis of the performance of the Landsat 8/OLI land surface reflectance product. Remote Sensing of Environment, 185, 46–56.</w:t>
      </w:r>
    </w:p>
    <w:p>
      <w:pPr>
        <w:spacing w:after="120" w:line="240"/>
        <w:ind w:left="504" w:hanging="504"/>
        <w:jc w:val="left"/>
      </w:pPr>
      <w:r>
        <w:rPr>
          <w:rFonts w:ascii="Times New Roman" w:cs="Times New Roman" w:eastAsia="Times New Roman" w:hAnsi="Times New Roman"/>
          <w:color w:val="000000"/>
          <w:sz w:val="21"/>
          <w:szCs w:val="21"/>
        </w:rPr>
        <w:t xml:space="preserve">Wilkinson, M.D., Dumontier, M., Aalbersberg, I.J., Appleton, G., Axton, M., Baak, A., Blomberg, N., Boiten, J.-W., da Silva Santos, L.B., Bourne, P.E., Bouwman, J., Brookes, A.J., Clark, T., Crosas, M., Dillo, I., Dumon, O., Edmunds, S., Evelo, C.T., Finkers, R., et al. (2016). The FAIR Guiding Principles for scientific data management and stewardship. Scientific Data, 3, 160018.</w:t>
      </w:r>
    </w:p>
    <w:p>
      <w:pPr>
        <w:spacing w:after="120" w:line="240"/>
        <w:ind w:left="504" w:hanging="504"/>
        <w:jc w:val="left"/>
      </w:pPr>
      <w:r>
        <w:rPr>
          <w:rFonts w:ascii="Times New Roman" w:cs="Times New Roman" w:eastAsia="Times New Roman" w:hAnsi="Times New Roman"/>
          <w:color w:val="000000"/>
          <w:sz w:val="21"/>
          <w:szCs w:val="21"/>
        </w:rPr>
        <w:t xml:space="preserve">Wu, Q. (2020). geemap: a Python package for interactive mapping with Google Earth Engine. Journal of Open Source Software, 5(51), 2305.</w:t>
      </w:r>
    </w:p>
    <w:p>
      <w:pPr>
        <w:spacing w:after="120" w:line="240"/>
        <w:ind w:left="504" w:hanging="504"/>
        <w:jc w:val="left"/>
      </w:pPr>
      <w:r>
        <w:rPr>
          <w:rFonts w:ascii="Times New Roman" w:cs="Times New Roman" w:eastAsia="Times New Roman" w:hAnsi="Times New Roman"/>
          <w:color w:val="000000"/>
          <w:sz w:val="21"/>
          <w:szCs w:val="21"/>
        </w:rPr>
        <w:t xml:space="preserve">Wulder, M.A., Loveland, T.R., Roy, D.P., Crawford, C.J., Masek, J.G., Woodcock, C.E., Allen, R.G., Anderson, M.C., Belward, A.S., Cohen, W.B., Dwyer, J., Erb, A., Gao, F., Griffiths, P., Helder, D., Hermosilla, T., Hipple, J.D., Hostert, P., Hughes, M.J., Huntington, J., et al. (2019). Current status of Landsat program, science, and applications. Remote Sensing of Environment, 225, 127–147.</w:t>
      </w:r>
    </w:p>
    <w:p>
      <w:r>
        <w:br w:type="page"/>
      </w:r>
    </w:p>
    <w:p>
      <w:pPr>
        <w:pStyle w:val="Heading1"/>
        <w:spacing w:after="140" w:before="320" w:line="360"/>
      </w:pPr>
      <w:r>
        <w:rPr>
          <w:rFonts w:ascii="Times New Roman" w:cs="Times New Roman" w:eastAsia="Times New Roman" w:hAnsi="Times New Roman"/>
          <w:b/>
          <w:bCs/>
          <w:i w:val="false"/>
          <w:iCs w:val="false"/>
          <w:color w:val="000000"/>
          <w:sz w:val="28"/>
          <w:szCs w:val="28"/>
        </w:rPr>
        <w:t xml:space="preserve">Appendix A. Target journal assessment (author reference — remove before submission)</w:t>
      </w:r>
    </w:p>
    <w:p>
      <w:pPr>
        <w:spacing w:after="140" w:before="0" w:line="360"/>
        <w:jc w:val="both"/>
      </w:pPr>
      <w:r>
        <w:rPr>
          <w:rFonts w:ascii="Times New Roman" w:cs="Times New Roman" w:eastAsia="Times New Roman" w:hAnsi="Times New Roman"/>
          <w:color w:val="000000"/>
          <w:sz w:val="24"/>
          <w:szCs w:val="24"/>
        </w:rPr>
        <w:t xml:space="preserve">The following shortlist was assembled for a software/tools paper of this kind. Impact factors and article processing charges change annually and must be verified on each journal’s own pages at the time of submission; institutional open-access agreements frequently reduce or eliminate the charge, and Mississippi State University library services should be consulted before paying an APC directly.</w:t>
      </w:r>
    </w:p>
    <w:tbl>
      <w:tblPr>
        <w:tblW w:type="dxa" w:w="8800"/>
        <w:tblBorders>
          <w:top w:val="single" w:color="9AA3AB" w:sz="3"/>
          <w:left w:val="none" w:color="FFFFFF" w:sz="0"/>
          <w:bottom w:val="single" w:color="9AA3AB" w:sz="3"/>
          <w:right w:val="none" w:color="FFFFFF" w:sz="0"/>
          <w:insideH w:val="single" w:color="CFD5DA" w:sz="1"/>
          <w:insideV w:val="none" w:color="FFFFFF" w:sz="0"/>
        </w:tblBorders>
      </w:tblPr>
      <w:tblGrid>
        <w:gridCol w:w="2100"/>
        <w:gridCol w:w="1500"/>
        <w:gridCol w:w="1000"/>
        <w:gridCol w:w="1500"/>
        <w:gridCol w:w="2700"/>
      </w:tblGrid>
      <w:tr>
        <w:trPr>
          <w:tblHeader/>
        </w:trPr>
        <w:tc>
          <w:tcPr>
            <w:tcW w:type="dxa" w:w="21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Journal</w:t>
            </w:r>
          </w:p>
        </w:tc>
        <w:tc>
          <w:tcPr>
            <w:tcW w:type="dxa" w:w="15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Publisher</w:t>
            </w:r>
          </w:p>
        </w:tc>
        <w:tc>
          <w:tcPr>
            <w:tcW w:type="dxa" w:w="10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IF (approx.)</w:t>
            </w:r>
          </w:p>
        </w:tc>
        <w:tc>
          <w:tcPr>
            <w:tcW w:type="dxa" w:w="15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APC (approx.)</w:t>
            </w:r>
          </w:p>
        </w:tc>
        <w:tc>
          <w:tcPr>
            <w:tcW w:type="dxa" w:w="2700"/>
            <w:shd w:fill="EAEEF2" w:color="auto" w:val="clear"/>
            <w:tcMar>
              <w:top w:type="dxa" w:w="60"/>
              <w:left w:type="dxa" w:w="90"/>
              <w:bottom w:type="dxa" w:w="60"/>
              <w:right w:type="dxa" w:w="90"/>
            </w:tcMar>
          </w:tcPr>
          <w:p>
            <w:pPr>
              <w:spacing w:after="0" w:line="220"/>
              <w:jc w:val="left"/>
            </w:pPr>
            <w:r>
              <w:rPr>
                <w:rFonts w:ascii="Times New Roman" w:cs="Times New Roman" w:eastAsia="Times New Roman" w:hAnsi="Times New Roman"/>
                <w:b/>
                <w:bCs/>
                <w:color w:val="000000"/>
                <w:sz w:val="18"/>
                <w:szCs w:val="18"/>
              </w:rPr>
              <w:t xml:space="preserve">Fit assessment</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SoftwareX</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Elsevier</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2.4</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Gold OA; verify</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Purpose-built for original software publications; prescribed metadata table matches Table 3. Strongest structural fit. Requires a public repository.</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Computers &amp; Geosciences</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Elsevier</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4.4</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Hybrid</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Explicitly covers geoscientific software and algorithms. Higher impact; expects a substantive methodological contribution — the empirical forecaster qualifies.</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Environmental Modelling &amp; Software</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Elsevier</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4.8</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Hybrid</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High-quality venue for environmental software. Would benefit from a stronger quantitative validation section.</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Remote Sensing (MDPI)</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MDPI</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4.3</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CHF 2,700</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Very common venue for EO tooling; rapid review. Accepts Technical Note. Cost is the main consideration; check institutional IOAP discount.</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Frontiers in Remote Sensing</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Frontiers</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CHF 2,695</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Has a dedicated "Technology and Code" article type that matches this work precisely.</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Big Earth Data</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Taylor &amp; Francis</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3.8</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OA</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Scope explicitly covers EO data infrastructure and access tooling. Good thematic fit.</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Int. J. of Digital Earth</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Taylor &amp; Francis</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~5</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Hybrid</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Suits platform and infrastructure papers; would favour the federation argument over the forecasting one.</w:t>
            </w:r>
          </w:p>
        </w:tc>
      </w:tr>
      <w:tr>
        <w:tc>
          <w:tcPr>
            <w:tcW w:type="dxa" w:w="21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J. of Open Source Software</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Open Journals</w:t>
            </w:r>
          </w:p>
        </w:tc>
        <w:tc>
          <w:tcPr>
            <w:tcW w:type="dxa" w:w="10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n/a</w:t>
            </w:r>
          </w:p>
        </w:tc>
        <w:tc>
          <w:tcPr>
            <w:tcW w:type="dxa" w:w="15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Free</w:t>
            </w:r>
          </w:p>
        </w:tc>
        <w:tc>
          <w:tcPr>
            <w:tcW w:type="dxa" w:w="2700"/>
            <w:tcMar>
              <w:top w:type="dxa" w:w="60"/>
              <w:left w:type="dxa" w:w="90"/>
              <w:bottom w:type="dxa" w:w="60"/>
              <w:right w:type="dxa" w:w="90"/>
            </w:tcMar>
          </w:tcPr>
          <w:p>
            <w:pPr>
              <w:spacing w:after="0" w:line="220"/>
              <w:jc w:val="left"/>
            </w:pPr>
            <w:r>
              <w:rPr>
                <w:rFonts w:ascii="Times New Roman" w:cs="Times New Roman" w:eastAsia="Times New Roman" w:hAnsi="Times New Roman"/>
                <w:b w:val="false"/>
                <w:bCs w:val="false"/>
                <w:color w:val="000000"/>
                <w:sz w:val="18"/>
                <w:szCs w:val="18"/>
              </w:rPr>
              <w:t xml:space="preserve">Free and fast, but notebooks are explicitly out of scope and a 6-month public repository history is required. Viable only after the Section 8.1 refactor.</w:t>
            </w:r>
          </w:p>
        </w:tc>
      </w:tr>
    </w:tbl>
    <w:p>
      <w:pPr>
        <w:spacing w:after="260" w:before="100" w:line="240"/>
        <w:jc w:val="left"/>
      </w:pPr>
      <w:r>
        <w:rPr>
          <w:rFonts w:ascii="Times New Roman" w:cs="Times New Roman" w:eastAsia="Times New Roman" w:hAnsi="Times New Roman"/>
          <w:color w:val="2B2B2B"/>
          <w:sz w:val="19"/>
          <w:szCs w:val="19"/>
        </w:rPr>
        <w:t xml:space="preserve">Table A1. Candidate venues for this manuscript, ordered by structural fit to a software/tools paper.</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A.1. Recommended submission sequence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SoftwareX, as the primary target. Its article structure — a short motivation, a software description, an illustrative example, and a prescribed metadata table — maps almost exactly onto Sections 1, 3, 5, and Table 3 of this manuscript. Its principal requirement is a public code repository with a permanent identifier, which the Section 8.1 packaging work satisfies.</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Computers &amp; Geosciences or Environmental Modelling &amp; Software, if a higher-impact venue is preferred and the validation study proposed in Section 8.2 is completed first. Both expect a methodological contribution beyond the software artefact; the empirical revisit-pattern forecaster, validated against realised acquisitions across multiple sites, supplies one.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Remote Sensing (MDPI) or Frontiers in Remote Sensing, if rapid publication is the priority. Frontiers has a dedicated "Technology and Code" article type that fits this work precisely. Both carry an APC in the CHF 2,200–2,700 range.</w:t>
      </w:r>
    </w:p>
    <w:p>
      <w:pPr>
        <w:pStyle w:val="ListParagraph"/>
        <w:numPr>
          <w:ilvl w:val="0"/>
          <w:numId w:val="3"/>
        </w:numPr>
        <w:spacing w:after="120" w:line="360"/>
        <w:jc w:val="both"/>
      </w:pPr>
      <w:r>
        <w:rPr>
          <w:rFonts w:ascii="Times New Roman" w:cs="Times New Roman" w:eastAsia="Times New Roman" w:hAnsi="Times New Roman"/>
          <w:color w:val="000000"/>
          <w:sz w:val="24"/>
          <w:szCs w:val="24"/>
        </w:rPr>
        <w:t xml:space="preserve">Journal of Open Source Software, only after the Section 8.1 refactor. JOSS explicitly excludes notebooks from scope and requires at least six months of public repository history together with evidence of substantial scholarly effort. It is free and fast, and would suit the packaged library well, but the framework in its current notebook form would be desk-rejected.</w:t>
      </w:r>
    </w:p>
    <w:p>
      <w:pPr>
        <w:pStyle w:val="Heading2"/>
        <w:spacing w:after="140" w:before="260" w:line="360"/>
      </w:pPr>
      <w:r>
        <w:rPr>
          <w:rFonts w:ascii="Times New Roman" w:cs="Times New Roman" w:eastAsia="Times New Roman" w:hAnsi="Times New Roman"/>
          <w:b/>
          <w:bCs/>
          <w:i w:val="false"/>
          <w:iCs w:val="false"/>
          <w:color w:val="000000"/>
          <w:sz w:val="25"/>
          <w:szCs w:val="25"/>
        </w:rPr>
        <w:t xml:space="preserve">A.2. Preparation checklist</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Verify every reference. </w:t>
      </w:r>
      <w:r>
        <w:rPr>
          <w:rFonts w:ascii="Times New Roman" w:cs="Times New Roman" w:eastAsia="Times New Roman" w:hAnsi="Times New Roman"/>
          <w:color w:val="000000"/>
          <w:sz w:val="24"/>
          <w:szCs w:val="24"/>
        </w:rPr>
        <w:t xml:space="preserve">The reference list was assembled from well-established literature but every DOI, volume, and page range must be checked against the publisher record before submission.</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Complete the placeholders. </w:t>
      </w:r>
      <w:r>
        <w:rPr>
          <w:rFonts w:ascii="Times New Roman" w:cs="Times New Roman" w:eastAsia="Times New Roman" w:hAnsi="Times New Roman"/>
          <w:color w:val="000000"/>
          <w:sz w:val="24"/>
          <w:szCs w:val="24"/>
        </w:rPr>
        <w:t xml:space="preserve">Author name and affiliation, repository URL, licence, Zenodo DOI, funding, and the CRediT statement are marked in square brackets throughout.</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Fix the dependency declaration. </w:t>
      </w:r>
      <w:r>
        <w:rPr>
          <w:rFonts w:ascii="Times New Roman" w:cs="Times New Roman" w:eastAsia="Times New Roman" w:hAnsi="Times New Roman"/>
          <w:color w:val="000000"/>
          <w:sz w:val="24"/>
          <w:szCs w:val="24"/>
        </w:rPr>
        <w:t xml:space="preserve">The current requirements file omits several imported libraries; a reviewer attempting a clean install will fail. This is the single most likely cause of a reproducibility objection.</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Archive a release. </w:t>
      </w:r>
      <w:r>
        <w:rPr>
          <w:rFonts w:ascii="Times New Roman" w:cs="Times New Roman" w:eastAsia="Times New Roman" w:hAnsi="Times New Roman"/>
          <w:color w:val="000000"/>
          <w:sz w:val="24"/>
          <w:szCs w:val="24"/>
        </w:rPr>
        <w:t xml:space="preserve">Mint a Zenodo DOI for the exact version described, and cite that DOI rather than a branch.</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Disclose AI assistance. </w:t>
      </w:r>
      <w:r>
        <w:rPr>
          <w:rFonts w:ascii="Times New Roman" w:cs="Times New Roman" w:eastAsia="Times New Roman" w:hAnsi="Times New Roman"/>
          <w:color w:val="000000"/>
          <w:sz w:val="24"/>
          <w:szCs w:val="24"/>
        </w:rPr>
        <w:t xml:space="preserve">Several venues now require an explicit statement; complete the declaration in the Declarations section according to the target journal’s policy.</w:t>
      </w:r>
    </w:p>
    <w:p>
      <w:pPr>
        <w:pStyle w:val="ListParagraph"/>
        <w:numPr>
          <w:ilvl w:val="0"/>
          <w:numId w:val="2"/>
        </w:numPr>
        <w:spacing w:after="120" w:line="360"/>
        <w:jc w:val="both"/>
      </w:pPr>
      <w:r>
        <w:rPr>
          <w:rFonts w:ascii="Times New Roman" w:cs="Times New Roman" w:eastAsia="Times New Roman" w:hAnsi="Times New Roman"/>
          <w:b/>
          <w:bCs/>
          <w:color w:val="000000"/>
          <w:sz w:val="24"/>
          <w:szCs w:val="24"/>
        </w:rPr>
        <w:t xml:space="preserve">Check the software name. </w:t>
      </w:r>
      <w:r>
        <w:rPr>
          <w:rFonts w:ascii="Times New Roman" w:cs="Times New Roman" w:eastAsia="Times New Roman" w:hAnsi="Times New Roman"/>
          <w:color w:val="000000"/>
          <w:sz w:val="24"/>
          <w:szCs w:val="24"/>
        </w:rPr>
        <w:t xml:space="preserve">Confirm that the chosen name is not already in use on PyPI, GitHub, or in the published literature before committing to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604"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5c0189623b9c48ba14fda60b4d0ae50b0a534f.png"/><Relationship Id="rId9" Type="http://schemas.openxmlformats.org/officeDocument/2006/relationships/image" Target="media/741a19c156401f2a18b9cd10203a72a750bb76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Data Search and Overpass Forecast Toolkit</dc:title>
  <dc:creator>Suraj</dc:creator>
  <cp:lastModifiedBy>Un-named</cp:lastModifiedBy>
  <cp:revision>1</cp:revision>
  <dcterms:created xsi:type="dcterms:W3CDTF">2026-09-18T20:10:52.586Z</dcterms:created>
  <dcterms:modified xsi:type="dcterms:W3CDTF">2026-09-18T20:10:52.596Z</dcterms:modified>
</cp:coreProperties>
</file>

<file path=docProps/custom.xml><?xml version="1.0" encoding="utf-8"?>
<Properties xmlns="http://schemas.openxmlformats.org/officeDocument/2006/custom-properties" xmlns:vt="http://schemas.openxmlformats.org/officeDocument/2006/docPropsVTypes"/>
</file>