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7E8B6D" w14:textId="77777777" w:rsidR="008D5146" w:rsidRDefault="008D5146" w:rsidP="007D437A">
      <w:pPr>
        <w:spacing w:after="0" w:line="360" w:lineRule="auto"/>
        <w:jc w:val="both"/>
        <w:rPr>
          <w:rFonts w:eastAsia="Times New Roman" w:cstheme="minorHAnsi"/>
          <w:color w:val="000000"/>
          <w:sz w:val="18"/>
          <w:szCs w:val="18"/>
        </w:rPr>
      </w:pPr>
    </w:p>
    <w:p w14:paraId="16B7B662" w14:textId="77777777" w:rsidR="008D5146" w:rsidRPr="00FD6741" w:rsidRDefault="008D5146" w:rsidP="00FD6741">
      <w:pPr>
        <w:pStyle w:val="Heading1"/>
      </w:pPr>
      <w:r w:rsidRPr="00FD6741">
        <w:t xml:space="preserve">Model Input Parameters </w:t>
      </w:r>
    </w:p>
    <w:p w14:paraId="468D0B39" w14:textId="77777777" w:rsidR="008D5146" w:rsidRDefault="008D5146" w:rsidP="007D437A">
      <w:pPr>
        <w:spacing w:after="0" w:line="360" w:lineRule="auto"/>
        <w:jc w:val="both"/>
        <w:rPr>
          <w:rFonts w:eastAsia="Times New Roman" w:cstheme="minorHAnsi"/>
          <w:color w:val="000000"/>
          <w:sz w:val="18"/>
          <w:szCs w:val="18"/>
        </w:rPr>
      </w:pPr>
      <w:r>
        <w:rPr>
          <w:rFonts w:eastAsia="Times New Roman" w:cstheme="minorHAnsi"/>
          <w:color w:val="000000"/>
          <w:sz w:val="18"/>
          <w:szCs w:val="18"/>
        </w:rPr>
        <w:t>Table 1.  Input parameters used for the full maternal-</w:t>
      </w:r>
      <w:proofErr w:type="spellStart"/>
      <w:r>
        <w:rPr>
          <w:rFonts w:eastAsia="Times New Roman" w:cstheme="minorHAnsi"/>
          <w:color w:val="000000"/>
          <w:sz w:val="18"/>
          <w:szCs w:val="18"/>
        </w:rPr>
        <w:t>fetal</w:t>
      </w:r>
      <w:proofErr w:type="spellEnd"/>
      <w:r>
        <w:rPr>
          <w:rFonts w:eastAsia="Times New Roman" w:cstheme="minorHAnsi"/>
          <w:color w:val="000000"/>
          <w:sz w:val="18"/>
          <w:szCs w:val="18"/>
        </w:rPr>
        <w:t>-placental PBPK models</w:t>
      </w:r>
    </w:p>
    <w:tbl>
      <w:tblPr>
        <w:tblStyle w:val="PlainTable2"/>
        <w:tblW w:w="4869" w:type="pct"/>
        <w:tblLayout w:type="fixed"/>
        <w:tblLook w:val="06A0" w:firstRow="1" w:lastRow="0" w:firstColumn="1" w:lastColumn="0" w:noHBand="1" w:noVBand="1"/>
      </w:tblPr>
      <w:tblGrid>
        <w:gridCol w:w="285"/>
        <w:gridCol w:w="3117"/>
        <w:gridCol w:w="1280"/>
        <w:gridCol w:w="1130"/>
        <w:gridCol w:w="1559"/>
        <w:gridCol w:w="1419"/>
      </w:tblGrid>
      <w:tr w:rsidR="00477EF7" w:rsidRPr="003F3FFC" w14:paraId="71396B7F" w14:textId="77777777" w:rsidTr="001D5380">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2BF45948" w14:textId="77777777" w:rsidR="008D5146" w:rsidRPr="00130CE2" w:rsidRDefault="008D5146" w:rsidP="003F3FFC">
            <w:pPr>
              <w:rPr>
                <w:rFonts w:ascii="Times New Roman" w:eastAsia="Times New Roman" w:hAnsi="Times New Roman" w:cs="Times New Roman"/>
                <w:sz w:val="20"/>
                <w:szCs w:val="20"/>
              </w:rPr>
            </w:pPr>
          </w:p>
        </w:tc>
        <w:tc>
          <w:tcPr>
            <w:tcW w:w="1773" w:type="pct"/>
            <w:noWrap/>
            <w:hideMark/>
          </w:tcPr>
          <w:p w14:paraId="5811F53F" w14:textId="77777777" w:rsidR="008D5146" w:rsidRPr="00130CE2" w:rsidRDefault="008D5146" w:rsidP="003F3F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0"/>
                <w:szCs w:val="20"/>
              </w:rPr>
            </w:pPr>
            <w:r w:rsidRPr="00130CE2">
              <w:rPr>
                <w:rFonts w:ascii="Calibri" w:eastAsia="Times New Roman" w:hAnsi="Calibri" w:cs="Calibri"/>
                <w:color w:val="000000"/>
                <w:sz w:val="20"/>
                <w:szCs w:val="20"/>
              </w:rPr>
              <w:t>Compound Name</w:t>
            </w:r>
          </w:p>
        </w:tc>
        <w:tc>
          <w:tcPr>
            <w:tcW w:w="728" w:type="pct"/>
            <w:noWrap/>
            <w:hideMark/>
          </w:tcPr>
          <w:p w14:paraId="43FA66C6" w14:textId="77777777" w:rsidR="008D5146" w:rsidRPr="008C1ED3" w:rsidRDefault="008D5146" w:rsidP="003F3F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themeColor="text1"/>
                <w:sz w:val="20"/>
                <w:szCs w:val="20"/>
              </w:rPr>
            </w:pPr>
            <w:r w:rsidRPr="008C1ED3">
              <w:rPr>
                <w:rFonts w:ascii="Calibri" w:eastAsia="Times New Roman" w:hAnsi="Calibri" w:cs="Calibri"/>
                <w:color w:val="000000" w:themeColor="text1"/>
                <w:sz w:val="20"/>
                <w:szCs w:val="20"/>
              </w:rPr>
              <w:t>Acyclovir</w:t>
            </w:r>
            <w:r w:rsidRPr="008C1ED3">
              <w:rPr>
                <w:rFonts w:ascii="Calibri" w:eastAsia="Times New Roman" w:hAnsi="Calibri" w:cs="Calibri"/>
                <w:color w:val="000000" w:themeColor="text1"/>
                <w:sz w:val="16"/>
                <w:szCs w:val="16"/>
              </w:rPr>
              <w:t xml:space="preserve"> </w:t>
            </w:r>
            <w:r w:rsidRPr="008C1ED3">
              <w:rPr>
                <w:rFonts w:ascii="Calibri" w:eastAsia="Times New Roman" w:hAnsi="Calibri" w:cs="Calibri"/>
                <w:b w:val="0"/>
                <w:bCs w:val="0"/>
                <w:noProof/>
                <w:color w:val="000000" w:themeColor="text1"/>
                <w:sz w:val="20"/>
                <w:szCs w:val="20"/>
              </w:rPr>
              <w:t>[1]</w:t>
            </w:r>
          </w:p>
        </w:tc>
        <w:tc>
          <w:tcPr>
            <w:tcW w:w="643" w:type="pct"/>
            <w:noWrap/>
            <w:hideMark/>
          </w:tcPr>
          <w:p w14:paraId="7845A18D" w14:textId="77777777" w:rsidR="008D5146" w:rsidRPr="008C1ED3" w:rsidRDefault="008D5146" w:rsidP="003F3F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themeColor="text1"/>
                <w:sz w:val="20"/>
                <w:szCs w:val="20"/>
              </w:rPr>
            </w:pPr>
          </w:p>
        </w:tc>
        <w:tc>
          <w:tcPr>
            <w:tcW w:w="887" w:type="pct"/>
            <w:noWrap/>
            <w:hideMark/>
          </w:tcPr>
          <w:p w14:paraId="2253A672" w14:textId="77777777" w:rsidR="008D5146" w:rsidRPr="008C1ED3" w:rsidRDefault="008D5146" w:rsidP="003F3F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themeColor="text1"/>
                <w:sz w:val="20"/>
                <w:szCs w:val="20"/>
              </w:rPr>
            </w:pPr>
            <w:r w:rsidRPr="008C1ED3">
              <w:rPr>
                <w:rFonts w:ascii="Calibri" w:eastAsia="Times New Roman" w:hAnsi="Calibri" w:cs="Calibri"/>
                <w:color w:val="000000" w:themeColor="text1"/>
                <w:sz w:val="20"/>
                <w:szCs w:val="20"/>
              </w:rPr>
              <w:t>Lamivudine</w:t>
            </w:r>
          </w:p>
        </w:tc>
        <w:tc>
          <w:tcPr>
            <w:tcW w:w="807" w:type="pct"/>
          </w:tcPr>
          <w:p w14:paraId="7E251F94" w14:textId="77777777" w:rsidR="008D5146" w:rsidRPr="00130CE2" w:rsidRDefault="008D5146" w:rsidP="003F3F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0000"/>
                <w:sz w:val="20"/>
                <w:szCs w:val="20"/>
              </w:rPr>
            </w:pPr>
          </w:p>
        </w:tc>
      </w:tr>
      <w:tr w:rsidR="00362746" w:rsidRPr="003F3FFC" w14:paraId="7EB01D92" w14:textId="77777777" w:rsidTr="00471327">
        <w:trPr>
          <w:trHeight w:val="371"/>
        </w:trPr>
        <w:tc>
          <w:tcPr>
            <w:cnfStyle w:val="001000000000" w:firstRow="0" w:lastRow="0" w:firstColumn="1" w:lastColumn="0" w:oddVBand="0" w:evenVBand="0" w:oddHBand="0" w:evenHBand="0" w:firstRowFirstColumn="0" w:firstRowLastColumn="0" w:lastRowFirstColumn="0" w:lastRowLastColumn="0"/>
            <w:tcW w:w="5000" w:type="pct"/>
            <w:gridSpan w:val="6"/>
            <w:noWrap/>
          </w:tcPr>
          <w:p w14:paraId="273D88A6" w14:textId="149E9850" w:rsidR="00362746" w:rsidRDefault="00362746" w:rsidP="003F3FFC">
            <w:pPr>
              <w:rPr>
                <w:rFonts w:ascii="Calibri" w:eastAsia="Times New Roman" w:hAnsi="Calibri" w:cs="Calibri"/>
                <w:b w:val="0"/>
                <w:bCs w:val="0"/>
                <w:noProof/>
                <w:color w:val="000000"/>
                <w:sz w:val="16"/>
                <w:szCs w:val="16"/>
              </w:rPr>
            </w:pPr>
            <w:proofErr w:type="spellStart"/>
            <w:r w:rsidRPr="00F715CF">
              <w:rPr>
                <w:rFonts w:ascii="Calibri" w:eastAsia="Times New Roman" w:hAnsi="Calibri" w:cs="Calibri"/>
                <w:color w:val="000000"/>
              </w:rPr>
              <w:t>PhysChem</w:t>
            </w:r>
            <w:proofErr w:type="spellEnd"/>
            <w:r w:rsidRPr="00F715CF">
              <w:rPr>
                <w:rFonts w:ascii="Calibri" w:eastAsia="Times New Roman" w:hAnsi="Calibri" w:cs="Calibri"/>
                <w:color w:val="000000"/>
              </w:rPr>
              <w:t xml:space="preserve"> and Blood Binding</w:t>
            </w:r>
          </w:p>
        </w:tc>
      </w:tr>
      <w:tr w:rsidR="00477EF7" w:rsidRPr="003F3FFC" w14:paraId="689A6D94"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val="restart"/>
            <w:noWrap/>
            <w:hideMark/>
          </w:tcPr>
          <w:p w14:paraId="42DDD55B" w14:textId="39085189"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534EE564"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Mol Weight (g/mol)</w:t>
            </w:r>
          </w:p>
        </w:tc>
        <w:tc>
          <w:tcPr>
            <w:tcW w:w="728" w:type="pct"/>
            <w:noWrap/>
            <w:hideMark/>
          </w:tcPr>
          <w:p w14:paraId="14C3054C"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225.200</w:t>
            </w:r>
          </w:p>
        </w:tc>
        <w:tc>
          <w:tcPr>
            <w:tcW w:w="643" w:type="pct"/>
            <w:noWrap/>
            <w:hideMark/>
          </w:tcPr>
          <w:p w14:paraId="18AEF187"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 xml:space="preserve">See </w:t>
            </w:r>
            <w:r w:rsidRPr="00865872">
              <w:rPr>
                <w:rFonts w:ascii="Calibri" w:eastAsia="Times New Roman" w:hAnsi="Calibri" w:cs="Calibri"/>
                <w:b/>
                <w:bCs/>
                <w:noProof/>
                <w:color w:val="000000"/>
                <w:sz w:val="18"/>
                <w:szCs w:val="18"/>
              </w:rPr>
              <w:t>[1]</w:t>
            </w:r>
          </w:p>
        </w:tc>
        <w:tc>
          <w:tcPr>
            <w:tcW w:w="887" w:type="pct"/>
            <w:noWrap/>
            <w:hideMark/>
          </w:tcPr>
          <w:p w14:paraId="0A74955F"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229.300</w:t>
            </w:r>
          </w:p>
        </w:tc>
        <w:tc>
          <w:tcPr>
            <w:tcW w:w="807" w:type="pct"/>
          </w:tcPr>
          <w:p w14:paraId="3593225F"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noProof/>
                <w:color w:val="000000"/>
                <w:sz w:val="18"/>
                <w:szCs w:val="18"/>
              </w:rPr>
              <w:t>[2]</w:t>
            </w:r>
          </w:p>
        </w:tc>
      </w:tr>
      <w:tr w:rsidR="00477EF7" w:rsidRPr="003F3FFC" w14:paraId="55032CA2"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076AA328"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2101E796"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log P</w:t>
            </w:r>
          </w:p>
        </w:tc>
        <w:tc>
          <w:tcPr>
            <w:tcW w:w="728" w:type="pct"/>
            <w:noWrap/>
            <w:hideMark/>
          </w:tcPr>
          <w:p w14:paraId="611E25DB"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-1.560</w:t>
            </w:r>
          </w:p>
        </w:tc>
        <w:tc>
          <w:tcPr>
            <w:tcW w:w="643" w:type="pct"/>
            <w:noWrap/>
            <w:hideMark/>
          </w:tcPr>
          <w:p w14:paraId="5C9F1D85"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5F3C64C9"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-1.400</w:t>
            </w:r>
          </w:p>
        </w:tc>
        <w:tc>
          <w:tcPr>
            <w:tcW w:w="807" w:type="pct"/>
          </w:tcPr>
          <w:p w14:paraId="2AF35B52"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noProof/>
                <w:color w:val="000000"/>
                <w:sz w:val="18"/>
                <w:szCs w:val="18"/>
              </w:rPr>
              <w:t>[2]</w:t>
            </w:r>
          </w:p>
        </w:tc>
      </w:tr>
      <w:tr w:rsidR="00477EF7" w:rsidRPr="003F3FFC" w14:paraId="7B10B101"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75D42681"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66D61307"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Compound Type</w:t>
            </w:r>
          </w:p>
        </w:tc>
        <w:tc>
          <w:tcPr>
            <w:tcW w:w="728" w:type="pct"/>
            <w:noWrap/>
            <w:hideMark/>
          </w:tcPr>
          <w:p w14:paraId="3DA4F099"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Ampholyte</w:t>
            </w:r>
          </w:p>
        </w:tc>
        <w:tc>
          <w:tcPr>
            <w:tcW w:w="643" w:type="pct"/>
            <w:noWrap/>
            <w:hideMark/>
          </w:tcPr>
          <w:p w14:paraId="7BAEFD7D"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033F916F"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Monoprotic Base</w:t>
            </w:r>
          </w:p>
        </w:tc>
        <w:tc>
          <w:tcPr>
            <w:tcW w:w="807" w:type="pct"/>
          </w:tcPr>
          <w:p w14:paraId="38BB0DE4"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7EF7" w:rsidRPr="003F3FFC" w14:paraId="61E0C8D8"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4A6367A7"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628C47E9"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865872">
              <w:rPr>
                <w:rFonts w:ascii="Calibri" w:eastAsia="Times New Roman" w:hAnsi="Calibri" w:cs="Calibri"/>
                <w:b/>
                <w:bCs/>
                <w:color w:val="000000"/>
                <w:sz w:val="18"/>
                <w:szCs w:val="18"/>
              </w:rPr>
              <w:t>pKa</w:t>
            </w:r>
            <w:proofErr w:type="spellEnd"/>
            <w:r w:rsidRPr="00865872">
              <w:rPr>
                <w:rFonts w:ascii="Calibri" w:eastAsia="Times New Roman" w:hAnsi="Calibri" w:cs="Calibri"/>
                <w:b/>
                <w:bCs/>
                <w:color w:val="000000"/>
                <w:sz w:val="18"/>
                <w:szCs w:val="18"/>
              </w:rPr>
              <w:t xml:space="preserve"> 1, </w:t>
            </w:r>
            <w:proofErr w:type="spellStart"/>
            <w:r w:rsidRPr="00865872">
              <w:rPr>
                <w:rFonts w:ascii="Calibri" w:eastAsia="Times New Roman" w:hAnsi="Calibri" w:cs="Calibri"/>
                <w:b/>
                <w:bCs/>
                <w:color w:val="000000"/>
                <w:sz w:val="18"/>
                <w:szCs w:val="18"/>
              </w:rPr>
              <w:t>pKa</w:t>
            </w:r>
            <w:proofErr w:type="spellEnd"/>
            <w:r w:rsidRPr="00865872">
              <w:rPr>
                <w:rFonts w:ascii="Calibri" w:eastAsia="Times New Roman" w:hAnsi="Calibri" w:cs="Calibri"/>
                <w:b/>
                <w:bCs/>
                <w:color w:val="000000"/>
                <w:sz w:val="18"/>
                <w:szCs w:val="18"/>
              </w:rPr>
              <w:t xml:space="preserve"> 2</w:t>
            </w:r>
          </w:p>
        </w:tc>
        <w:tc>
          <w:tcPr>
            <w:tcW w:w="728" w:type="pct"/>
            <w:noWrap/>
            <w:hideMark/>
          </w:tcPr>
          <w:p w14:paraId="3AAF921B"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9.25, 2.27</w:t>
            </w:r>
          </w:p>
        </w:tc>
        <w:tc>
          <w:tcPr>
            <w:tcW w:w="643" w:type="pct"/>
            <w:noWrap/>
            <w:hideMark/>
          </w:tcPr>
          <w:p w14:paraId="7C84F530"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13BF3B69"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4.300</w:t>
            </w:r>
          </w:p>
        </w:tc>
        <w:tc>
          <w:tcPr>
            <w:tcW w:w="807" w:type="pct"/>
          </w:tcPr>
          <w:p w14:paraId="2A56E01F"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noProof/>
                <w:color w:val="000000"/>
                <w:sz w:val="18"/>
                <w:szCs w:val="18"/>
              </w:rPr>
              <w:t>[2]</w:t>
            </w:r>
          </w:p>
        </w:tc>
      </w:tr>
      <w:tr w:rsidR="00477EF7" w:rsidRPr="003F3FFC" w14:paraId="680BE260"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07860088"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3ACF10C3"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B/P</w:t>
            </w:r>
          </w:p>
        </w:tc>
        <w:tc>
          <w:tcPr>
            <w:tcW w:w="728" w:type="pct"/>
            <w:noWrap/>
            <w:hideMark/>
          </w:tcPr>
          <w:p w14:paraId="34C2DAE3"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1.000</w:t>
            </w:r>
          </w:p>
        </w:tc>
        <w:tc>
          <w:tcPr>
            <w:tcW w:w="643" w:type="pct"/>
            <w:noWrap/>
            <w:hideMark/>
          </w:tcPr>
          <w:p w14:paraId="32540C55"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5D69F8DC"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(Simcyp Prediction)</w:t>
            </w:r>
          </w:p>
        </w:tc>
        <w:tc>
          <w:tcPr>
            <w:tcW w:w="807" w:type="pct"/>
          </w:tcPr>
          <w:p w14:paraId="457D03E9"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7EF7" w:rsidRPr="003F3FFC" w14:paraId="1F469781"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2AF869D3"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17007B2D"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Haematocrit</w:t>
            </w:r>
          </w:p>
        </w:tc>
        <w:tc>
          <w:tcPr>
            <w:tcW w:w="728" w:type="pct"/>
            <w:noWrap/>
            <w:hideMark/>
          </w:tcPr>
          <w:p w14:paraId="088237AE"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45.000</w:t>
            </w:r>
          </w:p>
        </w:tc>
        <w:tc>
          <w:tcPr>
            <w:tcW w:w="643" w:type="pct"/>
            <w:noWrap/>
            <w:hideMark/>
          </w:tcPr>
          <w:p w14:paraId="069EC8E2"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148D4232"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45 (Simcyp Prediction)</w:t>
            </w:r>
          </w:p>
        </w:tc>
        <w:tc>
          <w:tcPr>
            <w:tcW w:w="807" w:type="pct"/>
          </w:tcPr>
          <w:p w14:paraId="0A314592"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7EF7" w:rsidRPr="003F3FFC" w14:paraId="569DDB5A"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722F02CE"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108B9BF7"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fu (HAS)</w:t>
            </w:r>
          </w:p>
        </w:tc>
        <w:tc>
          <w:tcPr>
            <w:tcW w:w="728" w:type="pct"/>
            <w:noWrap/>
            <w:hideMark/>
          </w:tcPr>
          <w:p w14:paraId="56EB0169"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0.846</w:t>
            </w:r>
          </w:p>
        </w:tc>
        <w:tc>
          <w:tcPr>
            <w:tcW w:w="643" w:type="pct"/>
            <w:noWrap/>
            <w:hideMark/>
          </w:tcPr>
          <w:p w14:paraId="10A1F935"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30E2147C"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Predicted (QSAR)</w:t>
            </w:r>
          </w:p>
        </w:tc>
        <w:tc>
          <w:tcPr>
            <w:tcW w:w="807" w:type="pct"/>
          </w:tcPr>
          <w:p w14:paraId="6C38B5A8"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1327" w:rsidRPr="003F3FFC" w14:paraId="0A824BD2" w14:textId="77777777" w:rsidTr="00471327">
        <w:trPr>
          <w:trHeight w:val="286"/>
        </w:trPr>
        <w:tc>
          <w:tcPr>
            <w:cnfStyle w:val="001000000000" w:firstRow="0" w:lastRow="0" w:firstColumn="1" w:lastColumn="0" w:oddVBand="0" w:evenVBand="0" w:oddHBand="0" w:evenHBand="0" w:firstRowFirstColumn="0" w:firstRowLastColumn="0" w:lastRowFirstColumn="0" w:lastRowLastColumn="0"/>
            <w:tcW w:w="5000" w:type="pct"/>
            <w:gridSpan w:val="6"/>
            <w:noWrap/>
          </w:tcPr>
          <w:p w14:paraId="5376AAC6" w14:textId="14ADB764" w:rsidR="00471327" w:rsidRPr="003F3FFC" w:rsidRDefault="00471327" w:rsidP="003F3FFC">
            <w:pPr>
              <w:rPr>
                <w:rFonts w:ascii="Calibri" w:eastAsia="Times New Roman" w:hAnsi="Calibri" w:cs="Calibri"/>
                <w:b w:val="0"/>
                <w:bCs w:val="0"/>
                <w:color w:val="000000"/>
                <w:sz w:val="16"/>
                <w:szCs w:val="16"/>
              </w:rPr>
            </w:pPr>
            <w:r w:rsidRPr="00F715CF">
              <w:rPr>
                <w:rFonts w:ascii="Calibri" w:eastAsia="Times New Roman" w:hAnsi="Calibri" w:cs="Calibri"/>
                <w:color w:val="000000"/>
              </w:rPr>
              <w:t>Absorption</w:t>
            </w:r>
          </w:p>
        </w:tc>
      </w:tr>
      <w:tr w:rsidR="00477EF7" w:rsidRPr="003F3FFC" w14:paraId="04FD475C"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val="restart"/>
            <w:noWrap/>
            <w:hideMark/>
          </w:tcPr>
          <w:p w14:paraId="00F4E623" w14:textId="1D02428C"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4E2D8968"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fa (%CV)</w:t>
            </w:r>
          </w:p>
        </w:tc>
        <w:tc>
          <w:tcPr>
            <w:tcW w:w="728" w:type="pct"/>
            <w:noWrap/>
            <w:hideMark/>
          </w:tcPr>
          <w:p w14:paraId="43FD3991"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0.21 (30%)</w:t>
            </w:r>
          </w:p>
        </w:tc>
        <w:tc>
          <w:tcPr>
            <w:tcW w:w="643" w:type="pct"/>
            <w:vMerge w:val="restart"/>
            <w:noWrap/>
            <w:hideMark/>
          </w:tcPr>
          <w:p w14:paraId="64964C5C"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 xml:space="preserve">Optimized </w:t>
            </w:r>
          </w:p>
          <w:p w14:paraId="74FC59B5"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 xml:space="preserve">using </w:t>
            </w:r>
            <w:r w:rsidRPr="00865872">
              <w:rPr>
                <w:rFonts w:ascii="Calibri" w:eastAsia="Times New Roman" w:hAnsi="Calibri" w:cs="Calibri"/>
                <w:b/>
                <w:bCs/>
                <w:noProof/>
                <w:color w:val="000000"/>
                <w:sz w:val="18"/>
                <w:szCs w:val="18"/>
              </w:rPr>
              <w:t>[3]</w:t>
            </w:r>
            <w:r w:rsidRPr="00865872">
              <w:rPr>
                <w:rFonts w:ascii="Calibri" w:eastAsia="Times New Roman" w:hAnsi="Calibri" w:cs="Calibri"/>
                <w:b/>
                <w:bCs/>
                <w:color w:val="000000"/>
                <w:sz w:val="18"/>
                <w:szCs w:val="18"/>
              </w:rPr>
              <w:t xml:space="preserve"> </w:t>
            </w:r>
          </w:p>
        </w:tc>
        <w:tc>
          <w:tcPr>
            <w:tcW w:w="887" w:type="pct"/>
            <w:noWrap/>
            <w:hideMark/>
          </w:tcPr>
          <w:p w14:paraId="100A715D"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1.0 (30%)</w:t>
            </w:r>
          </w:p>
        </w:tc>
        <w:tc>
          <w:tcPr>
            <w:tcW w:w="807" w:type="pct"/>
          </w:tcPr>
          <w:p w14:paraId="7BABB2F4"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7EF7" w:rsidRPr="003F3FFC" w14:paraId="5944D776"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03A74CB2"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44360BF3"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ka (1/h)</w:t>
            </w:r>
          </w:p>
        </w:tc>
        <w:tc>
          <w:tcPr>
            <w:tcW w:w="728" w:type="pct"/>
            <w:noWrap/>
            <w:hideMark/>
          </w:tcPr>
          <w:p w14:paraId="68754776"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0.54 (30%)</w:t>
            </w:r>
          </w:p>
        </w:tc>
        <w:tc>
          <w:tcPr>
            <w:tcW w:w="643" w:type="pct"/>
            <w:vMerge/>
            <w:noWrap/>
            <w:hideMark/>
          </w:tcPr>
          <w:p w14:paraId="76436011"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11C96317"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0.80 (60%)</w:t>
            </w:r>
          </w:p>
        </w:tc>
        <w:tc>
          <w:tcPr>
            <w:tcW w:w="807" w:type="pct"/>
          </w:tcPr>
          <w:p w14:paraId="75EB2705"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 xml:space="preserve">Optimized using </w:t>
            </w:r>
            <w:r w:rsidRPr="00865872">
              <w:rPr>
                <w:rFonts w:ascii="Calibri" w:eastAsia="Times New Roman" w:hAnsi="Calibri" w:cs="Calibri"/>
                <w:b/>
                <w:bCs/>
                <w:noProof/>
                <w:color w:val="000000"/>
                <w:sz w:val="18"/>
                <w:szCs w:val="18"/>
              </w:rPr>
              <w:t>[4]</w:t>
            </w:r>
          </w:p>
        </w:tc>
      </w:tr>
      <w:tr w:rsidR="00477EF7" w:rsidRPr="003F3FFC" w14:paraId="2FCC3332"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410AB264"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526A8F14"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lag time (h) (%CV)</w:t>
            </w:r>
          </w:p>
        </w:tc>
        <w:tc>
          <w:tcPr>
            <w:tcW w:w="728" w:type="pct"/>
            <w:noWrap/>
            <w:hideMark/>
          </w:tcPr>
          <w:p w14:paraId="5CFFC98E"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0.30 (30%)</w:t>
            </w:r>
          </w:p>
        </w:tc>
        <w:tc>
          <w:tcPr>
            <w:tcW w:w="643" w:type="pct"/>
            <w:vMerge/>
            <w:noWrap/>
            <w:hideMark/>
          </w:tcPr>
          <w:p w14:paraId="5BE43DE0"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5E26ACCA"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0.25 (30%)</w:t>
            </w:r>
          </w:p>
        </w:tc>
        <w:tc>
          <w:tcPr>
            <w:tcW w:w="807" w:type="pct"/>
          </w:tcPr>
          <w:p w14:paraId="0CBFA93D"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1327" w:rsidRPr="003F3FFC" w14:paraId="0CD68010" w14:textId="77777777" w:rsidTr="00471327">
        <w:trPr>
          <w:trHeight w:val="286"/>
        </w:trPr>
        <w:tc>
          <w:tcPr>
            <w:cnfStyle w:val="001000000000" w:firstRow="0" w:lastRow="0" w:firstColumn="1" w:lastColumn="0" w:oddVBand="0" w:evenVBand="0" w:oddHBand="0" w:evenHBand="0" w:firstRowFirstColumn="0" w:firstRowLastColumn="0" w:lastRowFirstColumn="0" w:lastRowLastColumn="0"/>
            <w:tcW w:w="5000" w:type="pct"/>
            <w:gridSpan w:val="6"/>
            <w:noWrap/>
          </w:tcPr>
          <w:p w14:paraId="22EA2D3F" w14:textId="536A0769" w:rsidR="00471327" w:rsidRPr="003F3FFC" w:rsidRDefault="00471327" w:rsidP="003F3FFC">
            <w:pPr>
              <w:rPr>
                <w:rFonts w:ascii="Calibri" w:eastAsia="Times New Roman" w:hAnsi="Calibri" w:cs="Calibri"/>
                <w:b w:val="0"/>
                <w:bCs w:val="0"/>
                <w:color w:val="000000"/>
                <w:sz w:val="16"/>
                <w:szCs w:val="16"/>
              </w:rPr>
            </w:pPr>
            <w:r w:rsidRPr="00F715CF">
              <w:rPr>
                <w:rFonts w:ascii="Calibri" w:eastAsia="Times New Roman" w:hAnsi="Calibri" w:cs="Calibri"/>
                <w:color w:val="000000"/>
              </w:rPr>
              <w:t>Distribution</w:t>
            </w:r>
          </w:p>
        </w:tc>
      </w:tr>
      <w:tr w:rsidR="00865872" w:rsidRPr="003F3FFC" w14:paraId="47305777"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val="restart"/>
            <w:noWrap/>
            <w:hideMark/>
          </w:tcPr>
          <w:p w14:paraId="47D4DB2E" w14:textId="25C5784A" w:rsidR="00865872" w:rsidRPr="00130CE2" w:rsidRDefault="00865872" w:rsidP="003F3FFC">
            <w:pPr>
              <w:rPr>
                <w:rFonts w:ascii="Calibri" w:eastAsia="Times New Roman" w:hAnsi="Calibri" w:cs="Calibri"/>
                <w:b w:val="0"/>
                <w:bCs w:val="0"/>
                <w:color w:val="000000"/>
                <w:sz w:val="20"/>
                <w:szCs w:val="20"/>
              </w:rPr>
            </w:pPr>
          </w:p>
        </w:tc>
        <w:tc>
          <w:tcPr>
            <w:tcW w:w="1773" w:type="pct"/>
            <w:noWrap/>
            <w:hideMark/>
          </w:tcPr>
          <w:p w14:paraId="4BE961A1" w14:textId="77777777" w:rsidR="00865872" w:rsidRPr="00865872" w:rsidRDefault="00865872"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Distribution Model</w:t>
            </w:r>
          </w:p>
        </w:tc>
        <w:tc>
          <w:tcPr>
            <w:tcW w:w="1371" w:type="pct"/>
            <w:gridSpan w:val="2"/>
            <w:noWrap/>
            <w:hideMark/>
          </w:tcPr>
          <w:p w14:paraId="3D2D6447" w14:textId="50366869" w:rsidR="00865872" w:rsidRPr="00865872" w:rsidRDefault="00865872"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 xml:space="preserve">Full PBPK Model </w:t>
            </w:r>
          </w:p>
        </w:tc>
        <w:tc>
          <w:tcPr>
            <w:tcW w:w="1694" w:type="pct"/>
            <w:gridSpan w:val="2"/>
            <w:noWrap/>
            <w:hideMark/>
          </w:tcPr>
          <w:p w14:paraId="1881D0B4" w14:textId="32F1843C" w:rsidR="00865872" w:rsidRPr="00865872" w:rsidRDefault="00865872"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Full PBPK Model</w:t>
            </w:r>
          </w:p>
        </w:tc>
      </w:tr>
      <w:tr w:rsidR="0059000D" w:rsidRPr="003F3FFC" w14:paraId="65DB75C0" w14:textId="77777777" w:rsidTr="001D5380">
        <w:trPr>
          <w:trHeight w:val="314"/>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24985469" w14:textId="77777777" w:rsidR="0059000D" w:rsidRPr="00130CE2" w:rsidRDefault="0059000D" w:rsidP="003F3FFC">
            <w:pPr>
              <w:rPr>
                <w:rFonts w:ascii="Calibri" w:eastAsia="Times New Roman" w:hAnsi="Calibri" w:cs="Calibri"/>
                <w:b w:val="0"/>
                <w:bCs w:val="0"/>
                <w:color w:val="000000"/>
                <w:sz w:val="20"/>
                <w:szCs w:val="20"/>
              </w:rPr>
            </w:pPr>
          </w:p>
        </w:tc>
        <w:tc>
          <w:tcPr>
            <w:tcW w:w="1773" w:type="pct"/>
            <w:noWrap/>
            <w:hideMark/>
          </w:tcPr>
          <w:p w14:paraId="02EB145E" w14:textId="77777777" w:rsidR="0059000D" w:rsidRPr="00865872" w:rsidRDefault="0059000D"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865872">
              <w:rPr>
                <w:rFonts w:ascii="Calibri" w:eastAsia="Times New Roman" w:hAnsi="Calibri" w:cs="Calibri"/>
                <w:b/>
                <w:bCs/>
                <w:color w:val="000000"/>
                <w:sz w:val="18"/>
                <w:szCs w:val="18"/>
              </w:rPr>
              <w:t>Vss</w:t>
            </w:r>
            <w:proofErr w:type="spellEnd"/>
            <w:r w:rsidRPr="00865872">
              <w:rPr>
                <w:rFonts w:ascii="Calibri" w:eastAsia="Times New Roman" w:hAnsi="Calibri" w:cs="Calibri"/>
                <w:b/>
                <w:bCs/>
                <w:color w:val="000000"/>
                <w:sz w:val="18"/>
                <w:szCs w:val="18"/>
              </w:rPr>
              <w:t xml:space="preserve"> </w:t>
            </w:r>
          </w:p>
        </w:tc>
        <w:tc>
          <w:tcPr>
            <w:tcW w:w="1371" w:type="pct"/>
            <w:gridSpan w:val="2"/>
            <w:noWrap/>
            <w:hideMark/>
          </w:tcPr>
          <w:p w14:paraId="32FDF9F0" w14:textId="2FA2F2A0" w:rsidR="0059000D" w:rsidRPr="00865872" w:rsidRDefault="0059000D"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Predicted (Method 2)</w:t>
            </w:r>
          </w:p>
        </w:tc>
        <w:tc>
          <w:tcPr>
            <w:tcW w:w="887" w:type="pct"/>
            <w:noWrap/>
            <w:hideMark/>
          </w:tcPr>
          <w:p w14:paraId="546A3551" w14:textId="77777777" w:rsidR="0059000D" w:rsidRPr="00865872" w:rsidRDefault="0059000D"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Predicted (Method 2)</w:t>
            </w:r>
          </w:p>
        </w:tc>
        <w:tc>
          <w:tcPr>
            <w:tcW w:w="807" w:type="pct"/>
          </w:tcPr>
          <w:p w14:paraId="098C490F" w14:textId="77777777" w:rsidR="0059000D" w:rsidRPr="00865872" w:rsidRDefault="0059000D"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7EF7" w:rsidRPr="003F3FFC" w14:paraId="5CF8EBBE"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2F413485"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7388B020"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 xml:space="preserve">Maternal </w:t>
            </w:r>
            <w:proofErr w:type="spellStart"/>
            <w:r w:rsidRPr="00865872">
              <w:rPr>
                <w:rFonts w:ascii="Calibri" w:eastAsia="Times New Roman" w:hAnsi="Calibri" w:cs="Calibri"/>
                <w:b/>
                <w:bCs/>
                <w:color w:val="000000"/>
                <w:sz w:val="18"/>
                <w:szCs w:val="18"/>
              </w:rPr>
              <w:t>Kp</w:t>
            </w:r>
            <w:proofErr w:type="spellEnd"/>
            <w:r w:rsidRPr="00865872">
              <w:rPr>
                <w:rFonts w:ascii="Calibri" w:eastAsia="Times New Roman" w:hAnsi="Calibri" w:cs="Calibri"/>
                <w:b/>
                <w:bCs/>
                <w:color w:val="000000"/>
                <w:sz w:val="18"/>
                <w:szCs w:val="18"/>
              </w:rPr>
              <w:t xml:space="preserve"> Scalar</w:t>
            </w:r>
          </w:p>
        </w:tc>
        <w:tc>
          <w:tcPr>
            <w:tcW w:w="728" w:type="pct"/>
            <w:noWrap/>
            <w:hideMark/>
          </w:tcPr>
          <w:p w14:paraId="5DD9A559"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1.700</w:t>
            </w:r>
          </w:p>
        </w:tc>
        <w:tc>
          <w:tcPr>
            <w:tcW w:w="643" w:type="pct"/>
            <w:noWrap/>
            <w:hideMark/>
          </w:tcPr>
          <w:p w14:paraId="01A92C90"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 xml:space="preserve">See </w:t>
            </w:r>
            <w:r w:rsidRPr="00865872">
              <w:rPr>
                <w:rFonts w:ascii="Calibri" w:eastAsia="Times New Roman" w:hAnsi="Calibri" w:cs="Calibri"/>
                <w:b/>
                <w:bCs/>
                <w:noProof/>
                <w:color w:val="000000"/>
                <w:sz w:val="18"/>
                <w:szCs w:val="18"/>
              </w:rPr>
              <w:t>[1]</w:t>
            </w:r>
          </w:p>
        </w:tc>
        <w:tc>
          <w:tcPr>
            <w:tcW w:w="887" w:type="pct"/>
            <w:noWrap/>
            <w:hideMark/>
          </w:tcPr>
          <w:p w14:paraId="521F52FF"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65872">
              <w:rPr>
                <w:rFonts w:ascii="Calibri" w:eastAsia="Times New Roman" w:hAnsi="Calibri" w:cs="Calibri"/>
                <w:b/>
                <w:bCs/>
                <w:color w:val="000000"/>
                <w:sz w:val="18"/>
                <w:szCs w:val="18"/>
              </w:rPr>
              <w:t>2.000</w:t>
            </w:r>
          </w:p>
        </w:tc>
        <w:tc>
          <w:tcPr>
            <w:tcW w:w="807" w:type="pct"/>
          </w:tcPr>
          <w:p w14:paraId="16BFF3CE" w14:textId="77777777" w:rsidR="008D5146" w:rsidRPr="00865872"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1327" w:rsidRPr="003F3FFC" w14:paraId="0003ABB7" w14:textId="77777777" w:rsidTr="00471327">
        <w:trPr>
          <w:trHeight w:val="286"/>
        </w:trPr>
        <w:tc>
          <w:tcPr>
            <w:cnfStyle w:val="001000000000" w:firstRow="0" w:lastRow="0" w:firstColumn="1" w:lastColumn="0" w:oddVBand="0" w:evenVBand="0" w:oddHBand="0" w:evenHBand="0" w:firstRowFirstColumn="0" w:firstRowLastColumn="0" w:lastRowFirstColumn="0" w:lastRowLastColumn="0"/>
            <w:tcW w:w="5000" w:type="pct"/>
            <w:gridSpan w:val="6"/>
            <w:noWrap/>
          </w:tcPr>
          <w:p w14:paraId="7DE2C745" w14:textId="73218101" w:rsidR="00471327" w:rsidRPr="00F715CF" w:rsidRDefault="00471327" w:rsidP="003F3FFC">
            <w:pPr>
              <w:rPr>
                <w:rFonts w:ascii="Calibri" w:eastAsia="Times New Roman" w:hAnsi="Calibri" w:cs="Calibri"/>
                <w:b w:val="0"/>
                <w:bCs w:val="0"/>
                <w:color w:val="000000"/>
              </w:rPr>
            </w:pPr>
            <w:r w:rsidRPr="00F715CF">
              <w:rPr>
                <w:rFonts w:ascii="Calibri" w:eastAsia="Times New Roman" w:hAnsi="Calibri" w:cs="Calibri"/>
                <w:color w:val="000000"/>
              </w:rPr>
              <w:t>Elimination</w:t>
            </w:r>
          </w:p>
        </w:tc>
      </w:tr>
      <w:tr w:rsidR="00477EF7" w:rsidRPr="003F3FFC" w14:paraId="6C4E6DB0"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val="restart"/>
            <w:noWrap/>
            <w:hideMark/>
          </w:tcPr>
          <w:p w14:paraId="3800FDCA" w14:textId="77777777" w:rsidR="008D5146" w:rsidRPr="00130CE2" w:rsidRDefault="008D5146" w:rsidP="003F3FFC">
            <w:pPr>
              <w:rPr>
                <w:rFonts w:ascii="Calibri" w:eastAsia="Times New Roman" w:hAnsi="Calibri" w:cs="Calibri"/>
                <w:b w:val="0"/>
                <w:bCs w:val="0"/>
                <w:color w:val="000000"/>
                <w:sz w:val="20"/>
                <w:szCs w:val="20"/>
              </w:rPr>
            </w:pPr>
          </w:p>
          <w:p w14:paraId="19150C0C"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577BDDC8"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 xml:space="preserve">HLM </w:t>
            </w:r>
            <w:proofErr w:type="spellStart"/>
            <w:r w:rsidRPr="0059000D">
              <w:rPr>
                <w:rFonts w:ascii="Calibri" w:eastAsia="Times New Roman" w:hAnsi="Calibri" w:cs="Calibri"/>
                <w:b/>
                <w:bCs/>
                <w:color w:val="000000"/>
                <w:sz w:val="18"/>
                <w:szCs w:val="18"/>
              </w:rPr>
              <w:t>CLint</w:t>
            </w:r>
            <w:proofErr w:type="spellEnd"/>
            <w:r w:rsidRPr="0059000D">
              <w:rPr>
                <w:rFonts w:ascii="Calibri" w:eastAsia="Times New Roman" w:hAnsi="Calibri" w:cs="Calibri"/>
                <w:b/>
                <w:bCs/>
                <w:color w:val="000000"/>
                <w:sz w:val="18"/>
                <w:szCs w:val="18"/>
              </w:rPr>
              <w:t xml:space="preserve"> (</w:t>
            </w:r>
            <w:proofErr w:type="spellStart"/>
            <w:r w:rsidRPr="0059000D">
              <w:rPr>
                <w:rFonts w:ascii="Calibri" w:eastAsia="Times New Roman" w:hAnsi="Calibri" w:cs="Calibri"/>
                <w:b/>
                <w:bCs/>
                <w:color w:val="000000"/>
                <w:sz w:val="18"/>
                <w:szCs w:val="18"/>
              </w:rPr>
              <w:t>μL</w:t>
            </w:r>
            <w:proofErr w:type="spellEnd"/>
            <w:r w:rsidRPr="0059000D">
              <w:rPr>
                <w:rFonts w:ascii="Calibri" w:eastAsia="Times New Roman" w:hAnsi="Calibri" w:cs="Calibri"/>
                <w:b/>
                <w:bCs/>
                <w:color w:val="000000"/>
                <w:sz w:val="18"/>
                <w:szCs w:val="18"/>
              </w:rPr>
              <w:t>/min/mg protein) (CV %)</w:t>
            </w:r>
          </w:p>
        </w:tc>
        <w:tc>
          <w:tcPr>
            <w:tcW w:w="728" w:type="pct"/>
            <w:noWrap/>
            <w:hideMark/>
          </w:tcPr>
          <w:p w14:paraId="45F82F0D"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1.49 (30%)</w:t>
            </w:r>
          </w:p>
        </w:tc>
        <w:tc>
          <w:tcPr>
            <w:tcW w:w="643" w:type="pct"/>
            <w:noWrap/>
            <w:hideMark/>
          </w:tcPr>
          <w:p w14:paraId="5D31E70E"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 xml:space="preserve">See </w:t>
            </w:r>
            <w:r w:rsidRPr="0059000D">
              <w:rPr>
                <w:rFonts w:ascii="Calibri" w:eastAsia="Times New Roman" w:hAnsi="Calibri" w:cs="Calibri"/>
                <w:b/>
                <w:bCs/>
                <w:noProof/>
                <w:color w:val="000000"/>
                <w:sz w:val="18"/>
                <w:szCs w:val="18"/>
              </w:rPr>
              <w:t>[1]</w:t>
            </w:r>
          </w:p>
        </w:tc>
        <w:tc>
          <w:tcPr>
            <w:tcW w:w="887" w:type="pct"/>
            <w:noWrap/>
            <w:hideMark/>
          </w:tcPr>
          <w:p w14:paraId="5E79DC0D"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7.1 (30%)</w:t>
            </w:r>
          </w:p>
        </w:tc>
        <w:tc>
          <w:tcPr>
            <w:tcW w:w="807" w:type="pct"/>
          </w:tcPr>
          <w:p w14:paraId="03FBC202"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 xml:space="preserve">Retrograde using CL/F </w:t>
            </w:r>
            <w:r w:rsidRPr="0059000D">
              <w:rPr>
                <w:rFonts w:ascii="Calibri" w:eastAsia="Times New Roman" w:hAnsi="Calibri" w:cs="Calibri"/>
                <w:b/>
                <w:bCs/>
                <w:noProof/>
                <w:color w:val="000000"/>
                <w:sz w:val="18"/>
                <w:szCs w:val="18"/>
              </w:rPr>
              <w:t>[5]</w:t>
            </w:r>
          </w:p>
        </w:tc>
      </w:tr>
      <w:tr w:rsidR="00477EF7" w:rsidRPr="003F3FFC" w14:paraId="3342B46C"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vMerge/>
            <w:noWrap/>
            <w:hideMark/>
          </w:tcPr>
          <w:p w14:paraId="17D2E42A" w14:textId="77777777" w:rsidR="008D5146" w:rsidRPr="00130CE2" w:rsidRDefault="008D5146" w:rsidP="003F3FFC">
            <w:pPr>
              <w:rPr>
                <w:rFonts w:ascii="Calibri" w:eastAsia="Times New Roman" w:hAnsi="Calibri" w:cs="Calibri"/>
                <w:b w:val="0"/>
                <w:bCs w:val="0"/>
                <w:color w:val="000000"/>
                <w:sz w:val="20"/>
                <w:szCs w:val="20"/>
              </w:rPr>
            </w:pPr>
          </w:p>
        </w:tc>
        <w:tc>
          <w:tcPr>
            <w:tcW w:w="1773" w:type="pct"/>
            <w:noWrap/>
            <w:hideMark/>
          </w:tcPr>
          <w:p w14:paraId="1087D00A"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Maternal renal CL (L/h)</w:t>
            </w:r>
          </w:p>
        </w:tc>
        <w:tc>
          <w:tcPr>
            <w:tcW w:w="728" w:type="pct"/>
            <w:noWrap/>
            <w:hideMark/>
          </w:tcPr>
          <w:p w14:paraId="4544CCA0"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59000D">
              <w:rPr>
                <w:rFonts w:ascii="Calibri" w:eastAsia="Times New Roman" w:hAnsi="Calibri" w:cs="Calibri"/>
                <w:b/>
                <w:bCs/>
                <w:color w:val="000000"/>
                <w:sz w:val="18"/>
                <w:szCs w:val="18"/>
              </w:rPr>
              <w:t>MechKim</w:t>
            </w:r>
            <w:proofErr w:type="spellEnd"/>
            <w:r w:rsidRPr="0059000D">
              <w:rPr>
                <w:rFonts w:ascii="Calibri" w:eastAsia="Times New Roman" w:hAnsi="Calibri" w:cs="Calibri"/>
                <w:b/>
                <w:bCs/>
                <w:color w:val="000000"/>
                <w:sz w:val="18"/>
                <w:szCs w:val="18"/>
              </w:rPr>
              <w:t xml:space="preserve"> Model</w:t>
            </w:r>
          </w:p>
        </w:tc>
        <w:tc>
          <w:tcPr>
            <w:tcW w:w="643" w:type="pct"/>
            <w:noWrap/>
            <w:hideMark/>
          </w:tcPr>
          <w:p w14:paraId="7B6AEA6B"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 xml:space="preserve">See </w:t>
            </w:r>
            <w:r w:rsidRPr="0059000D">
              <w:rPr>
                <w:rFonts w:ascii="Calibri" w:eastAsia="Times New Roman" w:hAnsi="Calibri" w:cs="Calibri"/>
                <w:b/>
                <w:bCs/>
                <w:noProof/>
                <w:color w:val="000000"/>
                <w:sz w:val="18"/>
                <w:szCs w:val="18"/>
              </w:rPr>
              <w:t>[1]</w:t>
            </w:r>
          </w:p>
        </w:tc>
        <w:tc>
          <w:tcPr>
            <w:tcW w:w="887" w:type="pct"/>
            <w:noWrap/>
            <w:hideMark/>
          </w:tcPr>
          <w:p w14:paraId="4FAFF1F9"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59000D">
              <w:rPr>
                <w:rFonts w:ascii="Calibri" w:eastAsia="Times New Roman" w:hAnsi="Calibri" w:cs="Calibri"/>
                <w:b/>
                <w:bCs/>
                <w:color w:val="000000"/>
                <w:sz w:val="18"/>
                <w:szCs w:val="18"/>
              </w:rPr>
              <w:t>MechKim</w:t>
            </w:r>
            <w:proofErr w:type="spellEnd"/>
            <w:r w:rsidRPr="0059000D">
              <w:rPr>
                <w:rFonts w:ascii="Calibri" w:eastAsia="Times New Roman" w:hAnsi="Calibri" w:cs="Calibri"/>
                <w:b/>
                <w:bCs/>
                <w:color w:val="000000"/>
                <w:sz w:val="18"/>
                <w:szCs w:val="18"/>
              </w:rPr>
              <w:t xml:space="preserve"> Model</w:t>
            </w:r>
          </w:p>
        </w:tc>
        <w:tc>
          <w:tcPr>
            <w:tcW w:w="807" w:type="pct"/>
          </w:tcPr>
          <w:p w14:paraId="2BE2B4E6" w14:textId="77777777" w:rsidR="008D5146" w:rsidRPr="0059000D" w:rsidRDefault="008D5146"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471327" w:rsidRPr="003F3FFC" w14:paraId="2E41F8EA" w14:textId="77777777" w:rsidTr="00471327">
        <w:trPr>
          <w:trHeight w:val="286"/>
        </w:trPr>
        <w:tc>
          <w:tcPr>
            <w:cnfStyle w:val="001000000000" w:firstRow="0" w:lastRow="0" w:firstColumn="1" w:lastColumn="0" w:oddVBand="0" w:evenVBand="0" w:oddHBand="0" w:evenHBand="0" w:firstRowFirstColumn="0" w:firstRowLastColumn="0" w:lastRowFirstColumn="0" w:lastRowLastColumn="0"/>
            <w:tcW w:w="5000" w:type="pct"/>
            <w:gridSpan w:val="6"/>
            <w:noWrap/>
          </w:tcPr>
          <w:p w14:paraId="0AE27F80" w14:textId="38A90C82" w:rsidR="00471327" w:rsidRPr="00F715CF" w:rsidRDefault="00471327" w:rsidP="003F3FFC">
            <w:pPr>
              <w:rPr>
                <w:rFonts w:ascii="Calibri" w:eastAsia="Times New Roman" w:hAnsi="Calibri" w:cs="Calibri"/>
                <w:b w:val="0"/>
                <w:bCs w:val="0"/>
                <w:color w:val="000000"/>
              </w:rPr>
            </w:pPr>
            <w:r w:rsidRPr="00F715CF">
              <w:rPr>
                <w:rFonts w:ascii="Calibri" w:eastAsia="Times New Roman" w:hAnsi="Calibri" w:cs="Calibri"/>
                <w:color w:val="000000"/>
              </w:rPr>
              <w:t>Mechanistic kidney model Parameters</w:t>
            </w:r>
          </w:p>
        </w:tc>
      </w:tr>
      <w:tr w:rsidR="00923395" w:rsidRPr="003F3FFC" w14:paraId="341771B1"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2110570C" w14:textId="1F901568" w:rsidR="00923395" w:rsidRPr="00130CE2" w:rsidRDefault="00923395" w:rsidP="00130CE2">
            <w:pPr>
              <w:rPr>
                <w:rFonts w:ascii="Calibri" w:eastAsia="Times New Roman" w:hAnsi="Calibri" w:cs="Calibri"/>
                <w:b w:val="0"/>
                <w:bCs w:val="0"/>
                <w:color w:val="000000"/>
                <w:sz w:val="20"/>
                <w:szCs w:val="20"/>
              </w:rPr>
            </w:pPr>
          </w:p>
        </w:tc>
        <w:tc>
          <w:tcPr>
            <w:tcW w:w="1773" w:type="pct"/>
            <w:noWrap/>
            <w:hideMark/>
          </w:tcPr>
          <w:p w14:paraId="0AE82999"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fu Kidney Cell Type</w:t>
            </w:r>
          </w:p>
        </w:tc>
        <w:tc>
          <w:tcPr>
            <w:tcW w:w="728" w:type="pct"/>
            <w:noWrap/>
            <w:hideMark/>
          </w:tcPr>
          <w:p w14:paraId="07909BF1"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Predicted</w:t>
            </w:r>
          </w:p>
        </w:tc>
        <w:tc>
          <w:tcPr>
            <w:tcW w:w="643" w:type="pct"/>
            <w:noWrap/>
            <w:hideMark/>
          </w:tcPr>
          <w:p w14:paraId="51BB195B"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11C8A9BA"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Predicted</w:t>
            </w:r>
          </w:p>
        </w:tc>
        <w:tc>
          <w:tcPr>
            <w:tcW w:w="807" w:type="pct"/>
          </w:tcPr>
          <w:p w14:paraId="5A240D1A"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5A9C4F69"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2716593"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53527CD0"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fu Urine</w:t>
            </w:r>
          </w:p>
        </w:tc>
        <w:tc>
          <w:tcPr>
            <w:tcW w:w="728" w:type="pct"/>
            <w:noWrap/>
            <w:hideMark/>
          </w:tcPr>
          <w:p w14:paraId="1E8B0B30"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1.000</w:t>
            </w:r>
          </w:p>
        </w:tc>
        <w:tc>
          <w:tcPr>
            <w:tcW w:w="643" w:type="pct"/>
            <w:noWrap/>
            <w:hideMark/>
          </w:tcPr>
          <w:p w14:paraId="5738EFD3"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3E55651E"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1.000</w:t>
            </w:r>
          </w:p>
        </w:tc>
        <w:tc>
          <w:tcPr>
            <w:tcW w:w="807" w:type="pct"/>
          </w:tcPr>
          <w:p w14:paraId="6D150637"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1038EBF3"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399F4A7C"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2EF93AA2"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Transporter</w:t>
            </w:r>
          </w:p>
        </w:tc>
        <w:tc>
          <w:tcPr>
            <w:tcW w:w="728" w:type="pct"/>
            <w:noWrap/>
            <w:hideMark/>
          </w:tcPr>
          <w:p w14:paraId="2A4B2C8C"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SLC22A2 (OCT2)</w:t>
            </w:r>
          </w:p>
        </w:tc>
        <w:tc>
          <w:tcPr>
            <w:tcW w:w="643" w:type="pct"/>
            <w:noWrap/>
            <w:hideMark/>
          </w:tcPr>
          <w:p w14:paraId="20F8CC94"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03CD1BD1"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SLC22A2 (OCT2)</w:t>
            </w:r>
          </w:p>
        </w:tc>
        <w:tc>
          <w:tcPr>
            <w:tcW w:w="807" w:type="pct"/>
          </w:tcPr>
          <w:p w14:paraId="6EB0D06E"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7F1F6E11"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72C0709D"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5BAD1EBC"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Location</w:t>
            </w:r>
          </w:p>
        </w:tc>
        <w:tc>
          <w:tcPr>
            <w:tcW w:w="728" w:type="pct"/>
            <w:noWrap/>
            <w:hideMark/>
          </w:tcPr>
          <w:p w14:paraId="1B80FB20"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Basolateral/Uptake</w:t>
            </w:r>
          </w:p>
        </w:tc>
        <w:tc>
          <w:tcPr>
            <w:tcW w:w="643" w:type="pct"/>
            <w:noWrap/>
            <w:hideMark/>
          </w:tcPr>
          <w:p w14:paraId="3E2EB286"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2083857D"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Basolateral/Uptake</w:t>
            </w:r>
          </w:p>
        </w:tc>
        <w:tc>
          <w:tcPr>
            <w:tcW w:w="807" w:type="pct"/>
          </w:tcPr>
          <w:p w14:paraId="70A4D8D6"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756CBF4A"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73CE8AC4"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55AE8680"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lang w:val="fr-FR"/>
              </w:rPr>
            </w:pPr>
            <w:proofErr w:type="spellStart"/>
            <w:proofErr w:type="gramStart"/>
            <w:r w:rsidRPr="0059000D">
              <w:rPr>
                <w:rFonts w:ascii="Calibri" w:eastAsia="Times New Roman" w:hAnsi="Calibri" w:cs="Calibri"/>
                <w:b/>
                <w:bCs/>
                <w:color w:val="000000"/>
                <w:sz w:val="18"/>
                <w:szCs w:val="18"/>
                <w:lang w:val="fr-FR"/>
              </w:rPr>
              <w:t>CLint,T</w:t>
            </w:r>
            <w:proofErr w:type="spellEnd"/>
            <w:proofErr w:type="gramEnd"/>
            <w:r w:rsidRPr="0059000D">
              <w:rPr>
                <w:rFonts w:ascii="Calibri" w:eastAsia="Times New Roman" w:hAnsi="Calibri" w:cs="Calibri"/>
                <w:b/>
                <w:bCs/>
                <w:color w:val="000000"/>
                <w:sz w:val="18"/>
                <w:szCs w:val="18"/>
                <w:lang w:val="fr-FR"/>
              </w:rPr>
              <w:t xml:space="preserve"> (µL/min/10</w:t>
            </w:r>
            <w:r w:rsidRPr="0059000D">
              <w:rPr>
                <w:rFonts w:ascii="Calibri" w:eastAsia="Times New Roman" w:hAnsi="Calibri" w:cs="Calibri"/>
                <w:b/>
                <w:bCs/>
                <w:color w:val="000000"/>
                <w:sz w:val="18"/>
                <w:szCs w:val="18"/>
                <w:vertAlign w:val="superscript"/>
                <w:lang w:val="fr-FR"/>
              </w:rPr>
              <w:t>6</w:t>
            </w:r>
            <w:r w:rsidRPr="0059000D">
              <w:rPr>
                <w:rFonts w:ascii="Calibri" w:eastAsia="Times New Roman" w:hAnsi="Calibri" w:cs="Calibri"/>
                <w:b/>
                <w:bCs/>
                <w:color w:val="000000"/>
                <w:sz w:val="18"/>
                <w:szCs w:val="18"/>
                <w:lang w:val="fr-FR"/>
              </w:rPr>
              <w:t>cells)</w:t>
            </w:r>
          </w:p>
        </w:tc>
        <w:tc>
          <w:tcPr>
            <w:tcW w:w="728" w:type="pct"/>
            <w:noWrap/>
            <w:hideMark/>
          </w:tcPr>
          <w:p w14:paraId="236ABBBC"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14.000</w:t>
            </w:r>
          </w:p>
        </w:tc>
        <w:tc>
          <w:tcPr>
            <w:tcW w:w="643" w:type="pct"/>
            <w:noWrap/>
            <w:hideMark/>
          </w:tcPr>
          <w:p w14:paraId="50B0EFF7"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2EF2BA50"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12.000</w:t>
            </w:r>
          </w:p>
        </w:tc>
        <w:tc>
          <w:tcPr>
            <w:tcW w:w="807" w:type="pct"/>
          </w:tcPr>
          <w:p w14:paraId="30E251E6"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 xml:space="preserve">Optimized using </w:t>
            </w:r>
            <w:r w:rsidRPr="0059000D">
              <w:rPr>
                <w:rFonts w:ascii="Calibri" w:eastAsia="Times New Roman" w:hAnsi="Calibri" w:cs="Calibri"/>
                <w:b/>
                <w:bCs/>
                <w:noProof/>
                <w:color w:val="000000"/>
                <w:sz w:val="18"/>
                <w:szCs w:val="18"/>
              </w:rPr>
              <w:t>[6]</w:t>
            </w:r>
          </w:p>
        </w:tc>
      </w:tr>
      <w:tr w:rsidR="00923395" w:rsidRPr="003F3FFC" w14:paraId="3E169404"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67F378CF"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026E9204"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RAF/REF</w:t>
            </w:r>
          </w:p>
        </w:tc>
        <w:tc>
          <w:tcPr>
            <w:tcW w:w="728" w:type="pct"/>
            <w:noWrap/>
            <w:hideMark/>
          </w:tcPr>
          <w:p w14:paraId="66E45DBF"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1.000</w:t>
            </w:r>
          </w:p>
        </w:tc>
        <w:tc>
          <w:tcPr>
            <w:tcW w:w="643" w:type="pct"/>
            <w:noWrap/>
            <w:hideMark/>
          </w:tcPr>
          <w:p w14:paraId="61ED4E5D"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67E43ECB"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1.000</w:t>
            </w:r>
          </w:p>
        </w:tc>
        <w:tc>
          <w:tcPr>
            <w:tcW w:w="807" w:type="pct"/>
          </w:tcPr>
          <w:p w14:paraId="3A49D8FF"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48D939D2"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3392E14"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43A979D3"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lang w:val="fr-FR"/>
              </w:rPr>
            </w:pPr>
            <w:r w:rsidRPr="0059000D">
              <w:rPr>
                <w:rFonts w:ascii="Calibri" w:eastAsia="Times New Roman" w:hAnsi="Calibri" w:cs="Calibri"/>
                <w:b/>
                <w:bCs/>
                <w:color w:val="000000"/>
                <w:sz w:val="18"/>
                <w:szCs w:val="18"/>
              </w:rPr>
              <w:t>Transporter</w:t>
            </w:r>
          </w:p>
        </w:tc>
        <w:tc>
          <w:tcPr>
            <w:tcW w:w="728" w:type="pct"/>
            <w:noWrap/>
            <w:hideMark/>
          </w:tcPr>
          <w:p w14:paraId="57B37536"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SLC47As (MATEs)</w:t>
            </w:r>
          </w:p>
        </w:tc>
        <w:tc>
          <w:tcPr>
            <w:tcW w:w="643" w:type="pct"/>
            <w:noWrap/>
            <w:hideMark/>
          </w:tcPr>
          <w:p w14:paraId="1AA47621"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32549DD7"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SLC47As (MATEs)</w:t>
            </w:r>
          </w:p>
        </w:tc>
        <w:tc>
          <w:tcPr>
            <w:tcW w:w="807" w:type="pct"/>
          </w:tcPr>
          <w:p w14:paraId="73381060"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771C1547"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508C0C5F"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27C3859C"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lang w:val="fr-FR"/>
              </w:rPr>
            </w:pPr>
            <w:r w:rsidRPr="0059000D">
              <w:rPr>
                <w:rFonts w:ascii="Calibri" w:eastAsia="Times New Roman" w:hAnsi="Calibri" w:cs="Calibri"/>
                <w:b/>
                <w:bCs/>
                <w:color w:val="000000"/>
                <w:sz w:val="18"/>
                <w:szCs w:val="18"/>
              </w:rPr>
              <w:t>Location/Function</w:t>
            </w:r>
          </w:p>
        </w:tc>
        <w:tc>
          <w:tcPr>
            <w:tcW w:w="728" w:type="pct"/>
            <w:noWrap/>
            <w:hideMark/>
          </w:tcPr>
          <w:p w14:paraId="12E97722"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Apical/efflux</w:t>
            </w:r>
          </w:p>
        </w:tc>
        <w:tc>
          <w:tcPr>
            <w:tcW w:w="643" w:type="pct"/>
            <w:noWrap/>
            <w:hideMark/>
          </w:tcPr>
          <w:p w14:paraId="218C1571"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161F4B79"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Apical/efflux</w:t>
            </w:r>
          </w:p>
        </w:tc>
        <w:tc>
          <w:tcPr>
            <w:tcW w:w="807" w:type="pct"/>
          </w:tcPr>
          <w:p w14:paraId="499F1602"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7E9D0FB0"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B693ABC"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5EFEEE2D"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lang w:val="fr-FR"/>
              </w:rPr>
            </w:pPr>
            <w:proofErr w:type="spellStart"/>
            <w:proofErr w:type="gramStart"/>
            <w:r w:rsidRPr="0059000D">
              <w:rPr>
                <w:rFonts w:ascii="Calibri" w:eastAsia="Times New Roman" w:hAnsi="Calibri" w:cs="Calibri"/>
                <w:b/>
                <w:bCs/>
                <w:color w:val="000000"/>
                <w:sz w:val="18"/>
                <w:szCs w:val="18"/>
                <w:lang w:val="fr-FR"/>
              </w:rPr>
              <w:t>CLint,T</w:t>
            </w:r>
            <w:proofErr w:type="spellEnd"/>
            <w:proofErr w:type="gramEnd"/>
            <w:r w:rsidRPr="0059000D">
              <w:rPr>
                <w:rFonts w:ascii="Calibri" w:eastAsia="Times New Roman" w:hAnsi="Calibri" w:cs="Calibri"/>
                <w:b/>
                <w:bCs/>
                <w:color w:val="000000"/>
                <w:sz w:val="18"/>
                <w:szCs w:val="18"/>
                <w:lang w:val="fr-FR"/>
              </w:rPr>
              <w:t xml:space="preserve"> (µL/min/10</w:t>
            </w:r>
            <w:r w:rsidRPr="0059000D">
              <w:rPr>
                <w:rFonts w:ascii="Calibri" w:eastAsia="Times New Roman" w:hAnsi="Calibri" w:cs="Calibri"/>
                <w:b/>
                <w:bCs/>
                <w:color w:val="000000"/>
                <w:sz w:val="18"/>
                <w:szCs w:val="18"/>
                <w:vertAlign w:val="superscript"/>
                <w:lang w:val="fr-FR"/>
              </w:rPr>
              <w:t>6</w:t>
            </w:r>
            <w:r w:rsidRPr="0059000D">
              <w:rPr>
                <w:rFonts w:ascii="Calibri" w:eastAsia="Times New Roman" w:hAnsi="Calibri" w:cs="Calibri"/>
                <w:b/>
                <w:bCs/>
                <w:color w:val="000000"/>
                <w:sz w:val="18"/>
                <w:szCs w:val="18"/>
                <w:lang w:val="fr-FR"/>
              </w:rPr>
              <w:t>cells)</w:t>
            </w:r>
          </w:p>
        </w:tc>
        <w:tc>
          <w:tcPr>
            <w:tcW w:w="728" w:type="pct"/>
            <w:noWrap/>
            <w:hideMark/>
          </w:tcPr>
          <w:p w14:paraId="750410CE"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1.150</w:t>
            </w:r>
          </w:p>
        </w:tc>
        <w:tc>
          <w:tcPr>
            <w:tcW w:w="643" w:type="pct"/>
            <w:noWrap/>
            <w:hideMark/>
          </w:tcPr>
          <w:p w14:paraId="3805B495"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4DED9ACF"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0.133</w:t>
            </w:r>
          </w:p>
        </w:tc>
        <w:tc>
          <w:tcPr>
            <w:tcW w:w="807" w:type="pct"/>
          </w:tcPr>
          <w:p w14:paraId="2F58D982"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 xml:space="preserve">Optimized using </w:t>
            </w:r>
            <w:r w:rsidRPr="0059000D">
              <w:rPr>
                <w:rFonts w:ascii="Calibri" w:eastAsia="Times New Roman" w:hAnsi="Calibri" w:cs="Calibri"/>
                <w:b/>
                <w:bCs/>
                <w:noProof/>
                <w:color w:val="000000"/>
                <w:sz w:val="18"/>
                <w:szCs w:val="18"/>
              </w:rPr>
              <w:t>[6]</w:t>
            </w:r>
          </w:p>
        </w:tc>
      </w:tr>
      <w:tr w:rsidR="00923395" w:rsidRPr="003F3FFC" w14:paraId="598EA0AE"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6A6FCD5E"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5E2687DB"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RAF/REF</w:t>
            </w:r>
          </w:p>
        </w:tc>
        <w:tc>
          <w:tcPr>
            <w:tcW w:w="728" w:type="pct"/>
            <w:noWrap/>
            <w:hideMark/>
          </w:tcPr>
          <w:p w14:paraId="0736CE4E"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1.000</w:t>
            </w:r>
          </w:p>
        </w:tc>
        <w:tc>
          <w:tcPr>
            <w:tcW w:w="643" w:type="pct"/>
            <w:noWrap/>
            <w:hideMark/>
          </w:tcPr>
          <w:p w14:paraId="5C952F78"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624B0414"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1.000</w:t>
            </w:r>
          </w:p>
        </w:tc>
        <w:tc>
          <w:tcPr>
            <w:tcW w:w="807" w:type="pct"/>
          </w:tcPr>
          <w:p w14:paraId="72E86C46"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r>
      <w:tr w:rsidR="00923395" w:rsidRPr="003F3FFC" w14:paraId="53B3F69C"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4FB718BD"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3E3CE938"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CL</w:t>
            </w:r>
            <w:r w:rsidRPr="0059000D">
              <w:rPr>
                <w:rFonts w:ascii="Calibri" w:eastAsia="Times New Roman" w:hAnsi="Calibri" w:cs="Calibri"/>
                <w:b/>
                <w:bCs/>
                <w:color w:val="000000"/>
                <w:sz w:val="18"/>
                <w:szCs w:val="18"/>
                <w:vertAlign w:val="subscript"/>
              </w:rPr>
              <w:t>PD</w:t>
            </w:r>
            <w:r w:rsidRPr="0059000D">
              <w:rPr>
                <w:rFonts w:ascii="Calibri" w:eastAsia="Times New Roman" w:hAnsi="Calibri" w:cs="Calibri"/>
                <w:b/>
                <w:bCs/>
                <w:color w:val="000000"/>
                <w:sz w:val="18"/>
                <w:szCs w:val="18"/>
              </w:rPr>
              <w:t xml:space="preserve"> basal (blood-to-cell) (mL/min/10</w:t>
            </w:r>
            <w:r w:rsidRPr="0059000D">
              <w:rPr>
                <w:rFonts w:ascii="Calibri" w:eastAsia="Times New Roman" w:hAnsi="Calibri" w:cs="Calibri"/>
                <w:b/>
                <w:bCs/>
                <w:color w:val="000000"/>
                <w:sz w:val="18"/>
                <w:szCs w:val="18"/>
                <w:vertAlign w:val="superscript"/>
              </w:rPr>
              <w:t>6</w:t>
            </w:r>
            <w:r w:rsidRPr="0059000D">
              <w:rPr>
                <w:rFonts w:ascii="Calibri" w:eastAsia="Times New Roman" w:hAnsi="Calibri" w:cs="Calibri"/>
                <w:b/>
                <w:bCs/>
                <w:color w:val="000000"/>
                <w:sz w:val="18"/>
                <w:szCs w:val="18"/>
              </w:rPr>
              <w:t>)</w:t>
            </w:r>
          </w:p>
        </w:tc>
        <w:tc>
          <w:tcPr>
            <w:tcW w:w="728" w:type="pct"/>
            <w:noWrap/>
            <w:hideMark/>
          </w:tcPr>
          <w:p w14:paraId="41CBEC06"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1.13E-04</w:t>
            </w:r>
          </w:p>
        </w:tc>
        <w:tc>
          <w:tcPr>
            <w:tcW w:w="643" w:type="pct"/>
            <w:noWrap/>
            <w:hideMark/>
          </w:tcPr>
          <w:p w14:paraId="472A847C"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45296EE0" w14:textId="77777777"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9.37E-07</w:t>
            </w:r>
          </w:p>
        </w:tc>
        <w:tc>
          <w:tcPr>
            <w:tcW w:w="807" w:type="pct"/>
          </w:tcPr>
          <w:p w14:paraId="618F5B71" w14:textId="07DDF2F1" w:rsidR="00923395" w:rsidRPr="0059000D"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59000D">
              <w:rPr>
                <w:rFonts w:ascii="Calibri" w:eastAsia="Times New Roman" w:hAnsi="Calibri" w:cs="Calibri"/>
                <w:b/>
                <w:bCs/>
                <w:color w:val="000000"/>
                <w:sz w:val="18"/>
                <w:szCs w:val="18"/>
              </w:rPr>
              <w:t>Calculated from Caco-2 cell line permeability</w:t>
            </w:r>
            <w:r w:rsidR="008B2260">
              <w:rPr>
                <w:rFonts w:ascii="Calibri" w:eastAsia="Times New Roman" w:hAnsi="Calibri" w:cs="Calibri"/>
                <w:b/>
                <w:bCs/>
                <w:color w:val="000000"/>
                <w:sz w:val="18"/>
                <w:szCs w:val="18"/>
              </w:rPr>
              <w:t xml:space="preserve"> </w:t>
            </w:r>
            <w:r w:rsidRPr="0059000D">
              <w:rPr>
                <w:rFonts w:ascii="Calibri" w:eastAsia="Times New Roman" w:hAnsi="Calibri" w:cs="Calibri"/>
                <w:b/>
                <w:bCs/>
                <w:noProof/>
                <w:color w:val="000000"/>
                <w:sz w:val="18"/>
                <w:szCs w:val="18"/>
              </w:rPr>
              <w:t>[7]</w:t>
            </w:r>
          </w:p>
        </w:tc>
      </w:tr>
      <w:tr w:rsidR="00FC4476" w:rsidRPr="003F3FFC" w14:paraId="337551BB" w14:textId="77777777" w:rsidTr="00FC4476">
        <w:trPr>
          <w:trHeight w:val="286"/>
        </w:trPr>
        <w:tc>
          <w:tcPr>
            <w:cnfStyle w:val="001000000000" w:firstRow="0" w:lastRow="0" w:firstColumn="1" w:lastColumn="0" w:oddVBand="0" w:evenVBand="0" w:oddHBand="0" w:evenHBand="0" w:firstRowFirstColumn="0" w:firstRowLastColumn="0" w:lastRowFirstColumn="0" w:lastRowLastColumn="0"/>
            <w:tcW w:w="5000" w:type="pct"/>
            <w:gridSpan w:val="6"/>
            <w:noWrap/>
          </w:tcPr>
          <w:p w14:paraId="1A4DBDC1" w14:textId="6D4DDAD0" w:rsidR="00FC4476" w:rsidRPr="00FC4476" w:rsidRDefault="00FC4476" w:rsidP="00F6197D">
            <w:pPr>
              <w:rPr>
                <w:rFonts w:ascii="Calibri" w:eastAsia="Times New Roman" w:hAnsi="Calibri" w:cs="Calibri"/>
                <w:color w:val="000000" w:themeColor="text1"/>
                <w:sz w:val="16"/>
                <w:szCs w:val="16"/>
              </w:rPr>
            </w:pPr>
            <w:proofErr w:type="spellStart"/>
            <w:r w:rsidRPr="00FC4476">
              <w:rPr>
                <w:rFonts w:ascii="Calibri" w:eastAsia="Times New Roman" w:hAnsi="Calibri" w:cs="Calibri"/>
                <w:color w:val="000000" w:themeColor="text1"/>
              </w:rPr>
              <w:lastRenderedPageBreak/>
              <w:t>Feto</w:t>
            </w:r>
            <w:proofErr w:type="spellEnd"/>
            <w:r w:rsidRPr="00FC4476">
              <w:rPr>
                <w:rFonts w:ascii="Calibri" w:eastAsia="Times New Roman" w:hAnsi="Calibri" w:cs="Calibri"/>
                <w:color w:val="000000" w:themeColor="text1"/>
              </w:rPr>
              <w:t>-placental Parameters</w:t>
            </w:r>
          </w:p>
        </w:tc>
      </w:tr>
      <w:tr w:rsidR="00923395" w:rsidRPr="003F3FFC" w14:paraId="6B03D1FD"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tcPr>
          <w:p w14:paraId="3A08A27A" w14:textId="77777777" w:rsidR="00923395" w:rsidRPr="00130CE2" w:rsidRDefault="00923395" w:rsidP="00F6197D">
            <w:pPr>
              <w:rPr>
                <w:rFonts w:ascii="Calibri" w:eastAsia="Times New Roman" w:hAnsi="Calibri" w:cs="Calibri"/>
                <w:b w:val="0"/>
                <w:bCs w:val="0"/>
                <w:color w:val="000000"/>
                <w:sz w:val="20"/>
                <w:szCs w:val="20"/>
              </w:rPr>
            </w:pPr>
          </w:p>
        </w:tc>
        <w:tc>
          <w:tcPr>
            <w:tcW w:w="1773" w:type="pct"/>
            <w:noWrap/>
          </w:tcPr>
          <w:p w14:paraId="784DFA0F" w14:textId="77777777" w:rsidR="00923395" w:rsidRPr="008B2260" w:rsidRDefault="00923395" w:rsidP="00F619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CL</w:t>
            </w:r>
            <w:r w:rsidRPr="008B2260">
              <w:rPr>
                <w:rFonts w:ascii="Calibri" w:eastAsia="Times New Roman" w:hAnsi="Calibri" w:cs="Calibri"/>
                <w:b/>
                <w:bCs/>
                <w:color w:val="000000"/>
                <w:sz w:val="18"/>
                <w:szCs w:val="18"/>
                <w:vertAlign w:val="subscript"/>
              </w:rPr>
              <w:t>PD</w:t>
            </w:r>
            <w:r w:rsidRPr="008B2260">
              <w:rPr>
                <w:rFonts w:ascii="Calibri" w:eastAsia="Times New Roman" w:hAnsi="Calibri" w:cs="Calibri"/>
                <w:b/>
                <w:bCs/>
                <w:color w:val="000000"/>
                <w:sz w:val="18"/>
                <w:szCs w:val="18"/>
              </w:rPr>
              <w:t xml:space="preserve"> apical (cell-to-tubule)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w:t>
            </w:r>
          </w:p>
        </w:tc>
        <w:tc>
          <w:tcPr>
            <w:tcW w:w="728" w:type="pct"/>
            <w:noWrap/>
          </w:tcPr>
          <w:p w14:paraId="627F0630" w14:textId="77777777" w:rsidR="00923395" w:rsidRPr="008B2260" w:rsidRDefault="00923395" w:rsidP="00F619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1.13E-04</w:t>
            </w:r>
          </w:p>
        </w:tc>
        <w:tc>
          <w:tcPr>
            <w:tcW w:w="643" w:type="pct"/>
            <w:noWrap/>
          </w:tcPr>
          <w:p w14:paraId="3E1D3947" w14:textId="77777777" w:rsidR="00923395" w:rsidRPr="008B2260" w:rsidRDefault="00923395" w:rsidP="00F619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tcPr>
          <w:p w14:paraId="022B2A78" w14:textId="77777777" w:rsidR="00923395" w:rsidRPr="008B2260" w:rsidRDefault="00923395" w:rsidP="00F619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4D08F09F" w14:textId="77777777" w:rsidR="00923395" w:rsidRPr="003F3FFC" w:rsidRDefault="00923395" w:rsidP="00F619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01D52331"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C9BB9AB"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4D2E982E"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PT-S1 Value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 xml:space="preserve"> cells)</w:t>
            </w:r>
          </w:p>
        </w:tc>
        <w:tc>
          <w:tcPr>
            <w:tcW w:w="728" w:type="pct"/>
            <w:noWrap/>
            <w:hideMark/>
          </w:tcPr>
          <w:p w14:paraId="0F910C5B"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1.13E-04</w:t>
            </w:r>
          </w:p>
        </w:tc>
        <w:tc>
          <w:tcPr>
            <w:tcW w:w="643" w:type="pct"/>
            <w:noWrap/>
            <w:hideMark/>
          </w:tcPr>
          <w:p w14:paraId="4A93CB43"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22E998C4"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76965F5B" w14:textId="77777777" w:rsidR="00923395" w:rsidRPr="003F3FFC"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074412A6"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68B3CF76"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552AD8B4"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PT-S2 Value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 xml:space="preserve"> cells)</w:t>
            </w:r>
          </w:p>
        </w:tc>
        <w:tc>
          <w:tcPr>
            <w:tcW w:w="728" w:type="pct"/>
            <w:noWrap/>
            <w:hideMark/>
          </w:tcPr>
          <w:p w14:paraId="67C86561"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1.13E-04</w:t>
            </w:r>
          </w:p>
        </w:tc>
        <w:tc>
          <w:tcPr>
            <w:tcW w:w="643" w:type="pct"/>
            <w:noWrap/>
            <w:hideMark/>
          </w:tcPr>
          <w:p w14:paraId="0DE61AF9"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4FA5890A"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1C872285" w14:textId="77777777" w:rsidR="00923395" w:rsidRPr="003F3FFC"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46B0CFE2"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598C24F9"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707346E9"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PT-S3 Value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 xml:space="preserve"> cells)</w:t>
            </w:r>
          </w:p>
        </w:tc>
        <w:tc>
          <w:tcPr>
            <w:tcW w:w="728" w:type="pct"/>
            <w:noWrap/>
            <w:hideMark/>
          </w:tcPr>
          <w:p w14:paraId="11744C69"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1.13E-04</w:t>
            </w:r>
          </w:p>
        </w:tc>
        <w:tc>
          <w:tcPr>
            <w:tcW w:w="643" w:type="pct"/>
            <w:noWrap/>
            <w:hideMark/>
          </w:tcPr>
          <w:p w14:paraId="35A4240C"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7507BA45"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4481E812" w14:textId="77777777" w:rsidR="00923395" w:rsidRPr="003F3FFC"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59CF00FA"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823E6AC"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64551898"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Henle's loop Value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 xml:space="preserve"> cells)</w:t>
            </w:r>
          </w:p>
        </w:tc>
        <w:tc>
          <w:tcPr>
            <w:tcW w:w="728" w:type="pct"/>
            <w:noWrap/>
            <w:hideMark/>
          </w:tcPr>
          <w:p w14:paraId="2F9D5D54"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3.02E-06</w:t>
            </w:r>
          </w:p>
        </w:tc>
        <w:tc>
          <w:tcPr>
            <w:tcW w:w="643" w:type="pct"/>
            <w:noWrap/>
            <w:hideMark/>
          </w:tcPr>
          <w:p w14:paraId="43123EC0"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2DFE206C"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092E8C74" w14:textId="77777777" w:rsidR="00923395" w:rsidRPr="003F3FFC"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36D5BD20"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7565518E"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4AF6B384"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Distal Tubule Value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 xml:space="preserve"> cells)</w:t>
            </w:r>
          </w:p>
        </w:tc>
        <w:tc>
          <w:tcPr>
            <w:tcW w:w="728" w:type="pct"/>
            <w:noWrap/>
            <w:hideMark/>
          </w:tcPr>
          <w:p w14:paraId="75519D66"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3.84E-06</w:t>
            </w:r>
          </w:p>
        </w:tc>
        <w:tc>
          <w:tcPr>
            <w:tcW w:w="643" w:type="pct"/>
            <w:noWrap/>
            <w:hideMark/>
          </w:tcPr>
          <w:p w14:paraId="57105913"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29361408"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1AAB407D" w14:textId="77777777" w:rsidR="00923395" w:rsidRPr="003F3FFC"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4C91EA6B"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40C53391"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68580B54"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Cortical Collect Duct Value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 xml:space="preserve"> cells)</w:t>
            </w:r>
          </w:p>
        </w:tc>
        <w:tc>
          <w:tcPr>
            <w:tcW w:w="728" w:type="pct"/>
            <w:noWrap/>
            <w:hideMark/>
          </w:tcPr>
          <w:p w14:paraId="14B78490"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6.99E-07</w:t>
            </w:r>
          </w:p>
        </w:tc>
        <w:tc>
          <w:tcPr>
            <w:tcW w:w="643" w:type="pct"/>
            <w:noWrap/>
            <w:hideMark/>
          </w:tcPr>
          <w:p w14:paraId="5F654321"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4ACD3961"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3E1F29C3" w14:textId="77777777" w:rsidR="00923395" w:rsidRPr="003F3FFC"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7C81A149"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14DAD6C7" w14:textId="77777777" w:rsidR="00923395" w:rsidRPr="00130CE2" w:rsidRDefault="00923395" w:rsidP="003F3FFC">
            <w:pPr>
              <w:rPr>
                <w:rFonts w:ascii="Calibri" w:eastAsia="Times New Roman" w:hAnsi="Calibri" w:cs="Calibri"/>
                <w:b w:val="0"/>
                <w:bCs w:val="0"/>
                <w:color w:val="000000"/>
                <w:sz w:val="20"/>
                <w:szCs w:val="20"/>
              </w:rPr>
            </w:pPr>
          </w:p>
        </w:tc>
        <w:tc>
          <w:tcPr>
            <w:tcW w:w="1773" w:type="pct"/>
            <w:noWrap/>
            <w:hideMark/>
          </w:tcPr>
          <w:p w14:paraId="2A6E43D8"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Medullary Collect Duct Value (mL/min/10</w:t>
            </w:r>
            <w:r w:rsidRPr="008B2260">
              <w:rPr>
                <w:rFonts w:ascii="Calibri" w:eastAsia="Times New Roman" w:hAnsi="Calibri" w:cs="Calibri"/>
                <w:b/>
                <w:bCs/>
                <w:color w:val="000000"/>
                <w:sz w:val="18"/>
                <w:szCs w:val="18"/>
                <w:vertAlign w:val="superscript"/>
              </w:rPr>
              <w:t>6</w:t>
            </w:r>
            <w:r w:rsidRPr="008B2260">
              <w:rPr>
                <w:rFonts w:ascii="Calibri" w:eastAsia="Times New Roman" w:hAnsi="Calibri" w:cs="Calibri"/>
                <w:b/>
                <w:bCs/>
                <w:color w:val="000000"/>
                <w:sz w:val="18"/>
                <w:szCs w:val="18"/>
              </w:rPr>
              <w:t xml:space="preserve"> cells)</w:t>
            </w:r>
          </w:p>
        </w:tc>
        <w:tc>
          <w:tcPr>
            <w:tcW w:w="728" w:type="pct"/>
            <w:noWrap/>
            <w:hideMark/>
          </w:tcPr>
          <w:p w14:paraId="632D8E1B"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1.42E-07</w:t>
            </w:r>
          </w:p>
        </w:tc>
        <w:tc>
          <w:tcPr>
            <w:tcW w:w="643" w:type="pct"/>
            <w:noWrap/>
            <w:hideMark/>
          </w:tcPr>
          <w:p w14:paraId="65B19D70"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69F1C6A6" w14:textId="77777777" w:rsidR="00923395" w:rsidRPr="008B2260"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9.37E-07</w:t>
            </w:r>
          </w:p>
        </w:tc>
        <w:tc>
          <w:tcPr>
            <w:tcW w:w="807" w:type="pct"/>
          </w:tcPr>
          <w:p w14:paraId="7B5EBCE5" w14:textId="77777777" w:rsidR="00923395" w:rsidRPr="003F3FFC" w:rsidRDefault="00923395" w:rsidP="003F3F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447C1382" w14:textId="77777777" w:rsidTr="001D5380">
        <w:trPr>
          <w:trHeight w:val="85"/>
        </w:trPr>
        <w:tc>
          <w:tcPr>
            <w:cnfStyle w:val="001000000000" w:firstRow="0" w:lastRow="0" w:firstColumn="1" w:lastColumn="0" w:oddVBand="0" w:evenVBand="0" w:oddHBand="0" w:evenHBand="0" w:firstRowFirstColumn="0" w:firstRowLastColumn="0" w:lastRowFirstColumn="0" w:lastRowLastColumn="0"/>
            <w:tcW w:w="162" w:type="pct"/>
            <w:noWrap/>
          </w:tcPr>
          <w:p w14:paraId="16781470" w14:textId="263D00ED" w:rsidR="00923395" w:rsidRPr="00130CE2" w:rsidRDefault="00923395" w:rsidP="003224D2">
            <w:pPr>
              <w:jc w:val="center"/>
              <w:rPr>
                <w:rFonts w:ascii="Calibri" w:eastAsia="Times New Roman" w:hAnsi="Calibri" w:cs="Calibri"/>
                <w:color w:val="000000"/>
                <w:sz w:val="20"/>
                <w:szCs w:val="20"/>
              </w:rPr>
            </w:pPr>
          </w:p>
        </w:tc>
        <w:tc>
          <w:tcPr>
            <w:tcW w:w="1773" w:type="pct"/>
            <w:noWrap/>
            <w:hideMark/>
          </w:tcPr>
          <w:p w14:paraId="17B4CAE1"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 xml:space="preserve">Placenta </w:t>
            </w:r>
            <w:proofErr w:type="spellStart"/>
            <w:r w:rsidRPr="008B2260">
              <w:rPr>
                <w:rFonts w:ascii="Calibri" w:eastAsia="Times New Roman" w:hAnsi="Calibri" w:cs="Calibri"/>
                <w:b/>
                <w:bCs/>
                <w:color w:val="000000"/>
                <w:sz w:val="18"/>
                <w:szCs w:val="18"/>
              </w:rPr>
              <w:t>fu</w:t>
            </w:r>
            <w:r w:rsidRPr="008B2260">
              <w:rPr>
                <w:rFonts w:ascii="Calibri" w:eastAsia="Times New Roman" w:hAnsi="Calibri" w:cs="Calibri"/>
                <w:b/>
                <w:bCs/>
                <w:color w:val="000000"/>
                <w:sz w:val="18"/>
                <w:szCs w:val="18"/>
                <w:vertAlign w:val="subscript"/>
              </w:rPr>
              <w:t>IW</w:t>
            </w:r>
            <w:proofErr w:type="spellEnd"/>
            <w:r w:rsidRPr="008B2260">
              <w:rPr>
                <w:rFonts w:ascii="Calibri" w:eastAsia="Times New Roman" w:hAnsi="Calibri" w:cs="Calibri"/>
                <w:b/>
                <w:bCs/>
                <w:color w:val="000000"/>
                <w:sz w:val="18"/>
                <w:szCs w:val="18"/>
              </w:rPr>
              <w:t xml:space="preserve"> input type</w:t>
            </w:r>
          </w:p>
        </w:tc>
        <w:tc>
          <w:tcPr>
            <w:tcW w:w="728" w:type="pct"/>
            <w:noWrap/>
            <w:hideMark/>
          </w:tcPr>
          <w:p w14:paraId="0DD7EA70"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Predicted</w:t>
            </w:r>
          </w:p>
        </w:tc>
        <w:tc>
          <w:tcPr>
            <w:tcW w:w="643" w:type="pct"/>
            <w:noWrap/>
            <w:hideMark/>
          </w:tcPr>
          <w:p w14:paraId="2F499637"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See the main text</w:t>
            </w:r>
          </w:p>
        </w:tc>
        <w:tc>
          <w:tcPr>
            <w:tcW w:w="887" w:type="pct"/>
            <w:noWrap/>
            <w:hideMark/>
          </w:tcPr>
          <w:p w14:paraId="3514996B"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Predicted</w:t>
            </w:r>
          </w:p>
        </w:tc>
        <w:tc>
          <w:tcPr>
            <w:tcW w:w="807" w:type="pct"/>
          </w:tcPr>
          <w:p w14:paraId="724E64C0"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See the main text</w:t>
            </w:r>
          </w:p>
        </w:tc>
      </w:tr>
      <w:tr w:rsidR="00923395" w:rsidRPr="003F3FFC" w14:paraId="15F14331"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67054282"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4FD55EBA"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Amniotic fluid fu</w:t>
            </w:r>
          </w:p>
        </w:tc>
        <w:tc>
          <w:tcPr>
            <w:tcW w:w="728" w:type="pct"/>
            <w:noWrap/>
            <w:hideMark/>
          </w:tcPr>
          <w:p w14:paraId="479FD5D2"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1.000</w:t>
            </w:r>
          </w:p>
        </w:tc>
        <w:tc>
          <w:tcPr>
            <w:tcW w:w="643" w:type="pct"/>
            <w:vMerge w:val="restart"/>
            <w:noWrap/>
            <w:hideMark/>
          </w:tcPr>
          <w:p w14:paraId="59DAA15E"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336D8950"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1.000</w:t>
            </w:r>
          </w:p>
        </w:tc>
        <w:tc>
          <w:tcPr>
            <w:tcW w:w="807" w:type="pct"/>
            <w:vMerge w:val="restart"/>
          </w:tcPr>
          <w:p w14:paraId="0C3986B3"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776DAFEA"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63AB712F"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432215BB"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8B2260">
              <w:rPr>
                <w:rFonts w:ascii="Calibri" w:eastAsia="Times New Roman" w:hAnsi="Calibri" w:cs="Calibri"/>
                <w:b/>
                <w:bCs/>
                <w:color w:val="000000"/>
                <w:sz w:val="18"/>
                <w:szCs w:val="18"/>
              </w:rPr>
              <w:t>Fetus</w:t>
            </w:r>
            <w:proofErr w:type="spellEnd"/>
            <w:r w:rsidRPr="008B2260">
              <w:rPr>
                <w:rFonts w:ascii="Calibri" w:eastAsia="Times New Roman" w:hAnsi="Calibri" w:cs="Calibri"/>
                <w:b/>
                <w:bCs/>
                <w:color w:val="000000"/>
                <w:sz w:val="18"/>
                <w:szCs w:val="18"/>
              </w:rPr>
              <w:t xml:space="preserve"> B/P input type</w:t>
            </w:r>
          </w:p>
        </w:tc>
        <w:tc>
          <w:tcPr>
            <w:tcW w:w="728" w:type="pct"/>
            <w:noWrap/>
            <w:hideMark/>
          </w:tcPr>
          <w:p w14:paraId="0DA871DE"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Predicted</w:t>
            </w:r>
          </w:p>
        </w:tc>
        <w:tc>
          <w:tcPr>
            <w:tcW w:w="643" w:type="pct"/>
            <w:vMerge/>
            <w:noWrap/>
            <w:hideMark/>
          </w:tcPr>
          <w:p w14:paraId="1224F757"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2F318618"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Predicted</w:t>
            </w:r>
          </w:p>
        </w:tc>
        <w:tc>
          <w:tcPr>
            <w:tcW w:w="807" w:type="pct"/>
            <w:vMerge/>
          </w:tcPr>
          <w:p w14:paraId="19F2171F"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7ECC6EE2"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460291ED"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6BA51CEB"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8B2260">
              <w:rPr>
                <w:rFonts w:ascii="Calibri" w:eastAsia="Times New Roman" w:hAnsi="Calibri" w:cs="Calibri"/>
                <w:b/>
                <w:bCs/>
                <w:color w:val="000000"/>
                <w:sz w:val="18"/>
                <w:szCs w:val="18"/>
              </w:rPr>
              <w:t>Fetus</w:t>
            </w:r>
            <w:proofErr w:type="spellEnd"/>
            <w:r w:rsidRPr="008B2260">
              <w:rPr>
                <w:rFonts w:ascii="Calibri" w:eastAsia="Times New Roman" w:hAnsi="Calibri" w:cs="Calibri"/>
                <w:b/>
                <w:bCs/>
                <w:color w:val="000000"/>
                <w:sz w:val="18"/>
                <w:szCs w:val="18"/>
              </w:rPr>
              <w:t xml:space="preserve"> </w:t>
            </w:r>
            <w:proofErr w:type="spellStart"/>
            <w:r w:rsidRPr="008B2260">
              <w:rPr>
                <w:rFonts w:ascii="Calibri" w:eastAsia="Times New Roman" w:hAnsi="Calibri" w:cs="Calibri"/>
                <w:b/>
                <w:bCs/>
                <w:color w:val="000000"/>
                <w:sz w:val="18"/>
                <w:szCs w:val="18"/>
              </w:rPr>
              <w:t>fu</w:t>
            </w:r>
            <w:r w:rsidRPr="008B2260">
              <w:rPr>
                <w:rFonts w:ascii="Calibri" w:eastAsia="Times New Roman" w:hAnsi="Calibri" w:cs="Calibri"/>
                <w:b/>
                <w:bCs/>
                <w:color w:val="000000"/>
                <w:sz w:val="18"/>
                <w:szCs w:val="18"/>
                <w:vertAlign w:val="subscript"/>
              </w:rPr>
              <w:t>plasma</w:t>
            </w:r>
            <w:proofErr w:type="spellEnd"/>
            <w:r w:rsidRPr="008B2260">
              <w:rPr>
                <w:rFonts w:ascii="Calibri" w:eastAsia="Times New Roman" w:hAnsi="Calibri" w:cs="Calibri"/>
                <w:b/>
                <w:bCs/>
                <w:color w:val="000000"/>
                <w:sz w:val="18"/>
                <w:szCs w:val="18"/>
              </w:rPr>
              <w:t xml:space="preserve"> input type</w:t>
            </w:r>
          </w:p>
        </w:tc>
        <w:tc>
          <w:tcPr>
            <w:tcW w:w="728" w:type="pct"/>
            <w:noWrap/>
            <w:hideMark/>
          </w:tcPr>
          <w:p w14:paraId="38534BD2"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Predicted</w:t>
            </w:r>
          </w:p>
        </w:tc>
        <w:tc>
          <w:tcPr>
            <w:tcW w:w="643" w:type="pct"/>
            <w:vMerge/>
            <w:noWrap/>
            <w:hideMark/>
          </w:tcPr>
          <w:p w14:paraId="6E909938"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3C52E2B2"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Predicted</w:t>
            </w:r>
          </w:p>
        </w:tc>
        <w:tc>
          <w:tcPr>
            <w:tcW w:w="807" w:type="pct"/>
            <w:vMerge/>
          </w:tcPr>
          <w:p w14:paraId="52CF8920"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3512BF8A"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3C6C147"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7AF166EE"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CL</w:t>
            </w:r>
            <w:r w:rsidRPr="008B2260">
              <w:rPr>
                <w:rFonts w:ascii="Calibri" w:eastAsia="Times New Roman" w:hAnsi="Calibri" w:cs="Calibri"/>
                <w:b/>
                <w:bCs/>
                <w:color w:val="000000"/>
                <w:sz w:val="18"/>
                <w:szCs w:val="18"/>
                <w:vertAlign w:val="subscript"/>
              </w:rPr>
              <w:t>PDM</w:t>
            </w:r>
            <w:r w:rsidRPr="008B2260">
              <w:rPr>
                <w:rFonts w:ascii="Calibri" w:eastAsia="Times New Roman" w:hAnsi="Calibri" w:cs="Calibri"/>
                <w:b/>
                <w:bCs/>
                <w:color w:val="000000"/>
                <w:sz w:val="18"/>
                <w:szCs w:val="18"/>
              </w:rPr>
              <w:t xml:space="preserve"> (L/h/mL of placenta volume)</w:t>
            </w:r>
          </w:p>
        </w:tc>
        <w:tc>
          <w:tcPr>
            <w:tcW w:w="728" w:type="pct"/>
            <w:noWrap/>
            <w:hideMark/>
          </w:tcPr>
          <w:p w14:paraId="1A06A3C3"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0.002</w:t>
            </w:r>
          </w:p>
        </w:tc>
        <w:tc>
          <w:tcPr>
            <w:tcW w:w="643" w:type="pct"/>
            <w:vMerge/>
            <w:noWrap/>
            <w:hideMark/>
          </w:tcPr>
          <w:p w14:paraId="0BC52784"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2589A4DB"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0.0004</w:t>
            </w:r>
          </w:p>
        </w:tc>
        <w:tc>
          <w:tcPr>
            <w:tcW w:w="807" w:type="pct"/>
            <w:vMerge/>
          </w:tcPr>
          <w:p w14:paraId="2C863E5A"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46A4729B"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2B4AD77E"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7139C5C0"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CL</w:t>
            </w:r>
            <w:r w:rsidRPr="008B2260">
              <w:rPr>
                <w:rFonts w:ascii="Calibri" w:eastAsia="Times New Roman" w:hAnsi="Calibri" w:cs="Calibri"/>
                <w:b/>
                <w:bCs/>
                <w:color w:val="000000"/>
                <w:sz w:val="18"/>
                <w:szCs w:val="18"/>
                <w:vertAlign w:val="subscript"/>
              </w:rPr>
              <w:t>PDF</w:t>
            </w:r>
            <w:r w:rsidRPr="008B2260">
              <w:rPr>
                <w:rFonts w:ascii="Calibri" w:eastAsia="Times New Roman" w:hAnsi="Calibri" w:cs="Calibri"/>
                <w:b/>
                <w:bCs/>
                <w:color w:val="000000"/>
                <w:sz w:val="18"/>
                <w:szCs w:val="18"/>
              </w:rPr>
              <w:t xml:space="preserve"> (L/h/mL of placenta volume)</w:t>
            </w:r>
          </w:p>
        </w:tc>
        <w:tc>
          <w:tcPr>
            <w:tcW w:w="728" w:type="pct"/>
            <w:noWrap/>
            <w:hideMark/>
          </w:tcPr>
          <w:p w14:paraId="506453CE"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0.002</w:t>
            </w:r>
          </w:p>
        </w:tc>
        <w:tc>
          <w:tcPr>
            <w:tcW w:w="643" w:type="pct"/>
            <w:vMerge/>
            <w:noWrap/>
            <w:hideMark/>
          </w:tcPr>
          <w:p w14:paraId="33EFE5D2"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155076EB"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0.0004</w:t>
            </w:r>
          </w:p>
        </w:tc>
        <w:tc>
          <w:tcPr>
            <w:tcW w:w="807" w:type="pct"/>
            <w:vMerge/>
          </w:tcPr>
          <w:p w14:paraId="4AEECFBD"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6381C24C"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2DCD8232"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4008827E"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8B2260">
              <w:rPr>
                <w:rFonts w:ascii="Calibri" w:eastAsia="Times New Roman" w:hAnsi="Calibri" w:cs="Calibri"/>
                <w:b/>
                <w:bCs/>
                <w:color w:val="000000"/>
                <w:sz w:val="18"/>
                <w:szCs w:val="18"/>
              </w:rPr>
              <w:t>Fetal</w:t>
            </w:r>
            <w:proofErr w:type="spellEnd"/>
            <w:r w:rsidRPr="008B2260">
              <w:rPr>
                <w:rFonts w:ascii="Calibri" w:eastAsia="Times New Roman" w:hAnsi="Calibri" w:cs="Calibri"/>
                <w:b/>
                <w:bCs/>
                <w:color w:val="000000"/>
                <w:sz w:val="18"/>
                <w:szCs w:val="18"/>
              </w:rPr>
              <w:t xml:space="preserve"> </w:t>
            </w:r>
            <w:proofErr w:type="spellStart"/>
            <w:r w:rsidRPr="008B2260">
              <w:rPr>
                <w:rFonts w:ascii="Calibri" w:eastAsia="Times New Roman" w:hAnsi="Calibri" w:cs="Calibri"/>
                <w:b/>
                <w:bCs/>
                <w:color w:val="000000"/>
                <w:sz w:val="18"/>
                <w:szCs w:val="18"/>
              </w:rPr>
              <w:t>Kp</w:t>
            </w:r>
            <w:proofErr w:type="spellEnd"/>
            <w:r w:rsidRPr="008B2260">
              <w:rPr>
                <w:rFonts w:ascii="Calibri" w:eastAsia="Times New Roman" w:hAnsi="Calibri" w:cs="Calibri"/>
                <w:b/>
                <w:bCs/>
                <w:color w:val="000000"/>
                <w:sz w:val="18"/>
                <w:szCs w:val="18"/>
              </w:rPr>
              <w:t xml:space="preserve"> Scalar</w:t>
            </w:r>
          </w:p>
        </w:tc>
        <w:tc>
          <w:tcPr>
            <w:tcW w:w="728" w:type="pct"/>
            <w:noWrap/>
            <w:hideMark/>
          </w:tcPr>
          <w:p w14:paraId="2182FCCF"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1.000</w:t>
            </w:r>
          </w:p>
        </w:tc>
        <w:tc>
          <w:tcPr>
            <w:tcW w:w="643" w:type="pct"/>
            <w:vMerge/>
            <w:noWrap/>
            <w:hideMark/>
          </w:tcPr>
          <w:p w14:paraId="39294D4B"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008703A7"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1.000</w:t>
            </w:r>
          </w:p>
        </w:tc>
        <w:tc>
          <w:tcPr>
            <w:tcW w:w="807" w:type="pct"/>
            <w:vMerge/>
          </w:tcPr>
          <w:p w14:paraId="56A3C322"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17F09736"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407C5D7"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393D6F9F"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8B2260">
              <w:rPr>
                <w:rFonts w:ascii="Calibri" w:eastAsia="Times New Roman" w:hAnsi="Calibri" w:cs="Calibri"/>
                <w:b/>
                <w:bCs/>
                <w:color w:val="000000"/>
                <w:sz w:val="18"/>
                <w:szCs w:val="18"/>
              </w:rPr>
              <w:t>fetus</w:t>
            </w:r>
            <w:proofErr w:type="spellEnd"/>
            <w:r w:rsidRPr="008B2260">
              <w:rPr>
                <w:rFonts w:ascii="Calibri" w:eastAsia="Times New Roman" w:hAnsi="Calibri" w:cs="Calibri"/>
                <w:b/>
                <w:bCs/>
                <w:color w:val="000000"/>
                <w:sz w:val="18"/>
                <w:szCs w:val="18"/>
              </w:rPr>
              <w:t xml:space="preserve"> </w:t>
            </w:r>
            <w:proofErr w:type="spellStart"/>
            <w:r w:rsidRPr="008B2260">
              <w:rPr>
                <w:rFonts w:ascii="Calibri" w:eastAsia="Times New Roman" w:hAnsi="Calibri" w:cs="Calibri"/>
                <w:b/>
                <w:bCs/>
                <w:color w:val="000000"/>
                <w:sz w:val="18"/>
                <w:szCs w:val="18"/>
              </w:rPr>
              <w:t>CLSwallowing</w:t>
            </w:r>
            <w:proofErr w:type="spellEnd"/>
            <w:r w:rsidRPr="008B2260">
              <w:rPr>
                <w:rFonts w:ascii="Calibri" w:eastAsia="Times New Roman" w:hAnsi="Calibri" w:cs="Calibri"/>
                <w:b/>
                <w:bCs/>
                <w:color w:val="000000"/>
                <w:sz w:val="18"/>
                <w:szCs w:val="18"/>
              </w:rPr>
              <w:t xml:space="preserve"> (L/h/kg </w:t>
            </w:r>
            <w:proofErr w:type="spellStart"/>
            <w:r w:rsidRPr="008B2260">
              <w:rPr>
                <w:rFonts w:ascii="Calibri" w:eastAsia="Times New Roman" w:hAnsi="Calibri" w:cs="Calibri"/>
                <w:b/>
                <w:bCs/>
                <w:color w:val="000000"/>
                <w:sz w:val="18"/>
                <w:szCs w:val="18"/>
              </w:rPr>
              <w:t>fetal</w:t>
            </w:r>
            <w:proofErr w:type="spellEnd"/>
            <w:r w:rsidRPr="008B2260">
              <w:rPr>
                <w:rFonts w:ascii="Calibri" w:eastAsia="Times New Roman" w:hAnsi="Calibri" w:cs="Calibri"/>
                <w:b/>
                <w:bCs/>
                <w:color w:val="000000"/>
                <w:sz w:val="18"/>
                <w:szCs w:val="18"/>
              </w:rPr>
              <w:t xml:space="preserve"> weight)</w:t>
            </w:r>
          </w:p>
        </w:tc>
        <w:tc>
          <w:tcPr>
            <w:tcW w:w="728" w:type="pct"/>
            <w:noWrap/>
            <w:hideMark/>
          </w:tcPr>
          <w:p w14:paraId="04EFE82E"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0.006</w:t>
            </w:r>
          </w:p>
        </w:tc>
        <w:tc>
          <w:tcPr>
            <w:tcW w:w="643" w:type="pct"/>
            <w:vMerge/>
            <w:noWrap/>
            <w:hideMark/>
          </w:tcPr>
          <w:p w14:paraId="02AACFC8"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6DF1DF6E"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0.009</w:t>
            </w:r>
          </w:p>
        </w:tc>
        <w:tc>
          <w:tcPr>
            <w:tcW w:w="807" w:type="pct"/>
            <w:vMerge/>
          </w:tcPr>
          <w:p w14:paraId="73156C81"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r w:rsidR="00923395" w:rsidRPr="003F3FFC" w14:paraId="550A76A6" w14:textId="77777777" w:rsidTr="001D5380">
        <w:trPr>
          <w:trHeight w:val="286"/>
        </w:trPr>
        <w:tc>
          <w:tcPr>
            <w:cnfStyle w:val="001000000000" w:firstRow="0" w:lastRow="0" w:firstColumn="1" w:lastColumn="0" w:oddVBand="0" w:evenVBand="0" w:oddHBand="0" w:evenHBand="0" w:firstRowFirstColumn="0" w:firstRowLastColumn="0" w:lastRowFirstColumn="0" w:lastRowLastColumn="0"/>
            <w:tcW w:w="162" w:type="pct"/>
            <w:noWrap/>
            <w:hideMark/>
          </w:tcPr>
          <w:p w14:paraId="03E5C052" w14:textId="77777777" w:rsidR="00923395" w:rsidRPr="00130CE2" w:rsidRDefault="00923395" w:rsidP="007D437A">
            <w:pPr>
              <w:rPr>
                <w:rFonts w:ascii="Calibri" w:eastAsia="Times New Roman" w:hAnsi="Calibri" w:cs="Calibri"/>
                <w:b w:val="0"/>
                <w:bCs w:val="0"/>
                <w:color w:val="000000"/>
                <w:sz w:val="20"/>
                <w:szCs w:val="20"/>
              </w:rPr>
            </w:pPr>
          </w:p>
        </w:tc>
        <w:tc>
          <w:tcPr>
            <w:tcW w:w="1773" w:type="pct"/>
            <w:noWrap/>
            <w:hideMark/>
          </w:tcPr>
          <w:p w14:paraId="200FCB21"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roofErr w:type="spellStart"/>
            <w:r w:rsidRPr="008B2260">
              <w:rPr>
                <w:rFonts w:ascii="Calibri" w:eastAsia="Times New Roman" w:hAnsi="Calibri" w:cs="Calibri"/>
                <w:b/>
                <w:bCs/>
                <w:color w:val="000000"/>
                <w:sz w:val="18"/>
                <w:szCs w:val="18"/>
              </w:rPr>
              <w:t>fetus</w:t>
            </w:r>
            <w:proofErr w:type="spellEnd"/>
            <w:r w:rsidRPr="008B2260">
              <w:rPr>
                <w:rFonts w:ascii="Calibri" w:eastAsia="Times New Roman" w:hAnsi="Calibri" w:cs="Calibri"/>
                <w:b/>
                <w:bCs/>
                <w:color w:val="000000"/>
                <w:sz w:val="18"/>
                <w:szCs w:val="18"/>
              </w:rPr>
              <w:t xml:space="preserve"> renal CL (L/h/kg </w:t>
            </w:r>
            <w:proofErr w:type="spellStart"/>
            <w:r w:rsidRPr="008B2260">
              <w:rPr>
                <w:rFonts w:ascii="Calibri" w:eastAsia="Times New Roman" w:hAnsi="Calibri" w:cs="Calibri"/>
                <w:b/>
                <w:bCs/>
                <w:color w:val="000000"/>
                <w:sz w:val="18"/>
                <w:szCs w:val="18"/>
              </w:rPr>
              <w:t>fetal</w:t>
            </w:r>
            <w:proofErr w:type="spellEnd"/>
            <w:r w:rsidRPr="008B2260">
              <w:rPr>
                <w:rFonts w:ascii="Calibri" w:eastAsia="Times New Roman" w:hAnsi="Calibri" w:cs="Calibri"/>
                <w:b/>
                <w:bCs/>
                <w:color w:val="000000"/>
                <w:sz w:val="18"/>
                <w:szCs w:val="18"/>
              </w:rPr>
              <w:t xml:space="preserve"> weight)</w:t>
            </w:r>
          </w:p>
        </w:tc>
        <w:tc>
          <w:tcPr>
            <w:tcW w:w="728" w:type="pct"/>
            <w:noWrap/>
            <w:hideMark/>
          </w:tcPr>
          <w:p w14:paraId="18F07374" w14:textId="6AC3EC5A"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0.05</w:t>
            </w:r>
            <w:r w:rsidR="00D83186" w:rsidRPr="008B2260">
              <w:rPr>
                <w:rFonts w:ascii="Calibri" w:eastAsia="Times New Roman" w:hAnsi="Calibri" w:cs="Calibri"/>
                <w:b/>
                <w:bCs/>
                <w:color w:val="000000"/>
                <w:sz w:val="18"/>
                <w:szCs w:val="18"/>
              </w:rPr>
              <w:t>4</w:t>
            </w:r>
          </w:p>
        </w:tc>
        <w:tc>
          <w:tcPr>
            <w:tcW w:w="643" w:type="pct"/>
            <w:vMerge/>
            <w:noWrap/>
            <w:hideMark/>
          </w:tcPr>
          <w:p w14:paraId="5B89E109" w14:textId="77777777"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p>
        </w:tc>
        <w:tc>
          <w:tcPr>
            <w:tcW w:w="887" w:type="pct"/>
            <w:noWrap/>
            <w:hideMark/>
          </w:tcPr>
          <w:p w14:paraId="538B0370" w14:textId="51E97C84" w:rsidR="00923395" w:rsidRPr="008B2260"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8"/>
                <w:szCs w:val="18"/>
              </w:rPr>
            </w:pPr>
            <w:r w:rsidRPr="008B2260">
              <w:rPr>
                <w:rFonts w:ascii="Calibri" w:eastAsia="Times New Roman" w:hAnsi="Calibri" w:cs="Calibri"/>
                <w:b/>
                <w:bCs/>
                <w:color w:val="000000"/>
                <w:sz w:val="18"/>
                <w:szCs w:val="18"/>
              </w:rPr>
              <w:t>0.0</w:t>
            </w:r>
            <w:r w:rsidR="00477EF7" w:rsidRPr="008B2260">
              <w:rPr>
                <w:rFonts w:ascii="Calibri" w:eastAsia="Times New Roman" w:hAnsi="Calibri" w:cs="Calibri"/>
                <w:b/>
                <w:bCs/>
                <w:color w:val="000000"/>
                <w:sz w:val="18"/>
                <w:szCs w:val="18"/>
              </w:rPr>
              <w:t>52</w:t>
            </w:r>
          </w:p>
        </w:tc>
        <w:tc>
          <w:tcPr>
            <w:tcW w:w="807" w:type="pct"/>
            <w:vMerge/>
          </w:tcPr>
          <w:p w14:paraId="170FD27B" w14:textId="77777777" w:rsidR="00923395" w:rsidRPr="003F3FFC" w:rsidRDefault="00923395" w:rsidP="007D43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rPr>
            </w:pPr>
          </w:p>
        </w:tc>
      </w:tr>
    </w:tbl>
    <w:p w14:paraId="0D76A077" w14:textId="77777777" w:rsidR="008D5146" w:rsidRDefault="008D5146" w:rsidP="000E104B">
      <w:pPr>
        <w:spacing w:line="360" w:lineRule="auto"/>
        <w:jc w:val="both"/>
        <w:rPr>
          <w:rFonts w:eastAsia="Times New Roman" w:cstheme="minorHAnsi"/>
          <w:color w:val="000000"/>
          <w:sz w:val="18"/>
          <w:szCs w:val="18"/>
        </w:rPr>
      </w:pPr>
      <w:r w:rsidRPr="00384D6F">
        <w:rPr>
          <w:rFonts w:eastAsia="Times New Roman" w:cstheme="minorHAnsi"/>
          <w:color w:val="000000"/>
          <w:sz w:val="18"/>
          <w:szCs w:val="18"/>
        </w:rPr>
        <w:t>M</w:t>
      </w:r>
      <w:r>
        <w:rPr>
          <w:rFonts w:eastAsia="Times New Roman" w:cstheme="minorHAnsi"/>
          <w:color w:val="000000"/>
          <w:sz w:val="18"/>
          <w:szCs w:val="18"/>
        </w:rPr>
        <w:t>ol Weight</w:t>
      </w:r>
      <w:r w:rsidRPr="00384D6F">
        <w:rPr>
          <w:rFonts w:eastAsia="Times New Roman" w:cstheme="minorHAnsi"/>
          <w:color w:val="000000"/>
          <w:sz w:val="18"/>
          <w:szCs w:val="18"/>
        </w:rPr>
        <w:t xml:space="preserve">= molecular weight; </w:t>
      </w:r>
      <w:proofErr w:type="spellStart"/>
      <w:r w:rsidRPr="00384D6F">
        <w:rPr>
          <w:rFonts w:eastAsia="Times New Roman" w:cstheme="minorHAnsi"/>
          <w:color w:val="000000"/>
          <w:sz w:val="18"/>
          <w:szCs w:val="18"/>
        </w:rPr>
        <w:t>logP</w:t>
      </w:r>
      <w:proofErr w:type="spellEnd"/>
      <w:r w:rsidRPr="00384D6F">
        <w:rPr>
          <w:rFonts w:eastAsia="Times New Roman" w:cstheme="minorHAnsi"/>
          <w:color w:val="000000"/>
          <w:sz w:val="18"/>
          <w:szCs w:val="18"/>
        </w:rPr>
        <w:t xml:space="preserve">=neutral species octanol: buffer partition coefficient; </w:t>
      </w:r>
      <w:proofErr w:type="spellStart"/>
      <w:r w:rsidRPr="00384D6F">
        <w:rPr>
          <w:rFonts w:eastAsia="Times New Roman" w:cstheme="minorHAnsi"/>
          <w:color w:val="000000"/>
          <w:sz w:val="18"/>
          <w:szCs w:val="18"/>
        </w:rPr>
        <w:t>pKa</w:t>
      </w:r>
      <w:proofErr w:type="spellEnd"/>
      <w:r w:rsidRPr="00384D6F">
        <w:rPr>
          <w:rFonts w:eastAsia="Times New Roman" w:cstheme="minorHAnsi"/>
          <w:color w:val="000000"/>
          <w:sz w:val="18"/>
          <w:szCs w:val="18"/>
        </w:rPr>
        <w:t xml:space="preserve">= dissociation constant at logarithmic scale; BP=blood-to-plasma partition ratio; </w:t>
      </w:r>
      <w:proofErr w:type="spellStart"/>
      <w:r w:rsidRPr="00384D6F">
        <w:rPr>
          <w:rFonts w:eastAsia="Times New Roman" w:cstheme="minorHAnsi"/>
          <w:color w:val="000000"/>
          <w:sz w:val="18"/>
          <w:szCs w:val="18"/>
        </w:rPr>
        <w:t>fup</w:t>
      </w:r>
      <w:proofErr w:type="spellEnd"/>
      <w:r w:rsidRPr="00384D6F">
        <w:rPr>
          <w:rFonts w:eastAsia="Times New Roman" w:cstheme="minorHAnsi"/>
          <w:color w:val="000000"/>
          <w:sz w:val="18"/>
          <w:szCs w:val="18"/>
        </w:rPr>
        <w:t xml:space="preserve">=fraction unbound in </w:t>
      </w:r>
      <w:proofErr w:type="gramStart"/>
      <w:r w:rsidRPr="00384D6F">
        <w:rPr>
          <w:rFonts w:eastAsia="Times New Roman" w:cstheme="minorHAnsi"/>
          <w:color w:val="000000"/>
          <w:sz w:val="18"/>
          <w:szCs w:val="18"/>
        </w:rPr>
        <w:t>plasma ;</w:t>
      </w:r>
      <w:proofErr w:type="gramEnd"/>
      <w:r w:rsidRPr="00384D6F">
        <w:rPr>
          <w:rFonts w:eastAsia="Times New Roman" w:cstheme="minorHAnsi"/>
          <w:color w:val="000000"/>
          <w:sz w:val="18"/>
          <w:szCs w:val="18"/>
        </w:rPr>
        <w:t xml:space="preserve"> </w:t>
      </w:r>
      <w:r w:rsidRPr="004C59BB">
        <w:rPr>
          <w:rFonts w:eastAsia="Times New Roman" w:cstheme="minorHAnsi"/>
          <w:color w:val="000000"/>
          <w:sz w:val="18"/>
          <w:szCs w:val="18"/>
        </w:rPr>
        <w:t>CL</w:t>
      </w:r>
      <w:r w:rsidRPr="000E104B">
        <w:rPr>
          <w:rFonts w:eastAsia="Times New Roman" w:cstheme="minorHAnsi"/>
          <w:color w:val="000000"/>
          <w:sz w:val="18"/>
          <w:szCs w:val="18"/>
          <w:vertAlign w:val="subscript"/>
        </w:rPr>
        <w:t>PDM</w:t>
      </w:r>
      <w:r w:rsidRPr="004C59BB">
        <w:rPr>
          <w:rFonts w:eastAsia="Times New Roman" w:cstheme="minorHAnsi"/>
          <w:color w:val="000000"/>
          <w:sz w:val="18"/>
          <w:szCs w:val="18"/>
        </w:rPr>
        <w:t>=Passive diffusion clearance for Maternal-placental barrier; CL</w:t>
      </w:r>
      <w:r w:rsidRPr="000E104B">
        <w:rPr>
          <w:rFonts w:eastAsia="Times New Roman" w:cstheme="minorHAnsi"/>
          <w:color w:val="000000"/>
          <w:sz w:val="18"/>
          <w:szCs w:val="18"/>
          <w:vertAlign w:val="subscript"/>
        </w:rPr>
        <w:t>PDF</w:t>
      </w:r>
      <w:r w:rsidRPr="004C59BB">
        <w:rPr>
          <w:rFonts w:eastAsia="Times New Roman" w:cstheme="minorHAnsi"/>
          <w:color w:val="000000"/>
          <w:sz w:val="18"/>
          <w:szCs w:val="18"/>
        </w:rPr>
        <w:t>=Passive diffusion clearance for Placental-</w:t>
      </w:r>
      <w:proofErr w:type="spellStart"/>
      <w:r w:rsidRPr="004C59BB">
        <w:rPr>
          <w:rFonts w:eastAsia="Times New Roman" w:cstheme="minorHAnsi"/>
          <w:color w:val="000000"/>
          <w:sz w:val="18"/>
          <w:szCs w:val="18"/>
        </w:rPr>
        <w:t>Fetal</w:t>
      </w:r>
      <w:proofErr w:type="spellEnd"/>
      <w:r w:rsidRPr="004C59BB">
        <w:rPr>
          <w:rFonts w:eastAsia="Times New Roman" w:cstheme="minorHAnsi"/>
          <w:color w:val="000000"/>
          <w:sz w:val="18"/>
          <w:szCs w:val="18"/>
        </w:rPr>
        <w:t xml:space="preserve"> barrier</w:t>
      </w:r>
    </w:p>
    <w:p w14:paraId="1AF6A6C3" w14:textId="77777777" w:rsidR="008D5146" w:rsidRDefault="008D5146" w:rsidP="000E104B">
      <w:pPr>
        <w:spacing w:line="360" w:lineRule="auto"/>
        <w:jc w:val="both"/>
        <w:rPr>
          <w:rFonts w:eastAsia="Times New Roman" w:cstheme="minorHAnsi"/>
          <w:color w:val="000000"/>
          <w:sz w:val="18"/>
          <w:szCs w:val="18"/>
        </w:rPr>
      </w:pPr>
    </w:p>
    <w:p w14:paraId="673EFB4E" w14:textId="77777777" w:rsidR="00477EF7" w:rsidRDefault="00477EF7">
      <w:pPr>
        <w:rPr>
          <w:rFonts w:asciiTheme="majorHAnsi" w:eastAsiaTheme="majorEastAsia" w:hAnsiTheme="majorHAnsi" w:cstheme="majorBidi"/>
          <w:color w:val="2F5496" w:themeColor="accent1" w:themeShade="BF"/>
          <w:sz w:val="32"/>
          <w:szCs w:val="32"/>
        </w:rPr>
      </w:pPr>
      <w:r>
        <w:br w:type="page"/>
      </w:r>
    </w:p>
    <w:p w14:paraId="03683CCB" w14:textId="60D1AF4D" w:rsidR="008D5146" w:rsidRDefault="008D5146" w:rsidP="00FD6741">
      <w:pPr>
        <w:pStyle w:val="Heading1"/>
      </w:pPr>
      <w:r w:rsidRPr="00FD6741">
        <w:lastRenderedPageBreak/>
        <w:t>Virtual Trial settings</w:t>
      </w:r>
    </w:p>
    <w:p w14:paraId="2E0AAA5C" w14:textId="77777777" w:rsidR="00436052" w:rsidRDefault="00436052" w:rsidP="00436052">
      <w:pPr>
        <w:pStyle w:val="NoSpacing"/>
      </w:pPr>
    </w:p>
    <w:p w14:paraId="50F0E2D4" w14:textId="6BD38E65" w:rsidR="008D5146" w:rsidRPr="00FD6741" w:rsidRDefault="008D5146" w:rsidP="00FD6741">
      <w:pPr>
        <w:pStyle w:val="Heading2"/>
      </w:pPr>
      <w:r w:rsidRPr="00FD6741">
        <w:t>Acyclovir</w:t>
      </w:r>
    </w:p>
    <w:p w14:paraId="443AC9DD" w14:textId="77777777" w:rsidR="008D5146" w:rsidRPr="00FD6741" w:rsidRDefault="008D5146" w:rsidP="00FD6741">
      <w:pPr>
        <w:rPr>
          <w:sz w:val="24"/>
          <w:szCs w:val="24"/>
        </w:rPr>
      </w:pPr>
      <w:r w:rsidRPr="00FD6741">
        <w:rPr>
          <w:sz w:val="24"/>
          <w:szCs w:val="24"/>
        </w:rPr>
        <w:t>The following virtual trial settings were used for non-pregnant (NP) and Pregnant (P) subjects</w:t>
      </w:r>
      <w:r>
        <w:rPr>
          <w:sz w:val="24"/>
          <w:szCs w:val="24"/>
        </w:rPr>
        <w:t xml:space="preserve"> after either intravenous or oral administrations:</w:t>
      </w:r>
    </w:p>
    <w:p w14:paraId="1E5EFDE0"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NP1</w:t>
      </w:r>
      <w:r w:rsidRPr="00436052">
        <w:rPr>
          <w:rFonts w:cstheme="minorHAnsi"/>
          <w:sz w:val="24"/>
          <w:szCs w:val="24"/>
        </w:rPr>
        <w:t xml:space="preserve"> single intravenous infusion of 2.5 mg/kg acyclovir administered over 1 h </w:t>
      </w:r>
      <w:r w:rsidRPr="00436052">
        <w:rPr>
          <w:rFonts w:cstheme="minorHAnsi"/>
          <w:noProof/>
          <w:sz w:val="24"/>
          <w:szCs w:val="24"/>
        </w:rPr>
        <w:t>[8]</w:t>
      </w:r>
      <w:r w:rsidRPr="00436052">
        <w:rPr>
          <w:rFonts w:cstheme="minorHAnsi"/>
          <w:sz w:val="24"/>
          <w:szCs w:val="24"/>
        </w:rPr>
        <w:t>; 20 trials of 13 patients (8 females) aged 23 - 76 years (this study was used for model building).</w:t>
      </w:r>
    </w:p>
    <w:p w14:paraId="3D3E4501"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NP2</w:t>
      </w:r>
      <w:r w:rsidRPr="00436052">
        <w:rPr>
          <w:rFonts w:cstheme="minorHAnsi"/>
          <w:sz w:val="24"/>
          <w:szCs w:val="24"/>
        </w:rPr>
        <w:t xml:space="preserve"> single intravenous infusion of 5 mg/kg acyclovir administered over 1 h </w:t>
      </w:r>
      <w:r w:rsidRPr="00436052">
        <w:rPr>
          <w:rFonts w:cstheme="minorHAnsi"/>
          <w:noProof/>
          <w:sz w:val="24"/>
          <w:szCs w:val="24"/>
        </w:rPr>
        <w:t>[8]</w:t>
      </w:r>
      <w:r w:rsidRPr="00436052">
        <w:rPr>
          <w:rFonts w:cstheme="minorHAnsi"/>
          <w:sz w:val="24"/>
          <w:szCs w:val="24"/>
        </w:rPr>
        <w:t>; 20 trials of 13 patients (8 females) aged 23 - 76 years.</w:t>
      </w:r>
    </w:p>
    <w:p w14:paraId="18EA0DE8"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NP3</w:t>
      </w:r>
      <w:r w:rsidRPr="00436052">
        <w:rPr>
          <w:rFonts w:cstheme="minorHAnsi"/>
          <w:sz w:val="24"/>
          <w:szCs w:val="24"/>
        </w:rPr>
        <w:t xml:space="preserve"> single intravenous infusion of 10 mg/kg acyclovir administered over 1 h </w:t>
      </w:r>
      <w:r w:rsidRPr="00436052">
        <w:rPr>
          <w:rFonts w:cstheme="minorHAnsi"/>
          <w:noProof/>
          <w:sz w:val="24"/>
          <w:szCs w:val="24"/>
        </w:rPr>
        <w:t>[8]</w:t>
      </w:r>
      <w:r w:rsidRPr="00436052">
        <w:rPr>
          <w:rFonts w:cstheme="minorHAnsi"/>
          <w:sz w:val="24"/>
          <w:szCs w:val="24"/>
        </w:rPr>
        <w:t>; 20 trials of 13 patients (8 females) aged 23 - 76 years.</w:t>
      </w:r>
    </w:p>
    <w:p w14:paraId="66244F40"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NP4</w:t>
      </w:r>
      <w:r w:rsidRPr="00436052">
        <w:rPr>
          <w:rFonts w:cstheme="minorHAnsi"/>
          <w:sz w:val="24"/>
          <w:szCs w:val="24"/>
        </w:rPr>
        <w:t xml:space="preserve"> single intravenous infusion of 15 mg/kg acyclovir administered over 1 h </w:t>
      </w:r>
      <w:r w:rsidRPr="00436052">
        <w:rPr>
          <w:rFonts w:cstheme="minorHAnsi"/>
          <w:noProof/>
          <w:sz w:val="24"/>
          <w:szCs w:val="24"/>
        </w:rPr>
        <w:t>[8]</w:t>
      </w:r>
      <w:r w:rsidRPr="00436052">
        <w:rPr>
          <w:rFonts w:cstheme="minorHAnsi"/>
          <w:sz w:val="24"/>
          <w:szCs w:val="24"/>
        </w:rPr>
        <w:t>; 20 trials of 13 patients (8 females) aged 23 - 76 years.</w:t>
      </w:r>
    </w:p>
    <w:p w14:paraId="1A013F84"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NP5</w:t>
      </w:r>
      <w:r w:rsidRPr="00436052">
        <w:rPr>
          <w:rFonts w:cstheme="minorHAnsi"/>
          <w:sz w:val="24"/>
          <w:szCs w:val="24"/>
        </w:rPr>
        <w:t xml:space="preserve"> single intravenous infusion of 350 mg acyclovir administered over 1 h </w:t>
      </w:r>
      <w:r w:rsidRPr="00436052">
        <w:rPr>
          <w:rFonts w:cstheme="minorHAnsi"/>
          <w:noProof/>
          <w:sz w:val="24"/>
          <w:szCs w:val="24"/>
        </w:rPr>
        <w:t>[9]</w:t>
      </w:r>
      <w:r w:rsidRPr="00436052">
        <w:rPr>
          <w:rFonts w:cstheme="minorHAnsi"/>
          <w:sz w:val="24"/>
          <w:szCs w:val="24"/>
        </w:rPr>
        <w:t>; 20 trials of 12 healthy adults (8 females) aged 23 - 50 years.</w:t>
      </w:r>
    </w:p>
    <w:p w14:paraId="3CEE68B2" w14:textId="7D4B6FDD" w:rsidR="008D5146" w:rsidRPr="00436052" w:rsidRDefault="008D5146" w:rsidP="000E1EC6">
      <w:pPr>
        <w:pStyle w:val="NoSpacing"/>
        <w:jc w:val="both"/>
        <w:rPr>
          <w:rFonts w:cstheme="minorHAnsi"/>
          <w:sz w:val="24"/>
          <w:szCs w:val="24"/>
        </w:rPr>
      </w:pPr>
      <w:r w:rsidRPr="00436052">
        <w:rPr>
          <w:rFonts w:cstheme="minorHAnsi"/>
          <w:b/>
          <w:sz w:val="24"/>
          <w:szCs w:val="24"/>
        </w:rPr>
        <w:t>Trial design NP6</w:t>
      </w:r>
      <w:r w:rsidRPr="00436052">
        <w:rPr>
          <w:rFonts w:cstheme="minorHAnsi"/>
          <w:sz w:val="24"/>
          <w:szCs w:val="24"/>
        </w:rPr>
        <w:t xml:space="preserve"> single intravenous infusion of 250 mg acyclovir for 0.167 h </w:t>
      </w:r>
      <w:r w:rsidRPr="00436052">
        <w:rPr>
          <w:rFonts w:cstheme="minorHAnsi"/>
          <w:noProof/>
          <w:sz w:val="24"/>
          <w:szCs w:val="24"/>
        </w:rPr>
        <w:t>[3]</w:t>
      </w:r>
      <w:r w:rsidRPr="00436052">
        <w:rPr>
          <w:rFonts w:cstheme="minorHAnsi"/>
          <w:sz w:val="24"/>
          <w:szCs w:val="24"/>
        </w:rPr>
        <w:t>; 20 trials of 24 healthy adults (12 females) aged 19 to 36 years.</w:t>
      </w:r>
    </w:p>
    <w:p w14:paraId="213341EB" w14:textId="452373DA" w:rsidR="008D5146" w:rsidRPr="00436052" w:rsidRDefault="008D5146" w:rsidP="000E1EC6">
      <w:pPr>
        <w:pStyle w:val="NoSpacing"/>
        <w:jc w:val="both"/>
        <w:rPr>
          <w:rFonts w:cstheme="minorHAnsi"/>
          <w:sz w:val="24"/>
          <w:szCs w:val="24"/>
        </w:rPr>
      </w:pPr>
      <w:r w:rsidRPr="00436052">
        <w:rPr>
          <w:rFonts w:cstheme="minorHAnsi"/>
          <w:b/>
          <w:sz w:val="24"/>
          <w:szCs w:val="24"/>
        </w:rPr>
        <w:t>Trial design NP7</w:t>
      </w:r>
      <w:r w:rsidRPr="00436052">
        <w:rPr>
          <w:rFonts w:cstheme="minorHAnsi"/>
          <w:sz w:val="24"/>
          <w:szCs w:val="24"/>
        </w:rPr>
        <w:t xml:space="preserve"> single oral dose of 400 mg acyclovir </w:t>
      </w:r>
      <w:r w:rsidRPr="00436052">
        <w:rPr>
          <w:rFonts w:cstheme="minorHAnsi"/>
          <w:noProof/>
          <w:sz w:val="24"/>
          <w:szCs w:val="24"/>
        </w:rPr>
        <w:t>[3]</w:t>
      </w:r>
      <w:r w:rsidRPr="00436052">
        <w:rPr>
          <w:rFonts w:cstheme="minorHAnsi"/>
          <w:sz w:val="24"/>
          <w:szCs w:val="24"/>
        </w:rPr>
        <w:t>; 20 trials of 24 healthy adults (12 females) aged 19 to 36 years (this study was used for model building).</w:t>
      </w:r>
    </w:p>
    <w:p w14:paraId="46749243" w14:textId="7C2046DC" w:rsidR="008D5146" w:rsidRPr="00436052" w:rsidRDefault="008D5146" w:rsidP="000E1EC6">
      <w:pPr>
        <w:pStyle w:val="NoSpacing"/>
        <w:jc w:val="both"/>
        <w:rPr>
          <w:rFonts w:cstheme="minorHAnsi"/>
          <w:sz w:val="24"/>
          <w:szCs w:val="24"/>
        </w:rPr>
      </w:pPr>
      <w:r w:rsidRPr="00436052">
        <w:rPr>
          <w:rFonts w:cstheme="minorHAnsi"/>
          <w:b/>
          <w:sz w:val="24"/>
          <w:szCs w:val="24"/>
        </w:rPr>
        <w:t>Trial design NP8</w:t>
      </w:r>
      <w:r w:rsidRPr="00436052">
        <w:rPr>
          <w:rFonts w:cstheme="minorHAnsi"/>
          <w:sz w:val="24"/>
          <w:szCs w:val="24"/>
        </w:rPr>
        <w:t xml:space="preserve"> single oral dose of 200 mg acyclovir </w:t>
      </w:r>
      <w:r w:rsidRPr="00436052">
        <w:rPr>
          <w:rFonts w:cstheme="minorHAnsi"/>
          <w:noProof/>
          <w:sz w:val="24"/>
          <w:szCs w:val="24"/>
        </w:rPr>
        <w:t>[3]</w:t>
      </w:r>
      <w:r w:rsidRPr="00436052">
        <w:rPr>
          <w:rFonts w:cstheme="minorHAnsi"/>
          <w:sz w:val="24"/>
          <w:szCs w:val="24"/>
        </w:rPr>
        <w:t>; 20 trials of 24 healthy adults (12 females) aged 19 to 36 years.</w:t>
      </w:r>
    </w:p>
    <w:p w14:paraId="011BEF88" w14:textId="77777777" w:rsidR="008D5146" w:rsidRPr="00436052" w:rsidRDefault="008D5146" w:rsidP="000E1EC6">
      <w:pPr>
        <w:pStyle w:val="NoSpacing"/>
        <w:jc w:val="both"/>
        <w:rPr>
          <w:rFonts w:cstheme="minorHAnsi"/>
          <w:bCs/>
          <w:sz w:val="24"/>
          <w:szCs w:val="24"/>
        </w:rPr>
      </w:pPr>
      <w:r w:rsidRPr="00436052">
        <w:rPr>
          <w:rFonts w:cstheme="minorHAnsi"/>
          <w:b/>
          <w:sz w:val="24"/>
          <w:szCs w:val="24"/>
        </w:rPr>
        <w:t>Trial design NP9</w:t>
      </w:r>
      <w:r w:rsidRPr="00436052">
        <w:rPr>
          <w:rFonts w:cstheme="minorHAnsi"/>
          <w:sz w:val="24"/>
          <w:szCs w:val="24"/>
        </w:rPr>
        <w:t xml:space="preserve"> single oral dose of 400 mg acyclovir</w:t>
      </w:r>
      <w:r w:rsidRPr="00436052">
        <w:rPr>
          <w:rFonts w:cstheme="minorHAnsi"/>
          <w:b/>
          <w:sz w:val="24"/>
          <w:szCs w:val="24"/>
        </w:rPr>
        <w:t xml:space="preserve"> </w:t>
      </w:r>
      <w:r w:rsidRPr="00436052">
        <w:rPr>
          <w:rFonts w:cstheme="minorHAnsi"/>
          <w:bCs/>
          <w:noProof/>
          <w:sz w:val="24"/>
          <w:szCs w:val="24"/>
        </w:rPr>
        <w:t>[10]</w:t>
      </w:r>
      <w:r w:rsidRPr="00436052">
        <w:rPr>
          <w:rFonts w:cstheme="minorHAnsi"/>
          <w:bCs/>
          <w:sz w:val="24"/>
          <w:szCs w:val="24"/>
        </w:rPr>
        <w:t>; 20 trials of 9 subjects (all male) aged 20 to 29 years.</w:t>
      </w:r>
    </w:p>
    <w:p w14:paraId="27C0EA0F"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NP10</w:t>
      </w:r>
      <w:r w:rsidRPr="00436052">
        <w:rPr>
          <w:rFonts w:cstheme="minorHAnsi"/>
          <w:sz w:val="24"/>
          <w:szCs w:val="24"/>
        </w:rPr>
        <w:t xml:space="preserve"> single oral dose of 400 mg acyclovir </w:t>
      </w:r>
      <w:r w:rsidRPr="00436052">
        <w:rPr>
          <w:rFonts w:cstheme="minorHAnsi"/>
          <w:noProof/>
          <w:sz w:val="24"/>
          <w:szCs w:val="24"/>
        </w:rPr>
        <w:t>[11]</w:t>
      </w:r>
      <w:r w:rsidRPr="00436052">
        <w:rPr>
          <w:rFonts w:cstheme="minorHAnsi"/>
          <w:sz w:val="24"/>
          <w:szCs w:val="24"/>
        </w:rPr>
        <w:t>; 20 trials of 12 subjects (all male) aged 21 to 36 years.</w:t>
      </w:r>
    </w:p>
    <w:p w14:paraId="2EDFF707" w14:textId="77777777" w:rsidR="008D5146" w:rsidRPr="00436052" w:rsidRDefault="008D5146" w:rsidP="000E1EC6">
      <w:pPr>
        <w:pStyle w:val="NoSpacing"/>
        <w:jc w:val="both"/>
        <w:rPr>
          <w:rFonts w:cstheme="minorHAnsi"/>
          <w:sz w:val="24"/>
          <w:szCs w:val="24"/>
        </w:rPr>
      </w:pPr>
    </w:p>
    <w:p w14:paraId="611481A6"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P1</w:t>
      </w:r>
      <w:r w:rsidRPr="00436052">
        <w:rPr>
          <w:rFonts w:cstheme="minorHAnsi"/>
          <w:sz w:val="24"/>
          <w:szCs w:val="24"/>
        </w:rPr>
        <w:t xml:space="preserve"> Multiple oral doses of 200 mg acyclovir three times daily for 5 days </w:t>
      </w:r>
      <w:r w:rsidRPr="00436052">
        <w:rPr>
          <w:rFonts w:cstheme="minorHAnsi"/>
          <w:noProof/>
          <w:sz w:val="24"/>
          <w:szCs w:val="24"/>
        </w:rPr>
        <w:t>[12]</w:t>
      </w:r>
      <w:r w:rsidRPr="00436052">
        <w:rPr>
          <w:rFonts w:cstheme="minorHAnsi"/>
          <w:sz w:val="24"/>
          <w:szCs w:val="24"/>
        </w:rPr>
        <w:t>; 20 trials of 7 pregnant women at 38 GWs and aged 27-39 years.</w:t>
      </w:r>
    </w:p>
    <w:p w14:paraId="6ABEA50A"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P2</w:t>
      </w:r>
      <w:r w:rsidRPr="00436052">
        <w:rPr>
          <w:rFonts w:cstheme="minorHAnsi"/>
          <w:sz w:val="24"/>
          <w:szCs w:val="24"/>
        </w:rPr>
        <w:t xml:space="preserve"> Multiple oral doses of 400 mg acyclovir three times daily for 5 days </w:t>
      </w:r>
      <w:r w:rsidRPr="00436052">
        <w:rPr>
          <w:rFonts w:cstheme="minorHAnsi"/>
          <w:noProof/>
          <w:sz w:val="24"/>
          <w:szCs w:val="24"/>
        </w:rPr>
        <w:t>[12]</w:t>
      </w:r>
      <w:r w:rsidRPr="00436052">
        <w:rPr>
          <w:rFonts w:cstheme="minorHAnsi"/>
          <w:sz w:val="24"/>
          <w:szCs w:val="24"/>
        </w:rPr>
        <w:t>; 20 trials of 8 pregnant women at 38 GWs and aged 27-39 years.</w:t>
      </w:r>
    </w:p>
    <w:p w14:paraId="2ECE702A"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P3</w:t>
      </w:r>
      <w:r w:rsidRPr="00436052">
        <w:rPr>
          <w:rFonts w:cstheme="minorHAnsi"/>
          <w:sz w:val="24"/>
          <w:szCs w:val="24"/>
        </w:rPr>
        <w:t xml:space="preserve"> Multiple oral doses of 400 mg acyclovir three times daily for 5 days </w:t>
      </w:r>
      <w:r w:rsidRPr="00436052">
        <w:rPr>
          <w:rFonts w:cstheme="minorHAnsi"/>
          <w:noProof/>
          <w:sz w:val="24"/>
          <w:szCs w:val="24"/>
        </w:rPr>
        <w:t>[13]</w:t>
      </w:r>
      <w:r w:rsidRPr="00436052">
        <w:rPr>
          <w:rFonts w:cstheme="minorHAnsi"/>
          <w:sz w:val="24"/>
          <w:szCs w:val="24"/>
        </w:rPr>
        <w:t xml:space="preserve">; 20 trials of 27 pregnant women at 36- 40 GWs and aged 20 to 40 years. </w:t>
      </w:r>
    </w:p>
    <w:p w14:paraId="40B1B494"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P4</w:t>
      </w:r>
      <w:r w:rsidRPr="00436052">
        <w:rPr>
          <w:rFonts w:cstheme="minorHAnsi"/>
          <w:sz w:val="24"/>
          <w:szCs w:val="24"/>
        </w:rPr>
        <w:t xml:space="preserve"> Multiple oral doses of 400 mg acyclovir three times daily for 14 days </w:t>
      </w:r>
      <w:r w:rsidRPr="00436052">
        <w:rPr>
          <w:rFonts w:cstheme="minorHAnsi"/>
          <w:noProof/>
          <w:sz w:val="24"/>
          <w:szCs w:val="24"/>
        </w:rPr>
        <w:t>[14]</w:t>
      </w:r>
      <w:r w:rsidRPr="00436052">
        <w:rPr>
          <w:rFonts w:cstheme="minorHAnsi"/>
          <w:sz w:val="24"/>
          <w:szCs w:val="24"/>
        </w:rPr>
        <w:t>; 20 trials of 10 pregnant women at 36 GWs and aged 20 to 30 years.</w:t>
      </w:r>
    </w:p>
    <w:p w14:paraId="7C6969E1"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P5</w:t>
      </w:r>
      <w:r w:rsidRPr="00436052">
        <w:rPr>
          <w:rFonts w:cstheme="minorHAnsi"/>
          <w:sz w:val="24"/>
          <w:szCs w:val="24"/>
        </w:rPr>
        <w:t xml:space="preserve"> </w:t>
      </w:r>
      <w:r w:rsidRPr="00436052">
        <w:rPr>
          <w:rFonts w:eastAsiaTheme="minorEastAsia" w:cstheme="minorHAnsi"/>
          <w:color w:val="000000" w:themeColor="text1"/>
          <w:kern w:val="24"/>
          <w:sz w:val="24"/>
          <w:szCs w:val="24"/>
        </w:rPr>
        <w:t xml:space="preserve">Multiple oral doses of 200 mg acyclovir six times daily for 3 days </w:t>
      </w:r>
      <w:r w:rsidRPr="00436052">
        <w:rPr>
          <w:rFonts w:eastAsiaTheme="minorEastAsia" w:cstheme="minorHAnsi"/>
          <w:noProof/>
          <w:color w:val="000000" w:themeColor="text1"/>
          <w:kern w:val="24"/>
          <w:sz w:val="24"/>
          <w:szCs w:val="24"/>
        </w:rPr>
        <w:t>[15]</w:t>
      </w:r>
      <w:r w:rsidRPr="00436052">
        <w:rPr>
          <w:rFonts w:eastAsiaTheme="minorEastAsia" w:cstheme="minorHAnsi"/>
          <w:color w:val="000000" w:themeColor="text1"/>
          <w:kern w:val="24"/>
          <w:sz w:val="24"/>
          <w:szCs w:val="24"/>
        </w:rPr>
        <w:t>; 20 trials of 3 pregnant women at 37 GWs and aged 20 to 45 years.</w:t>
      </w:r>
    </w:p>
    <w:p w14:paraId="730FCDF4" w14:textId="77777777" w:rsidR="008D5146" w:rsidRPr="00436052" w:rsidRDefault="008D5146" w:rsidP="000E1EC6">
      <w:pPr>
        <w:pStyle w:val="NoSpacing"/>
        <w:jc w:val="both"/>
        <w:rPr>
          <w:rFonts w:cstheme="minorHAnsi"/>
          <w:sz w:val="24"/>
          <w:szCs w:val="24"/>
        </w:rPr>
      </w:pPr>
      <w:r w:rsidRPr="00436052">
        <w:rPr>
          <w:rFonts w:cstheme="minorHAnsi"/>
          <w:b/>
          <w:sz w:val="24"/>
          <w:szCs w:val="24"/>
        </w:rPr>
        <w:t>Trial design P6</w:t>
      </w:r>
      <w:r w:rsidRPr="00436052">
        <w:rPr>
          <w:rFonts w:cstheme="minorHAnsi"/>
          <w:sz w:val="24"/>
          <w:szCs w:val="24"/>
        </w:rPr>
        <w:t xml:space="preserve"> </w:t>
      </w:r>
      <w:r w:rsidRPr="00436052">
        <w:rPr>
          <w:rFonts w:eastAsiaTheme="minorEastAsia" w:cstheme="minorHAnsi"/>
          <w:color w:val="000000" w:themeColor="text1"/>
          <w:kern w:val="24"/>
          <w:sz w:val="24"/>
          <w:szCs w:val="24"/>
        </w:rPr>
        <w:t xml:space="preserve">Multiple oral doses of 300, 400, and 300 mg acyclovir at 12am, 8am and 4pm, respectively repeated for 3 days </w:t>
      </w:r>
      <w:r w:rsidRPr="00436052">
        <w:rPr>
          <w:rFonts w:eastAsiaTheme="minorEastAsia" w:cstheme="minorHAnsi"/>
          <w:noProof/>
          <w:color w:val="000000" w:themeColor="text1"/>
          <w:kern w:val="24"/>
          <w:sz w:val="24"/>
          <w:szCs w:val="24"/>
        </w:rPr>
        <w:t>[15]</w:t>
      </w:r>
      <w:r w:rsidRPr="00436052">
        <w:rPr>
          <w:rFonts w:eastAsiaTheme="minorEastAsia" w:cstheme="minorHAnsi"/>
          <w:color w:val="000000" w:themeColor="text1"/>
          <w:kern w:val="24"/>
          <w:sz w:val="24"/>
          <w:szCs w:val="24"/>
        </w:rPr>
        <w:t>; 20 trials of 2 pregnant women at 37 GWs and aged 20 to 45 years.</w:t>
      </w:r>
    </w:p>
    <w:p w14:paraId="405CF52A" w14:textId="77777777" w:rsidR="008D5146" w:rsidRDefault="008D5146" w:rsidP="000E104B">
      <w:pPr>
        <w:spacing w:line="360" w:lineRule="auto"/>
        <w:jc w:val="both"/>
        <w:rPr>
          <w:rFonts w:eastAsia="Times New Roman" w:cstheme="minorHAnsi"/>
          <w:color w:val="000000"/>
          <w:sz w:val="18"/>
          <w:szCs w:val="18"/>
        </w:rPr>
      </w:pPr>
    </w:p>
    <w:p w14:paraId="493618E9" w14:textId="77777777" w:rsidR="008D5146" w:rsidRDefault="008D5146" w:rsidP="00FD6741">
      <w:pPr>
        <w:pStyle w:val="Heading2"/>
      </w:pPr>
      <w:r w:rsidRPr="00275B52">
        <w:lastRenderedPageBreak/>
        <w:t>Emtricitabine</w:t>
      </w:r>
    </w:p>
    <w:p w14:paraId="3B667584" w14:textId="77777777" w:rsidR="008D5146" w:rsidRPr="002B1B63" w:rsidRDefault="008D5146" w:rsidP="002B1B63">
      <w:pPr>
        <w:pStyle w:val="NoSpacing"/>
        <w:jc w:val="both"/>
      </w:pPr>
      <w:r w:rsidRPr="002B1B63">
        <w:t>All the following virtual trial designs were set for predicting emtricitabine in non-pregnant (NP) and pregnant (P) subjects after oral administration:</w:t>
      </w:r>
    </w:p>
    <w:p w14:paraId="64B71EBE" w14:textId="77777777" w:rsidR="008D5146" w:rsidRPr="002B1B63" w:rsidRDefault="008D5146" w:rsidP="002B1B63">
      <w:pPr>
        <w:pStyle w:val="NoSpacing"/>
        <w:jc w:val="both"/>
        <w:rPr>
          <w:rStyle w:val="fontstyle01"/>
          <w:rFonts w:asciiTheme="minorHAnsi" w:hAnsiTheme="minorHAnsi" w:cstheme="minorHAnsi"/>
          <w:i/>
          <w:sz w:val="24"/>
          <w:szCs w:val="24"/>
        </w:rPr>
      </w:pPr>
      <w:r w:rsidRPr="002B1B63">
        <w:rPr>
          <w:rStyle w:val="fontstyle01"/>
          <w:rFonts w:asciiTheme="minorHAnsi" w:hAnsiTheme="minorHAnsi" w:cstheme="minorHAnsi"/>
          <w:b/>
          <w:bCs/>
          <w:sz w:val="24"/>
          <w:szCs w:val="24"/>
        </w:rPr>
        <w:t>Trial design NP1:</w:t>
      </w:r>
      <w:r w:rsidRPr="002B1B63">
        <w:rPr>
          <w:rStyle w:val="fontstyle01"/>
          <w:rFonts w:asciiTheme="minorHAnsi" w:hAnsiTheme="minorHAnsi" w:cstheme="minorHAnsi"/>
          <w:sz w:val="24"/>
          <w:szCs w:val="24"/>
        </w:rPr>
        <w:t xml:space="preserve"> Single oral dose of 200 mg </w:t>
      </w:r>
      <w:r w:rsidRPr="002B1B63">
        <w:rPr>
          <w:rFonts w:eastAsia="Times New Roman"/>
          <w:lang w:val="en" w:eastAsia="en-GB"/>
        </w:rPr>
        <w:t xml:space="preserve">emtricitabine </w:t>
      </w:r>
      <w:r w:rsidRPr="002B1B63">
        <w:rPr>
          <w:rFonts w:eastAsia="Times New Roman"/>
          <w:noProof/>
          <w:lang w:val="en" w:eastAsia="en-GB"/>
        </w:rPr>
        <w:t>[16]</w:t>
      </w:r>
      <w:r w:rsidRPr="002B1B63">
        <w:rPr>
          <w:rStyle w:val="fontstyle01"/>
          <w:rFonts w:asciiTheme="minorHAnsi" w:hAnsiTheme="minorHAnsi" w:cstheme="minorHAnsi"/>
          <w:sz w:val="24"/>
          <w:szCs w:val="24"/>
        </w:rPr>
        <w:t>; 20 trials of 6 healthy subjects (1 female) aged 18 – 34 years.</w:t>
      </w:r>
    </w:p>
    <w:p w14:paraId="60235E66" w14:textId="77777777" w:rsidR="008D5146" w:rsidRPr="002B1B63" w:rsidRDefault="008D5146" w:rsidP="002B1B63">
      <w:pPr>
        <w:pStyle w:val="NoSpacing"/>
        <w:jc w:val="both"/>
        <w:rPr>
          <w:rStyle w:val="fontstyle01"/>
          <w:rFonts w:asciiTheme="minorHAnsi" w:hAnsiTheme="minorHAnsi" w:cstheme="minorHAnsi"/>
          <w:i/>
          <w:sz w:val="24"/>
          <w:szCs w:val="24"/>
        </w:rPr>
      </w:pPr>
      <w:r w:rsidRPr="002B1B63">
        <w:rPr>
          <w:rStyle w:val="fontstyle01"/>
          <w:rFonts w:asciiTheme="minorHAnsi" w:hAnsiTheme="minorHAnsi" w:cstheme="minorHAnsi"/>
          <w:b/>
          <w:bCs/>
          <w:sz w:val="24"/>
          <w:szCs w:val="24"/>
        </w:rPr>
        <w:t>Trial design NP2:</w:t>
      </w:r>
      <w:r w:rsidRPr="002B1B63">
        <w:rPr>
          <w:rStyle w:val="fontstyle01"/>
          <w:rFonts w:asciiTheme="minorHAnsi" w:hAnsiTheme="minorHAnsi" w:cstheme="minorHAnsi"/>
          <w:sz w:val="24"/>
          <w:szCs w:val="24"/>
        </w:rPr>
        <w:t xml:space="preserve"> Multiple oral doses of 200 mg emtricitabine once a day for 7 days </w:t>
      </w:r>
      <w:r w:rsidRPr="002B1B63">
        <w:rPr>
          <w:rStyle w:val="fontstyle01"/>
          <w:rFonts w:asciiTheme="minorHAnsi" w:hAnsiTheme="minorHAnsi" w:cstheme="minorHAnsi"/>
          <w:noProof/>
          <w:sz w:val="24"/>
          <w:szCs w:val="24"/>
        </w:rPr>
        <w:t>[16]</w:t>
      </w:r>
      <w:r w:rsidRPr="002B1B63">
        <w:rPr>
          <w:rStyle w:val="fontstyle01"/>
          <w:rFonts w:asciiTheme="minorHAnsi" w:hAnsiTheme="minorHAnsi" w:cstheme="minorHAnsi"/>
          <w:sz w:val="24"/>
          <w:szCs w:val="24"/>
        </w:rPr>
        <w:t>; 20 trials of 27 healthy subjects (13 female) aged 19 – 44 years.</w:t>
      </w:r>
    </w:p>
    <w:p w14:paraId="47E9672A" w14:textId="77777777" w:rsidR="008D5146" w:rsidRPr="002B1B63" w:rsidRDefault="008D5146" w:rsidP="002B1B63">
      <w:pPr>
        <w:pStyle w:val="NoSpacing"/>
        <w:jc w:val="both"/>
        <w:rPr>
          <w:rStyle w:val="fontstyle01"/>
          <w:rFonts w:asciiTheme="minorHAnsi" w:hAnsiTheme="minorHAnsi" w:cstheme="minorHAnsi"/>
          <w:i/>
          <w:sz w:val="24"/>
          <w:szCs w:val="24"/>
        </w:rPr>
      </w:pPr>
      <w:r w:rsidRPr="002B1B63">
        <w:rPr>
          <w:rStyle w:val="fontstyle01"/>
          <w:rFonts w:asciiTheme="minorHAnsi" w:hAnsiTheme="minorHAnsi" w:cstheme="minorHAnsi"/>
          <w:b/>
          <w:bCs/>
          <w:sz w:val="24"/>
          <w:szCs w:val="24"/>
        </w:rPr>
        <w:t>Trial design NP3:</w:t>
      </w:r>
      <w:r w:rsidRPr="002B1B63">
        <w:rPr>
          <w:rStyle w:val="fontstyle01"/>
          <w:rFonts w:asciiTheme="minorHAnsi" w:hAnsiTheme="minorHAnsi" w:cstheme="minorHAnsi"/>
          <w:sz w:val="24"/>
          <w:szCs w:val="24"/>
        </w:rPr>
        <w:t xml:space="preserve"> Multiple oral doses of 200 mg emtricitabine once a day for 7 days </w:t>
      </w:r>
      <w:r w:rsidRPr="002B1B63">
        <w:rPr>
          <w:rStyle w:val="fontstyle01"/>
          <w:rFonts w:asciiTheme="minorHAnsi" w:hAnsiTheme="minorHAnsi" w:cstheme="minorHAnsi"/>
          <w:noProof/>
          <w:sz w:val="24"/>
          <w:szCs w:val="24"/>
        </w:rPr>
        <w:t>[17]</w:t>
      </w:r>
      <w:r w:rsidRPr="002B1B63">
        <w:rPr>
          <w:rStyle w:val="fontstyle01"/>
          <w:rFonts w:asciiTheme="minorHAnsi" w:hAnsiTheme="minorHAnsi" w:cstheme="minorHAnsi"/>
          <w:sz w:val="24"/>
          <w:szCs w:val="24"/>
        </w:rPr>
        <w:t>; 20 trials of 16 healthy subjects (3 female) aged 19 – 41 years.</w:t>
      </w:r>
    </w:p>
    <w:p w14:paraId="6027969D" w14:textId="77777777" w:rsidR="008D5146" w:rsidRPr="002B1B63" w:rsidRDefault="008D5146" w:rsidP="002B1B63">
      <w:pPr>
        <w:pStyle w:val="NoSpacing"/>
        <w:jc w:val="both"/>
        <w:rPr>
          <w:color w:val="000000"/>
        </w:rPr>
      </w:pPr>
      <w:r w:rsidRPr="002B1B63">
        <w:rPr>
          <w:rStyle w:val="fontstyle01"/>
          <w:rFonts w:asciiTheme="minorHAnsi" w:hAnsiTheme="minorHAnsi" w:cstheme="minorHAnsi"/>
          <w:b/>
          <w:bCs/>
          <w:sz w:val="24"/>
          <w:szCs w:val="24"/>
        </w:rPr>
        <w:t>Trial design NP4:</w:t>
      </w:r>
      <w:r w:rsidRPr="002B1B63">
        <w:rPr>
          <w:rStyle w:val="fontstyle01"/>
          <w:rFonts w:asciiTheme="minorHAnsi" w:hAnsiTheme="minorHAnsi" w:cstheme="minorHAnsi"/>
          <w:sz w:val="24"/>
          <w:szCs w:val="24"/>
        </w:rPr>
        <w:t xml:space="preserve"> </w:t>
      </w:r>
      <w:r w:rsidRPr="002B1B63">
        <w:rPr>
          <w:color w:val="000000"/>
        </w:rPr>
        <w:t xml:space="preserve">Multiple oral doses of 200 mg emtricitabine once a day for 11 days </w:t>
      </w:r>
      <w:r w:rsidRPr="002B1B63">
        <w:rPr>
          <w:noProof/>
          <w:color w:val="000000"/>
        </w:rPr>
        <w:t>[18]</w:t>
      </w:r>
      <w:r w:rsidRPr="002B1B63">
        <w:rPr>
          <w:color w:val="000000"/>
        </w:rPr>
        <w:t>; 20 trials of 17 subjects (11 female) aged 25 – 60 years.</w:t>
      </w:r>
    </w:p>
    <w:p w14:paraId="69C9F580" w14:textId="77777777" w:rsidR="008D5146" w:rsidRPr="002B1B63" w:rsidRDefault="008D5146" w:rsidP="002B1B63">
      <w:pPr>
        <w:pStyle w:val="NoSpacing"/>
        <w:jc w:val="both"/>
        <w:rPr>
          <w:color w:val="000000"/>
        </w:rPr>
      </w:pPr>
      <w:r w:rsidRPr="002B1B63">
        <w:rPr>
          <w:rStyle w:val="fontstyle01"/>
          <w:rFonts w:asciiTheme="minorHAnsi" w:hAnsiTheme="minorHAnsi" w:cstheme="minorHAnsi"/>
          <w:b/>
          <w:bCs/>
          <w:sz w:val="24"/>
          <w:szCs w:val="24"/>
        </w:rPr>
        <w:t>Trial design NP5:</w:t>
      </w:r>
      <w:r w:rsidRPr="002B1B63">
        <w:rPr>
          <w:rStyle w:val="fontstyle01"/>
          <w:rFonts w:asciiTheme="minorHAnsi" w:hAnsiTheme="minorHAnsi" w:cstheme="minorHAnsi"/>
          <w:sz w:val="24"/>
          <w:szCs w:val="24"/>
        </w:rPr>
        <w:t xml:space="preserve"> </w:t>
      </w:r>
      <w:r w:rsidRPr="002B1B63">
        <w:rPr>
          <w:color w:val="000000"/>
        </w:rPr>
        <w:t xml:space="preserve">Multiple oral doses of 100 mg emtricitabine twice a day for 15 days </w:t>
      </w:r>
      <w:r w:rsidRPr="002B1B63">
        <w:rPr>
          <w:rStyle w:val="fontstyle01"/>
          <w:rFonts w:asciiTheme="minorHAnsi" w:hAnsiTheme="minorHAnsi" w:cstheme="minorHAnsi"/>
          <w:noProof/>
          <w:sz w:val="24"/>
          <w:szCs w:val="24"/>
        </w:rPr>
        <w:t>[19]</w:t>
      </w:r>
      <w:r w:rsidRPr="002B1B63">
        <w:rPr>
          <w:color w:val="000000"/>
        </w:rPr>
        <w:t>; 20 trials of 8 HIV patients (1 female) aged 19 – 45 years.</w:t>
      </w:r>
    </w:p>
    <w:p w14:paraId="03DC21FF" w14:textId="77777777" w:rsidR="008D5146" w:rsidRPr="002B1B63" w:rsidRDefault="008D5146" w:rsidP="002B1B63">
      <w:pPr>
        <w:pStyle w:val="NoSpacing"/>
        <w:jc w:val="both"/>
        <w:rPr>
          <w:color w:val="000000"/>
        </w:rPr>
      </w:pPr>
      <w:r w:rsidRPr="002B1B63">
        <w:rPr>
          <w:rStyle w:val="fontstyle01"/>
          <w:rFonts w:asciiTheme="minorHAnsi" w:hAnsiTheme="minorHAnsi" w:cstheme="minorHAnsi"/>
          <w:b/>
          <w:bCs/>
          <w:sz w:val="24"/>
          <w:szCs w:val="24"/>
        </w:rPr>
        <w:t>Trial design NP6:</w:t>
      </w:r>
      <w:r w:rsidRPr="002B1B63">
        <w:rPr>
          <w:rStyle w:val="fontstyle01"/>
          <w:rFonts w:asciiTheme="minorHAnsi" w:hAnsiTheme="minorHAnsi" w:cstheme="minorHAnsi"/>
          <w:sz w:val="24"/>
          <w:szCs w:val="24"/>
        </w:rPr>
        <w:t xml:space="preserve"> </w:t>
      </w:r>
      <w:r w:rsidRPr="002B1B63">
        <w:rPr>
          <w:color w:val="000000"/>
        </w:rPr>
        <w:t xml:space="preserve">Multiple oral doses of 200 mg emtricitabine twice a day for 15 days </w:t>
      </w:r>
      <w:r w:rsidRPr="002B1B63">
        <w:rPr>
          <w:rStyle w:val="fontstyle01"/>
          <w:rFonts w:asciiTheme="minorHAnsi" w:hAnsiTheme="minorHAnsi" w:cstheme="minorHAnsi"/>
          <w:noProof/>
          <w:sz w:val="24"/>
          <w:szCs w:val="24"/>
        </w:rPr>
        <w:t>[19]</w:t>
      </w:r>
      <w:r w:rsidRPr="002B1B63">
        <w:rPr>
          <w:color w:val="000000"/>
        </w:rPr>
        <w:t>; 20 trials of 8 HIV patients (0 female) aged 19 – 45 years.</w:t>
      </w:r>
    </w:p>
    <w:p w14:paraId="2F10D5BB" w14:textId="77777777" w:rsidR="008D5146" w:rsidRPr="002B1B63" w:rsidRDefault="008D5146" w:rsidP="002B1B63">
      <w:pPr>
        <w:pStyle w:val="NoSpacing"/>
        <w:jc w:val="both"/>
        <w:rPr>
          <w:rStyle w:val="fontstyle01"/>
          <w:rFonts w:asciiTheme="minorHAnsi" w:hAnsiTheme="minorHAnsi" w:cstheme="minorHAnsi"/>
          <w:sz w:val="24"/>
          <w:szCs w:val="24"/>
        </w:rPr>
      </w:pPr>
      <w:r w:rsidRPr="002B1B63">
        <w:rPr>
          <w:rStyle w:val="fontstyle01"/>
          <w:rFonts w:asciiTheme="minorHAnsi" w:hAnsiTheme="minorHAnsi" w:cstheme="minorHAnsi"/>
          <w:b/>
          <w:bCs/>
          <w:sz w:val="24"/>
          <w:szCs w:val="24"/>
        </w:rPr>
        <w:t>Trial design NP7:</w:t>
      </w:r>
      <w:r w:rsidRPr="002B1B63">
        <w:rPr>
          <w:rStyle w:val="fontstyle01"/>
          <w:rFonts w:asciiTheme="minorHAnsi" w:hAnsiTheme="minorHAnsi" w:cstheme="minorHAnsi"/>
          <w:sz w:val="24"/>
          <w:szCs w:val="24"/>
        </w:rPr>
        <w:t xml:space="preserve"> </w:t>
      </w:r>
      <w:r w:rsidRPr="002B1B63">
        <w:rPr>
          <w:color w:val="000000"/>
        </w:rPr>
        <w:t xml:space="preserve">Multiple oral doses of 200 mg emtricitabine once a day for 15 days </w:t>
      </w:r>
      <w:r w:rsidRPr="002B1B63">
        <w:rPr>
          <w:rStyle w:val="fontstyle01"/>
          <w:rFonts w:asciiTheme="minorHAnsi" w:hAnsiTheme="minorHAnsi" w:cstheme="minorHAnsi"/>
          <w:noProof/>
          <w:sz w:val="24"/>
          <w:szCs w:val="24"/>
        </w:rPr>
        <w:t>[19]</w:t>
      </w:r>
      <w:r w:rsidRPr="002B1B63">
        <w:rPr>
          <w:color w:val="000000"/>
        </w:rPr>
        <w:t>; 20 trials of 8 HIV patients (2 female) aged 19 – 45 years.</w:t>
      </w:r>
    </w:p>
    <w:p w14:paraId="33E43336" w14:textId="77777777" w:rsidR="008D5146" w:rsidRPr="002B1B63" w:rsidRDefault="008D5146" w:rsidP="002B1B63">
      <w:pPr>
        <w:pStyle w:val="NoSpacing"/>
        <w:jc w:val="both"/>
        <w:rPr>
          <w:rStyle w:val="fontstyle01"/>
          <w:rFonts w:asciiTheme="minorHAnsi" w:hAnsiTheme="minorHAnsi" w:cstheme="minorHAnsi"/>
          <w:i/>
          <w:sz w:val="24"/>
          <w:szCs w:val="24"/>
        </w:rPr>
      </w:pPr>
      <w:r w:rsidRPr="002B1B63">
        <w:rPr>
          <w:rStyle w:val="fontstyle01"/>
          <w:rFonts w:asciiTheme="minorHAnsi" w:hAnsiTheme="minorHAnsi" w:cstheme="minorHAnsi"/>
          <w:b/>
          <w:bCs/>
          <w:sz w:val="24"/>
          <w:szCs w:val="24"/>
        </w:rPr>
        <w:t>Trial design NP8</w:t>
      </w:r>
      <w:r w:rsidRPr="002B1B63">
        <w:rPr>
          <w:rStyle w:val="fontstyle01"/>
          <w:rFonts w:asciiTheme="minorHAnsi" w:hAnsiTheme="minorHAnsi" w:cstheme="minorHAnsi"/>
          <w:sz w:val="24"/>
          <w:szCs w:val="24"/>
        </w:rPr>
        <w:t xml:space="preserve"> Multiple oral doses of 200 mg emtricitabine once a day for 15 days </w:t>
      </w:r>
      <w:r w:rsidRPr="002B1B63">
        <w:rPr>
          <w:rStyle w:val="fontstyle01"/>
          <w:rFonts w:asciiTheme="minorHAnsi" w:hAnsiTheme="minorHAnsi" w:cstheme="minorHAnsi"/>
          <w:noProof/>
          <w:sz w:val="24"/>
          <w:szCs w:val="24"/>
        </w:rPr>
        <w:t>[20]</w:t>
      </w:r>
      <w:r w:rsidRPr="002B1B63">
        <w:rPr>
          <w:rStyle w:val="fontstyle01"/>
          <w:rFonts w:asciiTheme="minorHAnsi" w:hAnsiTheme="minorHAnsi" w:cstheme="minorHAnsi"/>
          <w:sz w:val="24"/>
          <w:szCs w:val="24"/>
        </w:rPr>
        <w:t>; 20 trials of 25 non-pregnant subjects (8 women) aged 18 – 75 years.</w:t>
      </w:r>
    </w:p>
    <w:p w14:paraId="548D7502" w14:textId="77777777" w:rsidR="008D5146" w:rsidRPr="002B1B63" w:rsidRDefault="008D5146" w:rsidP="002B1B63">
      <w:pPr>
        <w:pStyle w:val="NoSpacing"/>
        <w:jc w:val="both"/>
        <w:rPr>
          <w:iCs/>
          <w:lang w:eastAsia="en-GB"/>
        </w:rPr>
      </w:pPr>
      <w:r w:rsidRPr="002B1B63">
        <w:rPr>
          <w:rStyle w:val="fontstyle01"/>
          <w:rFonts w:asciiTheme="minorHAnsi" w:hAnsiTheme="minorHAnsi" w:cstheme="minorHAnsi"/>
          <w:b/>
          <w:bCs/>
          <w:sz w:val="24"/>
          <w:szCs w:val="24"/>
        </w:rPr>
        <w:t>Trial design NP9:</w:t>
      </w:r>
      <w:r w:rsidRPr="002B1B63">
        <w:rPr>
          <w:rStyle w:val="fontstyle01"/>
          <w:rFonts w:asciiTheme="minorHAnsi" w:hAnsiTheme="minorHAnsi" w:cstheme="minorHAnsi"/>
          <w:sz w:val="24"/>
          <w:szCs w:val="24"/>
        </w:rPr>
        <w:t xml:space="preserve"> </w:t>
      </w:r>
      <w:r w:rsidRPr="002B1B63">
        <w:rPr>
          <w:iCs/>
          <w:lang w:eastAsia="en-GB"/>
        </w:rPr>
        <w:t xml:space="preserve">Multiple oral doses of 200 mg emtricitabine once a day for 15 days </w:t>
      </w:r>
      <w:r w:rsidRPr="002B1B63">
        <w:rPr>
          <w:iCs/>
          <w:noProof/>
          <w:lang w:eastAsia="en-GB"/>
        </w:rPr>
        <w:t>[21]</w:t>
      </w:r>
      <w:r w:rsidRPr="002B1B63">
        <w:rPr>
          <w:iCs/>
          <w:lang w:eastAsia="en-GB"/>
        </w:rPr>
        <w:t>; 20 trials of 22 non-pregnant women aged 19 – 39 years.</w:t>
      </w:r>
    </w:p>
    <w:p w14:paraId="51CEB820" w14:textId="77777777" w:rsidR="008D5146" w:rsidRPr="002B1B63" w:rsidRDefault="008D5146" w:rsidP="002B1B63">
      <w:pPr>
        <w:pStyle w:val="NoSpacing"/>
        <w:jc w:val="both"/>
        <w:rPr>
          <w:iCs/>
          <w:lang w:eastAsia="en-GB"/>
        </w:rPr>
      </w:pPr>
      <w:r w:rsidRPr="002B1B63">
        <w:rPr>
          <w:rStyle w:val="fontstyle01"/>
          <w:rFonts w:asciiTheme="minorHAnsi" w:hAnsiTheme="minorHAnsi" w:cstheme="minorHAnsi"/>
          <w:b/>
          <w:bCs/>
          <w:sz w:val="24"/>
          <w:szCs w:val="24"/>
        </w:rPr>
        <w:t>Trial design NP10:</w:t>
      </w:r>
      <w:r w:rsidRPr="002B1B63">
        <w:rPr>
          <w:rStyle w:val="fontstyle01"/>
          <w:rFonts w:asciiTheme="minorHAnsi" w:hAnsiTheme="minorHAnsi" w:cstheme="minorHAnsi"/>
          <w:sz w:val="24"/>
          <w:szCs w:val="24"/>
        </w:rPr>
        <w:t xml:space="preserve"> </w:t>
      </w:r>
      <w:r w:rsidRPr="002B1B63">
        <w:rPr>
          <w:iCs/>
          <w:lang w:eastAsia="en-GB"/>
        </w:rPr>
        <w:t xml:space="preserve">Multiple oral doses of 200 mg emtricitabine once a day for 15 days </w:t>
      </w:r>
      <w:r w:rsidRPr="002B1B63">
        <w:rPr>
          <w:iCs/>
          <w:noProof/>
          <w:lang w:eastAsia="en-GB"/>
        </w:rPr>
        <w:t>[22]</w:t>
      </w:r>
      <w:r w:rsidRPr="002B1B63">
        <w:rPr>
          <w:iCs/>
          <w:lang w:eastAsia="en-GB"/>
        </w:rPr>
        <w:t>; 20 trials of 24 non-pregnant women aged 19 – 44 years.</w:t>
      </w:r>
    </w:p>
    <w:p w14:paraId="027A7AC5" w14:textId="77777777" w:rsidR="008D5146" w:rsidRPr="002B1B63" w:rsidRDefault="008D5146" w:rsidP="002B1B63">
      <w:pPr>
        <w:pStyle w:val="NoSpacing"/>
        <w:jc w:val="both"/>
        <w:rPr>
          <w:rFonts w:eastAsia="Times New Roman"/>
          <w:color w:val="000000"/>
        </w:rPr>
      </w:pPr>
    </w:p>
    <w:p w14:paraId="2FC4948F" w14:textId="77777777" w:rsidR="008D5146" w:rsidRPr="002B1B63" w:rsidRDefault="008D5146" w:rsidP="002B1B63">
      <w:pPr>
        <w:pStyle w:val="NoSpacing"/>
        <w:jc w:val="both"/>
        <w:rPr>
          <w:rStyle w:val="fontstyle01"/>
          <w:rFonts w:asciiTheme="minorHAnsi" w:hAnsiTheme="minorHAnsi" w:cstheme="minorHAnsi"/>
          <w:i/>
          <w:sz w:val="24"/>
          <w:szCs w:val="24"/>
        </w:rPr>
      </w:pPr>
      <w:r w:rsidRPr="002B1B63">
        <w:rPr>
          <w:rStyle w:val="fontstyle01"/>
          <w:rFonts w:asciiTheme="minorHAnsi" w:hAnsiTheme="minorHAnsi" w:cstheme="minorHAnsi"/>
          <w:b/>
          <w:bCs/>
          <w:sz w:val="24"/>
          <w:szCs w:val="24"/>
        </w:rPr>
        <w:t>Trial design P1</w:t>
      </w:r>
      <w:r w:rsidRPr="002B1B63">
        <w:rPr>
          <w:rStyle w:val="fontstyle01"/>
          <w:rFonts w:asciiTheme="minorHAnsi" w:hAnsiTheme="minorHAnsi" w:cstheme="minorHAnsi"/>
          <w:sz w:val="24"/>
          <w:szCs w:val="24"/>
        </w:rPr>
        <w:t xml:space="preserve"> Multiple oral doses of 200 mg </w:t>
      </w:r>
      <w:r w:rsidRPr="002B1B63">
        <w:rPr>
          <w:rFonts w:eastAsia="Times New Roman"/>
          <w:lang w:val="en" w:eastAsia="en-GB"/>
        </w:rPr>
        <w:t xml:space="preserve">emtricitabine </w:t>
      </w:r>
      <w:r w:rsidRPr="002B1B63">
        <w:rPr>
          <w:rStyle w:val="fontstyle01"/>
          <w:rFonts w:asciiTheme="minorHAnsi" w:hAnsiTheme="minorHAnsi" w:cstheme="minorHAnsi"/>
          <w:sz w:val="24"/>
          <w:szCs w:val="24"/>
        </w:rPr>
        <w:t xml:space="preserve">once a day for 16 days </w:t>
      </w:r>
      <w:r w:rsidRPr="002B1B63">
        <w:rPr>
          <w:rStyle w:val="fontstyle01"/>
          <w:rFonts w:asciiTheme="minorHAnsi" w:hAnsiTheme="minorHAnsi" w:cstheme="minorHAnsi"/>
          <w:noProof/>
          <w:sz w:val="24"/>
          <w:szCs w:val="24"/>
        </w:rPr>
        <w:t>[22]</w:t>
      </w:r>
      <w:r w:rsidRPr="002B1B63">
        <w:rPr>
          <w:rStyle w:val="fontstyle21"/>
          <w:rFonts w:asciiTheme="minorHAnsi" w:hAnsiTheme="minorHAnsi" w:cstheme="minorHAnsi"/>
          <w:sz w:val="24"/>
          <w:szCs w:val="24"/>
        </w:rPr>
        <w:t xml:space="preserve">; </w:t>
      </w:r>
      <w:r w:rsidRPr="002B1B63">
        <w:rPr>
          <w:rStyle w:val="fontstyle01"/>
          <w:rFonts w:asciiTheme="minorHAnsi" w:hAnsiTheme="minorHAnsi" w:cstheme="minorHAnsi"/>
          <w:sz w:val="24"/>
          <w:szCs w:val="24"/>
        </w:rPr>
        <w:t>20 trials of 27 pregnant women between 28 and 38 GWs aged 20 – 44 years.</w:t>
      </w:r>
    </w:p>
    <w:p w14:paraId="2384063F" w14:textId="77777777" w:rsidR="008D5146" w:rsidRPr="002B1B63" w:rsidRDefault="008D5146" w:rsidP="002B1B63">
      <w:pPr>
        <w:pStyle w:val="NoSpacing"/>
        <w:jc w:val="both"/>
        <w:rPr>
          <w:rStyle w:val="fontstyle01"/>
          <w:rFonts w:asciiTheme="minorHAnsi" w:hAnsiTheme="minorHAnsi" w:cstheme="minorHAnsi"/>
          <w:sz w:val="24"/>
          <w:szCs w:val="24"/>
        </w:rPr>
      </w:pPr>
      <w:r w:rsidRPr="002B1B63">
        <w:rPr>
          <w:rStyle w:val="fontstyle01"/>
          <w:rFonts w:asciiTheme="minorHAnsi" w:hAnsiTheme="minorHAnsi" w:cstheme="minorHAnsi"/>
          <w:b/>
          <w:bCs/>
          <w:sz w:val="24"/>
          <w:szCs w:val="24"/>
        </w:rPr>
        <w:t>Trial design P2</w:t>
      </w:r>
      <w:r w:rsidRPr="002B1B63">
        <w:rPr>
          <w:rStyle w:val="fontstyle01"/>
          <w:rFonts w:asciiTheme="minorHAnsi" w:hAnsiTheme="minorHAnsi" w:cstheme="minorHAnsi"/>
          <w:sz w:val="24"/>
          <w:szCs w:val="24"/>
        </w:rPr>
        <w:t xml:space="preserve"> Multiple oral doses of 200 mg </w:t>
      </w:r>
      <w:r w:rsidRPr="002B1B63">
        <w:rPr>
          <w:rFonts w:eastAsia="Times New Roman"/>
          <w:lang w:val="en" w:eastAsia="en-GB"/>
        </w:rPr>
        <w:t xml:space="preserve">emtricitabine </w:t>
      </w:r>
      <w:r w:rsidRPr="002B1B63">
        <w:rPr>
          <w:rStyle w:val="fontstyle01"/>
          <w:rFonts w:asciiTheme="minorHAnsi" w:hAnsiTheme="minorHAnsi" w:cstheme="minorHAnsi"/>
          <w:sz w:val="24"/>
          <w:szCs w:val="24"/>
        </w:rPr>
        <w:t>once a day for 19 days</w:t>
      </w:r>
      <w:r w:rsidRPr="002B1B63">
        <w:rPr>
          <w:rFonts w:eastAsia="Times New Roman"/>
          <w:lang w:val="en" w:eastAsia="en-GB"/>
        </w:rPr>
        <w:t xml:space="preserve"> </w:t>
      </w:r>
      <w:r w:rsidRPr="002B1B63">
        <w:rPr>
          <w:rFonts w:eastAsia="Times New Roman"/>
          <w:noProof/>
          <w:lang w:val="en" w:eastAsia="en-GB"/>
        </w:rPr>
        <w:t>[21]</w:t>
      </w:r>
      <w:r w:rsidRPr="002B1B63">
        <w:rPr>
          <w:rStyle w:val="fontstyle01"/>
          <w:rFonts w:asciiTheme="minorHAnsi" w:hAnsiTheme="minorHAnsi" w:cstheme="minorHAnsi"/>
          <w:sz w:val="24"/>
          <w:szCs w:val="24"/>
        </w:rPr>
        <w:t xml:space="preserve">; 20 trials of 26 pregnant women </w:t>
      </w:r>
      <w:r w:rsidRPr="002B1B63">
        <w:rPr>
          <w:color w:val="000000"/>
        </w:rPr>
        <w:t>between 31 and 38 GWs aged 20 – 39 years</w:t>
      </w:r>
      <w:r w:rsidRPr="002B1B63">
        <w:rPr>
          <w:rStyle w:val="fontstyle01"/>
          <w:rFonts w:asciiTheme="minorHAnsi" w:hAnsiTheme="minorHAnsi" w:cstheme="minorHAnsi"/>
          <w:sz w:val="24"/>
          <w:szCs w:val="24"/>
        </w:rPr>
        <w:t>.</w:t>
      </w:r>
    </w:p>
    <w:p w14:paraId="1AF076A1" w14:textId="77777777" w:rsidR="008D5146" w:rsidRPr="002B1B63" w:rsidRDefault="008D5146" w:rsidP="002B1B63">
      <w:pPr>
        <w:pStyle w:val="NoSpacing"/>
        <w:jc w:val="both"/>
        <w:rPr>
          <w:rStyle w:val="fontstyle01"/>
          <w:rFonts w:asciiTheme="minorHAnsi" w:hAnsiTheme="minorHAnsi" w:cstheme="minorHAnsi"/>
          <w:i/>
          <w:sz w:val="24"/>
          <w:szCs w:val="24"/>
        </w:rPr>
      </w:pPr>
      <w:r w:rsidRPr="002B1B63">
        <w:rPr>
          <w:rStyle w:val="fontstyle01"/>
          <w:rFonts w:asciiTheme="minorHAnsi" w:hAnsiTheme="minorHAnsi" w:cstheme="minorHAnsi"/>
          <w:b/>
          <w:bCs/>
          <w:sz w:val="24"/>
          <w:szCs w:val="24"/>
        </w:rPr>
        <w:t>Trial design P3</w:t>
      </w:r>
      <w:r w:rsidRPr="002B1B63">
        <w:rPr>
          <w:rStyle w:val="fontstyle01"/>
          <w:rFonts w:asciiTheme="minorHAnsi" w:hAnsiTheme="minorHAnsi" w:cstheme="minorHAnsi"/>
          <w:sz w:val="24"/>
          <w:szCs w:val="24"/>
        </w:rPr>
        <w:t xml:space="preserve"> Multiple oral doses of 200 mg </w:t>
      </w:r>
      <w:r w:rsidRPr="002B1B63">
        <w:rPr>
          <w:rFonts w:eastAsia="Times New Roman"/>
          <w:lang w:val="en" w:eastAsia="en-GB"/>
        </w:rPr>
        <w:t xml:space="preserve">emtricitabine </w:t>
      </w:r>
      <w:r w:rsidRPr="002B1B63">
        <w:rPr>
          <w:rStyle w:val="fontstyle01"/>
          <w:rFonts w:asciiTheme="minorHAnsi" w:hAnsiTheme="minorHAnsi" w:cstheme="minorHAnsi"/>
          <w:sz w:val="24"/>
          <w:szCs w:val="24"/>
        </w:rPr>
        <w:t xml:space="preserve">once a day for 19 days </w:t>
      </w:r>
      <w:r w:rsidRPr="002B1B63">
        <w:rPr>
          <w:rFonts w:eastAsia="Times New Roman"/>
          <w:noProof/>
          <w:lang w:val="en" w:eastAsia="en-GB"/>
        </w:rPr>
        <w:t>[21]</w:t>
      </w:r>
      <w:r w:rsidRPr="002B1B63">
        <w:rPr>
          <w:rStyle w:val="fontstyle01"/>
          <w:rFonts w:asciiTheme="minorHAnsi" w:hAnsiTheme="minorHAnsi" w:cstheme="minorHAnsi"/>
          <w:sz w:val="24"/>
          <w:szCs w:val="24"/>
        </w:rPr>
        <w:t>; 20 trials of 26 pregnant women at delivery (38-40 GWs)</w:t>
      </w:r>
      <w:r w:rsidRPr="002B1B63">
        <w:rPr>
          <w:color w:val="000000"/>
        </w:rPr>
        <w:t xml:space="preserve"> aged 20 – 39 years</w:t>
      </w:r>
      <w:r w:rsidRPr="002B1B63">
        <w:rPr>
          <w:rStyle w:val="fontstyle01"/>
          <w:rFonts w:asciiTheme="minorHAnsi" w:hAnsiTheme="minorHAnsi" w:cstheme="minorHAnsi"/>
          <w:sz w:val="24"/>
          <w:szCs w:val="24"/>
        </w:rPr>
        <w:t>.</w:t>
      </w:r>
    </w:p>
    <w:p w14:paraId="1603CCDE" w14:textId="77777777" w:rsidR="008D5146" w:rsidRPr="002B1B63" w:rsidRDefault="008D5146" w:rsidP="002B1B63">
      <w:pPr>
        <w:pStyle w:val="NoSpacing"/>
        <w:jc w:val="both"/>
        <w:rPr>
          <w:rStyle w:val="fontstyle01"/>
          <w:rFonts w:asciiTheme="minorHAnsi" w:hAnsiTheme="minorHAnsi" w:cstheme="minorHAnsi"/>
          <w:sz w:val="24"/>
          <w:szCs w:val="24"/>
        </w:rPr>
      </w:pPr>
      <w:r w:rsidRPr="002B1B63">
        <w:rPr>
          <w:rStyle w:val="fontstyle01"/>
          <w:rFonts w:asciiTheme="minorHAnsi" w:hAnsiTheme="minorHAnsi" w:cstheme="minorHAnsi"/>
          <w:b/>
          <w:bCs/>
          <w:sz w:val="24"/>
          <w:szCs w:val="24"/>
        </w:rPr>
        <w:t>Trial design P4</w:t>
      </w:r>
      <w:r w:rsidRPr="002B1B63">
        <w:rPr>
          <w:rStyle w:val="fontstyle01"/>
          <w:rFonts w:asciiTheme="minorHAnsi" w:hAnsiTheme="minorHAnsi" w:cstheme="minorHAnsi"/>
          <w:sz w:val="24"/>
          <w:szCs w:val="24"/>
        </w:rPr>
        <w:t xml:space="preserve"> Multiple oral doses of 200 mg </w:t>
      </w:r>
      <w:r w:rsidRPr="002B1B63">
        <w:rPr>
          <w:rFonts w:eastAsia="Times New Roman"/>
          <w:lang w:val="en" w:eastAsia="en-GB"/>
        </w:rPr>
        <w:t xml:space="preserve">emtricitabine </w:t>
      </w:r>
      <w:r w:rsidRPr="002B1B63">
        <w:rPr>
          <w:rStyle w:val="fontstyle01"/>
          <w:rFonts w:asciiTheme="minorHAnsi" w:hAnsiTheme="minorHAnsi" w:cstheme="minorHAnsi"/>
          <w:sz w:val="24"/>
          <w:szCs w:val="24"/>
        </w:rPr>
        <w:t xml:space="preserve">once a day for 16 days </w:t>
      </w:r>
      <w:r w:rsidRPr="002B1B63">
        <w:rPr>
          <w:rStyle w:val="fontstyle01"/>
          <w:rFonts w:asciiTheme="minorHAnsi" w:hAnsiTheme="minorHAnsi" w:cstheme="minorHAnsi"/>
          <w:noProof/>
          <w:sz w:val="24"/>
          <w:szCs w:val="24"/>
        </w:rPr>
        <w:t>[23]</w:t>
      </w:r>
      <w:r w:rsidRPr="002B1B63">
        <w:rPr>
          <w:rStyle w:val="fontstyle01"/>
          <w:rFonts w:asciiTheme="minorHAnsi" w:hAnsiTheme="minorHAnsi" w:cstheme="minorHAnsi"/>
          <w:sz w:val="24"/>
          <w:szCs w:val="24"/>
        </w:rPr>
        <w:t>; 20 trials of 20 pregnant women between 23 and 30 GWs aged 20 – 45 years.</w:t>
      </w:r>
    </w:p>
    <w:p w14:paraId="2AD713FA" w14:textId="77777777" w:rsidR="008D5146" w:rsidRPr="002B1B63" w:rsidRDefault="008D5146" w:rsidP="002B1B63">
      <w:pPr>
        <w:pStyle w:val="NoSpacing"/>
        <w:jc w:val="both"/>
        <w:rPr>
          <w:rStyle w:val="fontstyle21"/>
          <w:rFonts w:asciiTheme="minorHAnsi" w:hAnsiTheme="minorHAnsi" w:cstheme="minorHAnsi"/>
          <w:sz w:val="24"/>
          <w:szCs w:val="24"/>
        </w:rPr>
      </w:pPr>
      <w:r w:rsidRPr="002B1B63">
        <w:rPr>
          <w:rStyle w:val="fontstyle01"/>
          <w:rFonts w:asciiTheme="minorHAnsi" w:hAnsiTheme="minorHAnsi" w:cstheme="minorHAnsi"/>
          <w:b/>
          <w:bCs/>
          <w:sz w:val="24"/>
          <w:szCs w:val="24"/>
        </w:rPr>
        <w:t>Trial design P5</w:t>
      </w:r>
      <w:r w:rsidRPr="002B1B63">
        <w:rPr>
          <w:rStyle w:val="fontstyle01"/>
          <w:rFonts w:asciiTheme="minorHAnsi" w:hAnsiTheme="minorHAnsi" w:cstheme="minorHAnsi"/>
          <w:sz w:val="24"/>
          <w:szCs w:val="24"/>
        </w:rPr>
        <w:t xml:space="preserve"> Multiple oral doses of 200 mg </w:t>
      </w:r>
      <w:r w:rsidRPr="002B1B63">
        <w:rPr>
          <w:rFonts w:eastAsia="Times New Roman"/>
          <w:lang w:val="en" w:eastAsia="en-GB"/>
        </w:rPr>
        <w:t xml:space="preserve">emtricitabine </w:t>
      </w:r>
      <w:r w:rsidRPr="002B1B63">
        <w:rPr>
          <w:rStyle w:val="fontstyle01"/>
          <w:rFonts w:asciiTheme="minorHAnsi" w:hAnsiTheme="minorHAnsi" w:cstheme="minorHAnsi"/>
          <w:sz w:val="24"/>
          <w:szCs w:val="24"/>
        </w:rPr>
        <w:t xml:space="preserve">once a day for 16 days </w:t>
      </w:r>
      <w:r w:rsidRPr="002B1B63">
        <w:rPr>
          <w:rStyle w:val="fontstyle01"/>
          <w:rFonts w:asciiTheme="minorHAnsi" w:hAnsiTheme="minorHAnsi" w:cstheme="minorHAnsi"/>
          <w:noProof/>
          <w:sz w:val="24"/>
          <w:szCs w:val="24"/>
        </w:rPr>
        <w:t>[23]</w:t>
      </w:r>
      <w:r w:rsidRPr="002B1B63">
        <w:rPr>
          <w:rStyle w:val="fontstyle01"/>
          <w:rFonts w:asciiTheme="minorHAnsi" w:hAnsiTheme="minorHAnsi" w:cstheme="minorHAnsi"/>
          <w:sz w:val="24"/>
          <w:szCs w:val="24"/>
        </w:rPr>
        <w:t>; 20 trials of 20 pregnant women between 31 and 35 GWs aged 20 – 45 years.</w:t>
      </w:r>
    </w:p>
    <w:p w14:paraId="1826218F" w14:textId="77777777" w:rsidR="008D5146" w:rsidRPr="002B1B63" w:rsidRDefault="008D5146" w:rsidP="002B1B63">
      <w:pPr>
        <w:pStyle w:val="NoSpacing"/>
        <w:jc w:val="both"/>
        <w:rPr>
          <w:rStyle w:val="fontstyle21"/>
          <w:rFonts w:asciiTheme="minorHAnsi" w:hAnsiTheme="minorHAnsi" w:cstheme="minorHAnsi"/>
          <w:sz w:val="24"/>
          <w:szCs w:val="24"/>
        </w:rPr>
      </w:pPr>
      <w:r w:rsidRPr="002B1B63">
        <w:rPr>
          <w:rStyle w:val="fontstyle01"/>
          <w:rFonts w:asciiTheme="minorHAnsi" w:hAnsiTheme="minorHAnsi" w:cstheme="minorHAnsi"/>
          <w:b/>
          <w:bCs/>
          <w:sz w:val="24"/>
          <w:szCs w:val="24"/>
        </w:rPr>
        <w:t>Trial design P6</w:t>
      </w:r>
      <w:r w:rsidRPr="002B1B63">
        <w:rPr>
          <w:rStyle w:val="fontstyle01"/>
          <w:rFonts w:asciiTheme="minorHAnsi" w:hAnsiTheme="minorHAnsi" w:cstheme="minorHAnsi"/>
          <w:sz w:val="24"/>
          <w:szCs w:val="24"/>
        </w:rPr>
        <w:t xml:space="preserve"> Multiple oral doses of 200 mg </w:t>
      </w:r>
      <w:r w:rsidRPr="002B1B63">
        <w:rPr>
          <w:rFonts w:eastAsia="Times New Roman"/>
          <w:lang w:val="en" w:eastAsia="en-GB"/>
        </w:rPr>
        <w:t xml:space="preserve">emtricitabine </w:t>
      </w:r>
      <w:r w:rsidRPr="002B1B63">
        <w:rPr>
          <w:rStyle w:val="fontstyle01"/>
          <w:rFonts w:asciiTheme="minorHAnsi" w:hAnsiTheme="minorHAnsi" w:cstheme="minorHAnsi"/>
          <w:sz w:val="24"/>
          <w:szCs w:val="24"/>
        </w:rPr>
        <w:t xml:space="preserve">once a day for 16 days </w:t>
      </w:r>
      <w:r w:rsidRPr="002B1B63">
        <w:rPr>
          <w:rStyle w:val="fontstyle01"/>
          <w:rFonts w:asciiTheme="minorHAnsi" w:hAnsiTheme="minorHAnsi" w:cstheme="minorHAnsi"/>
          <w:noProof/>
          <w:sz w:val="24"/>
          <w:szCs w:val="24"/>
        </w:rPr>
        <w:t>[23]</w:t>
      </w:r>
      <w:r w:rsidRPr="002B1B63">
        <w:rPr>
          <w:rStyle w:val="fontstyle01"/>
          <w:rFonts w:asciiTheme="minorHAnsi" w:hAnsiTheme="minorHAnsi" w:cstheme="minorHAnsi"/>
          <w:sz w:val="24"/>
          <w:szCs w:val="24"/>
        </w:rPr>
        <w:t>; 20 trials of 20 pregnant women between 36 and 40 GWs aged 20 – 45 years.</w:t>
      </w:r>
    </w:p>
    <w:p w14:paraId="09E22639" w14:textId="57E432D5" w:rsidR="008D5146" w:rsidRPr="002B1B63" w:rsidRDefault="008D5146" w:rsidP="002B1B63">
      <w:pPr>
        <w:pStyle w:val="NoSpacing"/>
        <w:jc w:val="both"/>
        <w:rPr>
          <w:rStyle w:val="fontstyle21"/>
          <w:rFonts w:asciiTheme="minorHAnsi" w:hAnsiTheme="minorHAnsi" w:cstheme="minorHAnsi"/>
          <w:sz w:val="24"/>
          <w:szCs w:val="24"/>
        </w:rPr>
      </w:pPr>
      <w:r w:rsidRPr="002B1B63">
        <w:rPr>
          <w:rStyle w:val="fontstyle01"/>
          <w:rFonts w:asciiTheme="minorHAnsi" w:hAnsiTheme="minorHAnsi" w:cstheme="minorHAnsi"/>
          <w:b/>
          <w:bCs/>
          <w:sz w:val="24"/>
          <w:szCs w:val="24"/>
        </w:rPr>
        <w:t>Trial design P7</w:t>
      </w:r>
      <w:r w:rsidRPr="002B1B63">
        <w:rPr>
          <w:rStyle w:val="fontstyle01"/>
          <w:rFonts w:asciiTheme="minorHAnsi" w:hAnsiTheme="minorHAnsi" w:cstheme="minorHAnsi"/>
          <w:sz w:val="24"/>
          <w:szCs w:val="24"/>
        </w:rPr>
        <w:t xml:space="preserve"> Multiple oral </w:t>
      </w:r>
      <w:r w:rsidR="007D5BEC" w:rsidRPr="002B1B63">
        <w:rPr>
          <w:rStyle w:val="fontstyle01"/>
          <w:rFonts w:asciiTheme="minorHAnsi" w:hAnsiTheme="minorHAnsi" w:cstheme="minorHAnsi"/>
          <w:sz w:val="24"/>
          <w:szCs w:val="24"/>
        </w:rPr>
        <w:t>doses</w:t>
      </w:r>
      <w:r w:rsidRPr="002B1B63">
        <w:rPr>
          <w:rStyle w:val="fontstyle01"/>
          <w:rFonts w:asciiTheme="minorHAnsi" w:hAnsiTheme="minorHAnsi" w:cstheme="minorHAnsi"/>
          <w:sz w:val="24"/>
          <w:szCs w:val="24"/>
        </w:rPr>
        <w:t xml:space="preserve"> of 200 mg </w:t>
      </w:r>
      <w:r w:rsidRPr="002B1B63">
        <w:rPr>
          <w:rFonts w:eastAsia="Times New Roman"/>
          <w:lang w:val="en" w:eastAsia="en-GB"/>
        </w:rPr>
        <w:t xml:space="preserve">emtricitabine </w:t>
      </w:r>
      <w:r w:rsidRPr="002B1B63">
        <w:rPr>
          <w:rStyle w:val="fontstyle01"/>
          <w:rFonts w:asciiTheme="minorHAnsi" w:hAnsiTheme="minorHAnsi" w:cstheme="minorHAnsi"/>
          <w:sz w:val="24"/>
          <w:szCs w:val="24"/>
        </w:rPr>
        <w:t xml:space="preserve">once a day for 16 days </w:t>
      </w:r>
      <w:r w:rsidRPr="002B1B63">
        <w:rPr>
          <w:rStyle w:val="fontstyle01"/>
          <w:rFonts w:asciiTheme="minorHAnsi" w:hAnsiTheme="minorHAnsi" w:cstheme="minorHAnsi"/>
          <w:noProof/>
          <w:sz w:val="24"/>
          <w:szCs w:val="24"/>
        </w:rPr>
        <w:t>[24]</w:t>
      </w:r>
      <w:r w:rsidRPr="002B1B63">
        <w:rPr>
          <w:rStyle w:val="fontstyle21"/>
          <w:rFonts w:asciiTheme="minorHAnsi" w:hAnsiTheme="minorHAnsi" w:cstheme="minorHAnsi"/>
          <w:sz w:val="24"/>
          <w:szCs w:val="24"/>
        </w:rPr>
        <w:t xml:space="preserve">; </w:t>
      </w:r>
      <w:r w:rsidRPr="002B1B63">
        <w:rPr>
          <w:rStyle w:val="fontstyle01"/>
          <w:rFonts w:asciiTheme="minorHAnsi" w:hAnsiTheme="minorHAnsi" w:cstheme="minorHAnsi"/>
          <w:sz w:val="24"/>
          <w:szCs w:val="24"/>
        </w:rPr>
        <w:t>20 trials of 20 pregnant women at 0, 10, 15, 20, 30 and 40 GWs aged 20 – 44 years.</w:t>
      </w:r>
    </w:p>
    <w:p w14:paraId="43E0FFD2" w14:textId="77777777" w:rsidR="008D5146" w:rsidRPr="002B1B63" w:rsidRDefault="008D5146" w:rsidP="002B1B63">
      <w:pPr>
        <w:pStyle w:val="NoSpacing"/>
        <w:jc w:val="both"/>
        <w:rPr>
          <w:rStyle w:val="fontstyle01"/>
          <w:rFonts w:asciiTheme="minorHAnsi" w:hAnsiTheme="minorHAnsi" w:cstheme="minorHAnsi"/>
          <w:i/>
          <w:sz w:val="24"/>
          <w:szCs w:val="24"/>
        </w:rPr>
      </w:pPr>
      <w:r w:rsidRPr="002B1B63">
        <w:rPr>
          <w:rStyle w:val="fontstyle01"/>
          <w:rFonts w:asciiTheme="minorHAnsi" w:hAnsiTheme="minorHAnsi" w:cstheme="minorHAnsi"/>
          <w:b/>
          <w:bCs/>
          <w:sz w:val="24"/>
          <w:szCs w:val="24"/>
        </w:rPr>
        <w:t>Trial design P8</w:t>
      </w:r>
      <w:r w:rsidRPr="002B1B63">
        <w:rPr>
          <w:rStyle w:val="fontstyle01"/>
          <w:rFonts w:asciiTheme="minorHAnsi" w:hAnsiTheme="minorHAnsi" w:cstheme="minorHAnsi"/>
          <w:sz w:val="24"/>
          <w:szCs w:val="24"/>
        </w:rPr>
        <w:t xml:space="preserve"> Single oral dose of 400 mg </w:t>
      </w:r>
      <w:r w:rsidRPr="002B1B63">
        <w:rPr>
          <w:rFonts w:eastAsia="Times New Roman"/>
          <w:lang w:val="en" w:eastAsia="en-GB"/>
        </w:rPr>
        <w:t xml:space="preserve">emtricitabine </w:t>
      </w:r>
      <w:r w:rsidRPr="002B1B63">
        <w:rPr>
          <w:rFonts w:eastAsia="Times New Roman"/>
          <w:noProof/>
          <w:lang w:val="en" w:eastAsia="en-GB"/>
        </w:rPr>
        <w:t>[25]</w:t>
      </w:r>
      <w:r w:rsidRPr="002B1B63">
        <w:rPr>
          <w:rStyle w:val="fontstyle01"/>
          <w:rFonts w:asciiTheme="minorHAnsi" w:hAnsiTheme="minorHAnsi" w:cstheme="minorHAnsi"/>
          <w:sz w:val="24"/>
          <w:szCs w:val="24"/>
        </w:rPr>
        <w:t>; 10 trials of 32 pregnant women between 33 and 40 GWs aged 20 – 45 years.</w:t>
      </w:r>
    </w:p>
    <w:p w14:paraId="29C2EE16" w14:textId="77777777" w:rsidR="008D5146" w:rsidRDefault="008D5146" w:rsidP="000E104B">
      <w:pPr>
        <w:spacing w:line="360" w:lineRule="auto"/>
        <w:jc w:val="both"/>
        <w:rPr>
          <w:rFonts w:eastAsia="Times New Roman" w:cstheme="minorHAnsi"/>
          <w:color w:val="000000"/>
          <w:sz w:val="18"/>
          <w:szCs w:val="18"/>
        </w:rPr>
      </w:pPr>
    </w:p>
    <w:p w14:paraId="363490D1" w14:textId="77777777" w:rsidR="008D5146" w:rsidRDefault="008D5146" w:rsidP="00FD6741">
      <w:pPr>
        <w:pStyle w:val="Heading2"/>
        <w:rPr>
          <w:rFonts w:eastAsia="Times New Roman" w:cstheme="minorHAnsi"/>
          <w:color w:val="000000"/>
          <w:sz w:val="18"/>
          <w:szCs w:val="18"/>
        </w:rPr>
      </w:pPr>
      <w:r w:rsidRPr="00964F36">
        <w:lastRenderedPageBreak/>
        <w:t>Lamivudine</w:t>
      </w:r>
    </w:p>
    <w:p w14:paraId="19A47F10" w14:textId="413AE5AD" w:rsidR="008D5146" w:rsidRDefault="008D5146" w:rsidP="00231A86">
      <w:pPr>
        <w:pStyle w:val="NoSpacing"/>
        <w:jc w:val="both"/>
        <w:rPr>
          <w:rFonts w:cstheme="minorHAnsi"/>
          <w:sz w:val="24"/>
          <w:szCs w:val="24"/>
        </w:rPr>
      </w:pPr>
      <w:r w:rsidRPr="00231A86">
        <w:rPr>
          <w:rFonts w:cstheme="minorHAnsi"/>
          <w:sz w:val="24"/>
          <w:szCs w:val="24"/>
        </w:rPr>
        <w:t>All the following virtual trial designs were set for predicting lamivudine in non-pregnant (NP) and pregnant (P) subjects after either intravenous or oral administrations:</w:t>
      </w:r>
    </w:p>
    <w:p w14:paraId="0B8A04A7" w14:textId="77777777" w:rsidR="00DC3512" w:rsidRPr="00231A86" w:rsidRDefault="00DC3512" w:rsidP="00231A86">
      <w:pPr>
        <w:pStyle w:val="NoSpacing"/>
        <w:jc w:val="both"/>
        <w:rPr>
          <w:rFonts w:cstheme="minorHAnsi"/>
          <w:sz w:val="24"/>
          <w:szCs w:val="24"/>
        </w:rPr>
      </w:pPr>
    </w:p>
    <w:p w14:paraId="56AB5A2F" w14:textId="77777777" w:rsidR="008D5146" w:rsidRPr="00231A86" w:rsidRDefault="008D5146" w:rsidP="00231A86">
      <w:pPr>
        <w:pStyle w:val="NoSpacing"/>
        <w:jc w:val="both"/>
        <w:rPr>
          <w:rFonts w:cstheme="minorHAnsi"/>
          <w:iCs/>
          <w:sz w:val="24"/>
          <w:szCs w:val="24"/>
          <w:lang w:eastAsia="en-GB"/>
        </w:rPr>
      </w:pPr>
      <w:r w:rsidRPr="00231A86">
        <w:rPr>
          <w:rStyle w:val="fontstyle01"/>
          <w:rFonts w:asciiTheme="minorHAnsi" w:hAnsiTheme="minorHAnsi" w:cstheme="minorHAnsi"/>
          <w:b/>
          <w:bCs/>
          <w:sz w:val="24"/>
          <w:szCs w:val="24"/>
        </w:rPr>
        <w:t>Trial design NP1:</w:t>
      </w:r>
      <w:r w:rsidRPr="00231A86">
        <w:rPr>
          <w:rStyle w:val="fontstyle01"/>
          <w:rFonts w:asciiTheme="minorHAnsi" w:hAnsiTheme="minorHAnsi" w:cstheme="minorHAnsi"/>
          <w:sz w:val="24"/>
          <w:szCs w:val="24"/>
        </w:rPr>
        <w:t xml:space="preserve"> Single intravenous dose of 100 mg</w:t>
      </w:r>
      <w:r w:rsidRPr="00231A86">
        <w:rPr>
          <w:rFonts w:cstheme="minorHAnsi"/>
          <w:iCs/>
          <w:sz w:val="24"/>
          <w:szCs w:val="24"/>
          <w:lang w:eastAsia="en-GB"/>
        </w:rPr>
        <w:t xml:space="preserve"> lamivudine infused over 1 hr </w:t>
      </w:r>
      <w:r w:rsidRPr="00231A86">
        <w:rPr>
          <w:rFonts w:cstheme="minorHAnsi"/>
          <w:iCs/>
          <w:noProof/>
          <w:sz w:val="24"/>
          <w:szCs w:val="24"/>
          <w:lang w:eastAsia="en-GB"/>
        </w:rPr>
        <w:t>[6]</w:t>
      </w:r>
      <w:r w:rsidRPr="00231A86">
        <w:rPr>
          <w:rFonts w:cstheme="minorHAnsi"/>
          <w:iCs/>
          <w:sz w:val="24"/>
          <w:szCs w:val="24"/>
          <w:lang w:eastAsia="en-GB"/>
        </w:rPr>
        <w:t xml:space="preserve">; 10 trials of 14 non-pregnant subjects </w:t>
      </w:r>
      <w:r w:rsidRPr="00231A86">
        <w:rPr>
          <w:rFonts w:cstheme="minorHAnsi"/>
          <w:color w:val="000000"/>
          <w:sz w:val="24"/>
          <w:szCs w:val="24"/>
        </w:rPr>
        <w:t xml:space="preserve">(0 female) </w:t>
      </w:r>
      <w:r w:rsidRPr="00231A86">
        <w:rPr>
          <w:rFonts w:cstheme="minorHAnsi"/>
          <w:iCs/>
          <w:sz w:val="24"/>
          <w:szCs w:val="24"/>
          <w:lang w:eastAsia="en-GB"/>
        </w:rPr>
        <w:t>aged 21-47 years (Model Building).</w:t>
      </w:r>
    </w:p>
    <w:p w14:paraId="06AFA0F5" w14:textId="77777777" w:rsidR="008D5146" w:rsidRPr="00231A86" w:rsidRDefault="008D5146" w:rsidP="00231A86">
      <w:pPr>
        <w:pStyle w:val="NoSpacing"/>
        <w:jc w:val="both"/>
        <w:rPr>
          <w:rFonts w:cstheme="minorHAnsi"/>
          <w:color w:val="000000"/>
          <w:sz w:val="24"/>
          <w:szCs w:val="24"/>
        </w:rPr>
      </w:pPr>
      <w:r w:rsidRPr="00231A86">
        <w:rPr>
          <w:rStyle w:val="fontstyle01"/>
          <w:rFonts w:asciiTheme="minorHAnsi" w:hAnsiTheme="minorHAnsi" w:cstheme="minorHAnsi"/>
          <w:b/>
          <w:bCs/>
          <w:sz w:val="24"/>
          <w:szCs w:val="24"/>
        </w:rPr>
        <w:t>Trial design NP2</w:t>
      </w:r>
      <w:r w:rsidRPr="00231A86">
        <w:rPr>
          <w:rFonts w:cstheme="minorHAnsi"/>
          <w:color w:val="000000"/>
          <w:sz w:val="24"/>
          <w:szCs w:val="24"/>
        </w:rPr>
        <w:t xml:space="preserve">: Single intravenous dose of 2 mg/kg lamivudine administered over 1 hr </w:t>
      </w:r>
      <w:r w:rsidRPr="00231A86">
        <w:rPr>
          <w:rFonts w:cstheme="minorHAnsi"/>
          <w:noProof/>
          <w:color w:val="000000"/>
          <w:sz w:val="24"/>
          <w:szCs w:val="24"/>
        </w:rPr>
        <w:t>[26]</w:t>
      </w:r>
      <w:r w:rsidRPr="00231A86">
        <w:rPr>
          <w:rFonts w:cstheme="minorHAnsi"/>
          <w:color w:val="000000"/>
          <w:sz w:val="24"/>
          <w:szCs w:val="24"/>
        </w:rPr>
        <w:t xml:space="preserve">; 10 trials of 10 male subjects aged 26 – 51 years. </w:t>
      </w:r>
    </w:p>
    <w:p w14:paraId="1ABE8F5A" w14:textId="77777777" w:rsidR="008D5146" w:rsidRPr="00231A86" w:rsidRDefault="008D5146" w:rsidP="00231A86">
      <w:pPr>
        <w:pStyle w:val="NoSpacing"/>
        <w:jc w:val="both"/>
        <w:rPr>
          <w:rFonts w:cstheme="minorHAnsi"/>
          <w:color w:val="000000"/>
          <w:sz w:val="24"/>
          <w:szCs w:val="24"/>
        </w:rPr>
      </w:pPr>
      <w:r w:rsidRPr="00231A86">
        <w:rPr>
          <w:rStyle w:val="fontstyle01"/>
          <w:rFonts w:asciiTheme="minorHAnsi" w:hAnsiTheme="minorHAnsi" w:cstheme="minorHAnsi"/>
          <w:b/>
          <w:bCs/>
          <w:sz w:val="24"/>
          <w:szCs w:val="24"/>
        </w:rPr>
        <w:t>Trial design NP3</w:t>
      </w:r>
      <w:r w:rsidRPr="00231A86">
        <w:rPr>
          <w:rFonts w:cstheme="minorHAnsi"/>
          <w:color w:val="000000"/>
          <w:sz w:val="24"/>
          <w:szCs w:val="24"/>
        </w:rPr>
        <w:t xml:space="preserve">: Single intravenous dose of 4 mg/kg lamivudine administered over 1 hr </w:t>
      </w:r>
      <w:r w:rsidRPr="00231A86">
        <w:rPr>
          <w:rFonts w:cstheme="minorHAnsi"/>
          <w:noProof/>
          <w:color w:val="000000"/>
          <w:sz w:val="24"/>
          <w:szCs w:val="24"/>
        </w:rPr>
        <w:t>[26]</w:t>
      </w:r>
      <w:r w:rsidRPr="00231A86">
        <w:rPr>
          <w:rFonts w:cstheme="minorHAnsi"/>
          <w:color w:val="000000"/>
          <w:sz w:val="24"/>
          <w:szCs w:val="24"/>
        </w:rPr>
        <w:t xml:space="preserve">; 10 trials of 10 male subjects aged 26 – 51 years. </w:t>
      </w:r>
    </w:p>
    <w:p w14:paraId="1B8E39F4" w14:textId="77777777" w:rsidR="008D5146" w:rsidRPr="00231A86" w:rsidRDefault="008D5146" w:rsidP="00231A86">
      <w:pPr>
        <w:pStyle w:val="NoSpacing"/>
        <w:jc w:val="both"/>
        <w:rPr>
          <w:rFonts w:cstheme="minorHAnsi"/>
          <w:color w:val="000000"/>
          <w:sz w:val="24"/>
          <w:szCs w:val="24"/>
        </w:rPr>
      </w:pPr>
      <w:r w:rsidRPr="00231A86">
        <w:rPr>
          <w:rStyle w:val="fontstyle01"/>
          <w:rFonts w:asciiTheme="minorHAnsi" w:hAnsiTheme="minorHAnsi" w:cstheme="minorHAnsi"/>
          <w:b/>
          <w:bCs/>
          <w:sz w:val="24"/>
          <w:szCs w:val="24"/>
        </w:rPr>
        <w:t>Trial design NP4</w:t>
      </w:r>
      <w:r w:rsidRPr="00231A86">
        <w:rPr>
          <w:rFonts w:cstheme="minorHAnsi"/>
          <w:color w:val="000000"/>
          <w:sz w:val="24"/>
          <w:szCs w:val="24"/>
        </w:rPr>
        <w:t xml:space="preserve">: Single intravenous dose of 8 mg/kg lamivudine administered over 1 hr </w:t>
      </w:r>
      <w:r w:rsidRPr="00231A86">
        <w:rPr>
          <w:rFonts w:cstheme="minorHAnsi"/>
          <w:noProof/>
          <w:color w:val="000000"/>
          <w:sz w:val="24"/>
          <w:szCs w:val="24"/>
        </w:rPr>
        <w:t>[26]</w:t>
      </w:r>
      <w:r w:rsidRPr="00231A86">
        <w:rPr>
          <w:rFonts w:cstheme="minorHAnsi"/>
          <w:color w:val="000000"/>
          <w:sz w:val="24"/>
          <w:szCs w:val="24"/>
        </w:rPr>
        <w:t xml:space="preserve">; 10 trials of 10 male subjects aged 26 – 51 years. </w:t>
      </w:r>
    </w:p>
    <w:p w14:paraId="3A51F958" w14:textId="77777777" w:rsidR="008D5146" w:rsidRPr="00231A86" w:rsidRDefault="008D5146" w:rsidP="00231A86">
      <w:pPr>
        <w:pStyle w:val="NoSpacing"/>
        <w:jc w:val="both"/>
        <w:rPr>
          <w:rFonts w:cstheme="minorHAnsi"/>
          <w:iCs/>
          <w:sz w:val="24"/>
          <w:szCs w:val="24"/>
          <w:lang w:eastAsia="en-GB"/>
        </w:rPr>
      </w:pPr>
      <w:r w:rsidRPr="00231A86">
        <w:rPr>
          <w:rStyle w:val="fontstyle01"/>
          <w:rFonts w:asciiTheme="minorHAnsi" w:hAnsiTheme="minorHAnsi" w:cstheme="minorHAnsi"/>
          <w:b/>
          <w:bCs/>
          <w:sz w:val="24"/>
          <w:szCs w:val="24"/>
        </w:rPr>
        <w:t>Trial design NP5:</w:t>
      </w:r>
      <w:r w:rsidRPr="00231A86">
        <w:rPr>
          <w:rStyle w:val="fontstyle01"/>
          <w:rFonts w:asciiTheme="minorHAnsi" w:hAnsiTheme="minorHAnsi" w:cstheme="minorHAnsi"/>
          <w:sz w:val="24"/>
          <w:szCs w:val="24"/>
        </w:rPr>
        <w:t xml:space="preserve"> Single oral dose of 300 mg</w:t>
      </w:r>
      <w:r w:rsidRPr="00231A86">
        <w:rPr>
          <w:rFonts w:cstheme="minorHAnsi"/>
          <w:iCs/>
          <w:sz w:val="24"/>
          <w:szCs w:val="24"/>
          <w:lang w:eastAsia="en-GB"/>
        </w:rPr>
        <w:t xml:space="preserve"> lamivudine </w:t>
      </w:r>
      <w:r w:rsidRPr="00231A86">
        <w:rPr>
          <w:rFonts w:cstheme="minorHAnsi"/>
          <w:iCs/>
          <w:noProof/>
          <w:sz w:val="24"/>
          <w:szCs w:val="24"/>
          <w:lang w:eastAsia="en-GB"/>
        </w:rPr>
        <w:t>[4]</w:t>
      </w:r>
      <w:r w:rsidRPr="00231A86">
        <w:rPr>
          <w:rFonts w:cstheme="minorHAnsi"/>
          <w:iCs/>
          <w:sz w:val="24"/>
          <w:szCs w:val="24"/>
          <w:lang w:eastAsia="en-GB"/>
        </w:rPr>
        <w:t xml:space="preserve">; 20 trials of 10 non-pregnant subjects </w:t>
      </w:r>
      <w:r w:rsidRPr="00231A86">
        <w:rPr>
          <w:rFonts w:cstheme="minorHAnsi"/>
          <w:color w:val="000000"/>
          <w:sz w:val="24"/>
          <w:szCs w:val="24"/>
        </w:rPr>
        <w:t xml:space="preserve">(0 female) </w:t>
      </w:r>
      <w:r w:rsidRPr="00231A86">
        <w:rPr>
          <w:rFonts w:cstheme="minorHAnsi"/>
          <w:iCs/>
          <w:sz w:val="24"/>
          <w:szCs w:val="24"/>
          <w:lang w:eastAsia="en-GB"/>
        </w:rPr>
        <w:t>aged 29-41 years (Model Building).</w:t>
      </w:r>
    </w:p>
    <w:p w14:paraId="75D7652E" w14:textId="77777777" w:rsidR="008D5146" w:rsidRPr="00231A86" w:rsidRDefault="008D5146" w:rsidP="00231A86">
      <w:pPr>
        <w:pStyle w:val="NoSpacing"/>
        <w:jc w:val="both"/>
        <w:rPr>
          <w:rFonts w:cstheme="minorHAnsi"/>
          <w:iCs/>
          <w:sz w:val="24"/>
          <w:szCs w:val="24"/>
          <w:lang w:eastAsia="en-GB"/>
        </w:rPr>
      </w:pPr>
      <w:r w:rsidRPr="00231A86">
        <w:rPr>
          <w:rStyle w:val="fontstyle01"/>
          <w:rFonts w:asciiTheme="minorHAnsi" w:hAnsiTheme="minorHAnsi" w:cstheme="minorHAnsi"/>
          <w:b/>
          <w:bCs/>
          <w:sz w:val="24"/>
          <w:szCs w:val="24"/>
        </w:rPr>
        <w:t>Trial design NP6:</w:t>
      </w:r>
      <w:r w:rsidRPr="00231A86">
        <w:rPr>
          <w:rStyle w:val="fontstyle01"/>
          <w:rFonts w:asciiTheme="minorHAnsi" w:hAnsiTheme="minorHAnsi" w:cstheme="minorHAnsi"/>
          <w:sz w:val="24"/>
          <w:szCs w:val="24"/>
        </w:rPr>
        <w:t xml:space="preserve"> Multiple oral doses of 300 mg</w:t>
      </w:r>
      <w:r w:rsidRPr="00231A86">
        <w:rPr>
          <w:rFonts w:cstheme="minorHAnsi"/>
          <w:iCs/>
          <w:sz w:val="24"/>
          <w:szCs w:val="24"/>
          <w:lang w:eastAsia="en-GB"/>
        </w:rPr>
        <w:t xml:space="preserve"> lamivudine once a day </w:t>
      </w:r>
      <w:r w:rsidRPr="00231A86">
        <w:rPr>
          <w:rFonts w:cstheme="minorHAnsi"/>
          <w:iCs/>
          <w:noProof/>
          <w:sz w:val="24"/>
          <w:szCs w:val="24"/>
          <w:lang w:eastAsia="en-GB"/>
        </w:rPr>
        <w:t>[27]</w:t>
      </w:r>
      <w:r w:rsidRPr="00231A86">
        <w:rPr>
          <w:rFonts w:cstheme="minorHAnsi"/>
          <w:iCs/>
          <w:sz w:val="24"/>
          <w:szCs w:val="24"/>
          <w:lang w:eastAsia="en-GB"/>
        </w:rPr>
        <w:t xml:space="preserve">; 20 trials of 60 non-pregnant subjects </w:t>
      </w:r>
      <w:r w:rsidRPr="00231A86">
        <w:rPr>
          <w:rFonts w:cstheme="minorHAnsi"/>
          <w:color w:val="000000"/>
          <w:sz w:val="24"/>
          <w:szCs w:val="24"/>
        </w:rPr>
        <w:t xml:space="preserve">(16 female) </w:t>
      </w:r>
      <w:r w:rsidRPr="00231A86">
        <w:rPr>
          <w:rFonts w:cstheme="minorHAnsi"/>
          <w:iCs/>
          <w:sz w:val="24"/>
          <w:szCs w:val="24"/>
          <w:lang w:eastAsia="en-GB"/>
        </w:rPr>
        <w:t>aged 18-54 years.</w:t>
      </w:r>
    </w:p>
    <w:p w14:paraId="63518919" w14:textId="77777777" w:rsidR="008D5146" w:rsidRPr="00231A86" w:rsidRDefault="008D5146" w:rsidP="00231A86">
      <w:pPr>
        <w:pStyle w:val="NoSpacing"/>
        <w:jc w:val="both"/>
        <w:rPr>
          <w:rFonts w:cstheme="minorHAnsi"/>
          <w:iCs/>
          <w:sz w:val="24"/>
          <w:szCs w:val="24"/>
          <w:lang w:eastAsia="en-GB"/>
        </w:rPr>
      </w:pPr>
      <w:r w:rsidRPr="00231A86">
        <w:rPr>
          <w:rStyle w:val="fontstyle01"/>
          <w:rFonts w:asciiTheme="minorHAnsi" w:hAnsiTheme="minorHAnsi" w:cstheme="minorHAnsi"/>
          <w:b/>
          <w:bCs/>
          <w:sz w:val="24"/>
          <w:szCs w:val="24"/>
        </w:rPr>
        <w:t>Trial design NP7:</w:t>
      </w:r>
      <w:r w:rsidRPr="00231A86">
        <w:rPr>
          <w:rStyle w:val="fontstyle01"/>
          <w:rFonts w:asciiTheme="minorHAnsi" w:hAnsiTheme="minorHAnsi" w:cstheme="minorHAnsi"/>
          <w:sz w:val="24"/>
          <w:szCs w:val="24"/>
        </w:rPr>
        <w:t xml:space="preserve"> Multiple oral doses of 150 mg</w:t>
      </w:r>
      <w:r w:rsidRPr="00231A86">
        <w:rPr>
          <w:rFonts w:cstheme="minorHAnsi"/>
          <w:iCs/>
          <w:sz w:val="24"/>
          <w:szCs w:val="24"/>
          <w:lang w:eastAsia="en-GB"/>
        </w:rPr>
        <w:t xml:space="preserve"> lamivudine twice a day </w:t>
      </w:r>
      <w:r w:rsidRPr="00231A86">
        <w:rPr>
          <w:rFonts w:cstheme="minorHAnsi"/>
          <w:iCs/>
          <w:noProof/>
          <w:sz w:val="24"/>
          <w:szCs w:val="24"/>
          <w:lang w:eastAsia="en-GB"/>
        </w:rPr>
        <w:t>[27]</w:t>
      </w:r>
      <w:r w:rsidRPr="00231A86">
        <w:rPr>
          <w:rFonts w:cstheme="minorHAnsi"/>
          <w:iCs/>
          <w:sz w:val="24"/>
          <w:szCs w:val="24"/>
          <w:lang w:eastAsia="en-GB"/>
        </w:rPr>
        <w:t xml:space="preserve">; 20 trials of 60 non-pregnant subjects </w:t>
      </w:r>
      <w:r w:rsidRPr="00231A86">
        <w:rPr>
          <w:rFonts w:cstheme="minorHAnsi"/>
          <w:color w:val="000000"/>
          <w:sz w:val="24"/>
          <w:szCs w:val="24"/>
        </w:rPr>
        <w:t xml:space="preserve">(16 female) </w:t>
      </w:r>
      <w:r w:rsidRPr="00231A86">
        <w:rPr>
          <w:rFonts w:cstheme="minorHAnsi"/>
          <w:iCs/>
          <w:sz w:val="24"/>
          <w:szCs w:val="24"/>
          <w:lang w:eastAsia="en-GB"/>
        </w:rPr>
        <w:t>aged 18-54 years.</w:t>
      </w:r>
    </w:p>
    <w:p w14:paraId="4A0579CB" w14:textId="77777777" w:rsidR="008D5146" w:rsidRPr="00231A86" w:rsidRDefault="008D5146" w:rsidP="00231A86">
      <w:pPr>
        <w:pStyle w:val="NoSpacing"/>
        <w:jc w:val="both"/>
        <w:rPr>
          <w:rFonts w:cstheme="minorHAnsi"/>
          <w:iCs/>
          <w:sz w:val="24"/>
          <w:szCs w:val="24"/>
          <w:lang w:eastAsia="en-GB"/>
        </w:rPr>
      </w:pPr>
      <w:r w:rsidRPr="00231A86">
        <w:rPr>
          <w:rStyle w:val="fontstyle01"/>
          <w:rFonts w:asciiTheme="minorHAnsi" w:hAnsiTheme="minorHAnsi" w:cstheme="minorHAnsi"/>
          <w:b/>
          <w:bCs/>
          <w:sz w:val="24"/>
          <w:szCs w:val="24"/>
        </w:rPr>
        <w:t>Trial design NP8:</w:t>
      </w:r>
      <w:r w:rsidRPr="00231A86">
        <w:rPr>
          <w:rStyle w:val="fontstyle01"/>
          <w:rFonts w:asciiTheme="minorHAnsi" w:hAnsiTheme="minorHAnsi" w:cstheme="minorHAnsi"/>
          <w:sz w:val="24"/>
          <w:szCs w:val="24"/>
        </w:rPr>
        <w:t xml:space="preserve"> Multiple oral doses of 300 mg</w:t>
      </w:r>
      <w:r w:rsidRPr="00231A86">
        <w:rPr>
          <w:rFonts w:cstheme="minorHAnsi"/>
          <w:iCs/>
          <w:sz w:val="24"/>
          <w:szCs w:val="24"/>
          <w:lang w:eastAsia="en-GB"/>
        </w:rPr>
        <w:t xml:space="preserve"> lamivudine once daily for three days </w:t>
      </w:r>
      <w:r w:rsidRPr="00231A86">
        <w:rPr>
          <w:rFonts w:cstheme="minorHAnsi"/>
          <w:iCs/>
          <w:noProof/>
          <w:sz w:val="24"/>
          <w:szCs w:val="24"/>
          <w:lang w:eastAsia="en-GB"/>
        </w:rPr>
        <w:t>[28]</w:t>
      </w:r>
      <w:r w:rsidRPr="00231A86">
        <w:rPr>
          <w:rFonts w:cstheme="minorHAnsi"/>
          <w:iCs/>
          <w:sz w:val="24"/>
          <w:szCs w:val="24"/>
          <w:lang w:eastAsia="en-GB"/>
        </w:rPr>
        <w:t>; 20 trials of 47 non-pregnant women aged 18-43 years.</w:t>
      </w:r>
    </w:p>
    <w:p w14:paraId="4F1E484C" w14:textId="77777777" w:rsidR="008D5146" w:rsidRPr="00231A86" w:rsidRDefault="008D5146" w:rsidP="00231A86">
      <w:pPr>
        <w:pStyle w:val="NoSpacing"/>
        <w:jc w:val="both"/>
        <w:rPr>
          <w:rFonts w:cstheme="minorHAnsi"/>
          <w:iCs/>
          <w:sz w:val="24"/>
          <w:szCs w:val="24"/>
          <w:lang w:eastAsia="en-GB"/>
        </w:rPr>
      </w:pPr>
      <w:r w:rsidRPr="00231A86">
        <w:rPr>
          <w:rStyle w:val="fontstyle01"/>
          <w:rFonts w:asciiTheme="minorHAnsi" w:hAnsiTheme="minorHAnsi" w:cstheme="minorHAnsi"/>
          <w:b/>
          <w:bCs/>
          <w:sz w:val="24"/>
          <w:szCs w:val="24"/>
        </w:rPr>
        <w:t>Trial design NP9:</w:t>
      </w:r>
      <w:r w:rsidRPr="00231A86">
        <w:rPr>
          <w:rStyle w:val="fontstyle01"/>
          <w:rFonts w:asciiTheme="minorHAnsi" w:hAnsiTheme="minorHAnsi" w:cstheme="minorHAnsi"/>
          <w:sz w:val="24"/>
          <w:szCs w:val="24"/>
        </w:rPr>
        <w:t xml:space="preserve"> Multiple oral doses of </w:t>
      </w:r>
      <w:r w:rsidRPr="00231A86">
        <w:rPr>
          <w:rFonts w:cstheme="minorHAnsi"/>
          <w:iCs/>
          <w:sz w:val="24"/>
          <w:szCs w:val="24"/>
          <w:lang w:eastAsia="en-GB"/>
        </w:rPr>
        <w:t xml:space="preserve">150mg lamivudine twice daily for three days </w:t>
      </w:r>
      <w:r w:rsidRPr="00231A86">
        <w:rPr>
          <w:rFonts w:cstheme="minorHAnsi"/>
          <w:iCs/>
          <w:noProof/>
          <w:sz w:val="24"/>
          <w:szCs w:val="24"/>
          <w:lang w:eastAsia="en-GB"/>
        </w:rPr>
        <w:t>[28]</w:t>
      </w:r>
      <w:r w:rsidRPr="00231A86">
        <w:rPr>
          <w:rFonts w:cstheme="minorHAnsi"/>
          <w:iCs/>
          <w:sz w:val="24"/>
          <w:szCs w:val="24"/>
          <w:lang w:eastAsia="en-GB"/>
        </w:rPr>
        <w:t>; 20 trials of 47 non-pregnant women aged 18-43 years.</w:t>
      </w:r>
    </w:p>
    <w:p w14:paraId="57C8667F" w14:textId="77777777" w:rsidR="008D5146" w:rsidRPr="00231A86" w:rsidRDefault="008D5146" w:rsidP="00231A86">
      <w:pPr>
        <w:pStyle w:val="NoSpacing"/>
        <w:jc w:val="both"/>
        <w:rPr>
          <w:rFonts w:eastAsia="Times New Roman" w:cstheme="minorHAnsi"/>
          <w:color w:val="000000"/>
          <w:sz w:val="24"/>
          <w:szCs w:val="24"/>
        </w:rPr>
      </w:pPr>
    </w:p>
    <w:p w14:paraId="3E10FCA4" w14:textId="77777777" w:rsidR="008D5146" w:rsidRPr="00231A86" w:rsidRDefault="008D5146" w:rsidP="00231A86">
      <w:pPr>
        <w:pStyle w:val="NoSpacing"/>
        <w:jc w:val="both"/>
        <w:rPr>
          <w:rFonts w:cstheme="minorHAnsi"/>
          <w:iCs/>
          <w:sz w:val="24"/>
          <w:szCs w:val="24"/>
          <w:lang w:eastAsia="en-GB"/>
        </w:rPr>
      </w:pPr>
      <w:r w:rsidRPr="00231A86">
        <w:rPr>
          <w:rFonts w:cstheme="minorHAnsi"/>
          <w:b/>
          <w:bCs/>
          <w:iCs/>
          <w:sz w:val="24"/>
          <w:szCs w:val="24"/>
          <w:lang w:eastAsia="en-GB"/>
        </w:rPr>
        <w:t>Trial design P1:</w:t>
      </w:r>
      <w:r w:rsidRPr="00231A86">
        <w:rPr>
          <w:rFonts w:cstheme="minorHAnsi"/>
          <w:iCs/>
          <w:sz w:val="24"/>
          <w:szCs w:val="24"/>
          <w:lang w:eastAsia="en-GB"/>
        </w:rPr>
        <w:t xml:space="preserve"> Single </w:t>
      </w:r>
      <w:r w:rsidRPr="00231A86">
        <w:rPr>
          <w:rStyle w:val="fontstyle01"/>
          <w:rFonts w:asciiTheme="minorHAnsi" w:hAnsiTheme="minorHAnsi" w:cstheme="minorHAnsi"/>
          <w:sz w:val="24"/>
          <w:szCs w:val="24"/>
        </w:rPr>
        <w:t>oral dose of 300 mg</w:t>
      </w:r>
      <w:r w:rsidRPr="00231A86">
        <w:rPr>
          <w:rFonts w:cstheme="minorHAnsi"/>
          <w:iCs/>
          <w:sz w:val="24"/>
          <w:szCs w:val="24"/>
          <w:lang w:eastAsia="en-GB"/>
        </w:rPr>
        <w:t xml:space="preserve"> lamivudine </w:t>
      </w:r>
      <w:r w:rsidRPr="00231A86">
        <w:rPr>
          <w:rFonts w:cstheme="minorHAnsi"/>
          <w:iCs/>
          <w:noProof/>
          <w:sz w:val="24"/>
          <w:szCs w:val="24"/>
          <w:lang w:eastAsia="en-GB"/>
        </w:rPr>
        <w:t>[29]</w:t>
      </w:r>
      <w:r w:rsidRPr="00231A86">
        <w:rPr>
          <w:rFonts w:cstheme="minorHAnsi"/>
          <w:iCs/>
          <w:sz w:val="24"/>
          <w:szCs w:val="24"/>
          <w:lang w:eastAsia="en-GB"/>
        </w:rPr>
        <w:t>; 10 trials of 20 pregnant women at 38 GWs aged 18-34 years.</w:t>
      </w:r>
    </w:p>
    <w:p w14:paraId="2CB8E5A3" w14:textId="77777777" w:rsidR="008D5146" w:rsidRPr="00231A86" w:rsidRDefault="008D5146" w:rsidP="00231A86">
      <w:pPr>
        <w:pStyle w:val="NoSpacing"/>
        <w:jc w:val="both"/>
        <w:rPr>
          <w:rFonts w:cstheme="minorHAnsi"/>
          <w:iCs/>
          <w:sz w:val="24"/>
          <w:szCs w:val="24"/>
          <w:lang w:eastAsia="en-GB"/>
        </w:rPr>
      </w:pPr>
      <w:r w:rsidRPr="00231A86">
        <w:rPr>
          <w:rFonts w:cstheme="minorHAnsi"/>
          <w:b/>
          <w:bCs/>
          <w:iCs/>
          <w:sz w:val="24"/>
          <w:szCs w:val="24"/>
          <w:lang w:eastAsia="en-GB"/>
        </w:rPr>
        <w:t>Trial design P2:</w:t>
      </w:r>
      <w:r w:rsidRPr="00231A86">
        <w:rPr>
          <w:rFonts w:cstheme="minorHAnsi"/>
          <w:iCs/>
          <w:sz w:val="24"/>
          <w:szCs w:val="24"/>
          <w:lang w:eastAsia="en-GB"/>
        </w:rPr>
        <w:t xml:space="preserve"> Multiple </w:t>
      </w:r>
      <w:r w:rsidRPr="00231A86">
        <w:rPr>
          <w:rStyle w:val="fontstyle01"/>
          <w:rFonts w:asciiTheme="minorHAnsi" w:hAnsiTheme="minorHAnsi" w:cstheme="minorHAnsi"/>
          <w:sz w:val="24"/>
          <w:szCs w:val="24"/>
        </w:rPr>
        <w:t>oral doses of 300 mg</w:t>
      </w:r>
      <w:r w:rsidRPr="00231A86">
        <w:rPr>
          <w:rFonts w:cstheme="minorHAnsi"/>
          <w:iCs/>
          <w:sz w:val="24"/>
          <w:szCs w:val="24"/>
          <w:lang w:eastAsia="en-GB"/>
        </w:rPr>
        <w:t xml:space="preserve"> lamivudine twice daily for 4 days </w:t>
      </w:r>
      <w:r w:rsidRPr="00231A86">
        <w:rPr>
          <w:rFonts w:cstheme="minorHAnsi"/>
          <w:iCs/>
          <w:noProof/>
          <w:sz w:val="24"/>
          <w:szCs w:val="24"/>
          <w:lang w:eastAsia="en-GB"/>
        </w:rPr>
        <w:t>[29]</w:t>
      </w:r>
      <w:r w:rsidRPr="00231A86">
        <w:rPr>
          <w:rFonts w:cstheme="minorHAnsi"/>
          <w:iCs/>
          <w:sz w:val="24"/>
          <w:szCs w:val="24"/>
          <w:lang w:eastAsia="en-GB"/>
        </w:rPr>
        <w:t>; 10 trials of 20 pregnant women at 38 GWs aged 18-34 years.</w:t>
      </w:r>
    </w:p>
    <w:p w14:paraId="4C4E71AF" w14:textId="77777777" w:rsidR="008D5146" w:rsidRPr="00231A86" w:rsidRDefault="008D5146" w:rsidP="00231A86">
      <w:pPr>
        <w:pStyle w:val="NoSpacing"/>
        <w:jc w:val="both"/>
        <w:rPr>
          <w:rFonts w:cstheme="minorHAnsi"/>
          <w:iCs/>
          <w:sz w:val="24"/>
          <w:szCs w:val="24"/>
          <w:lang w:eastAsia="en-GB"/>
        </w:rPr>
      </w:pPr>
      <w:r w:rsidRPr="00231A86">
        <w:rPr>
          <w:rFonts w:cstheme="minorHAnsi"/>
          <w:b/>
          <w:bCs/>
          <w:iCs/>
          <w:sz w:val="24"/>
          <w:szCs w:val="24"/>
          <w:lang w:eastAsia="en-GB"/>
        </w:rPr>
        <w:t>Trial design P3</w:t>
      </w:r>
      <w:r w:rsidRPr="00231A86">
        <w:rPr>
          <w:rFonts w:cstheme="minorHAnsi"/>
          <w:iCs/>
          <w:sz w:val="24"/>
          <w:szCs w:val="24"/>
          <w:lang w:eastAsia="en-GB"/>
        </w:rPr>
        <w:t xml:space="preserve">: </w:t>
      </w:r>
      <w:r w:rsidRPr="00231A86">
        <w:rPr>
          <w:rStyle w:val="fontstyle01"/>
          <w:rFonts w:asciiTheme="minorHAnsi" w:hAnsiTheme="minorHAnsi" w:cstheme="minorHAnsi"/>
          <w:sz w:val="24"/>
          <w:szCs w:val="24"/>
        </w:rPr>
        <w:t>Multiple oral doses of 300 mg</w:t>
      </w:r>
      <w:r w:rsidRPr="00231A86">
        <w:rPr>
          <w:rFonts w:cstheme="minorHAnsi"/>
          <w:iCs/>
          <w:sz w:val="24"/>
          <w:szCs w:val="24"/>
          <w:lang w:eastAsia="en-GB"/>
        </w:rPr>
        <w:t xml:space="preserve"> lamivudine once daily for 5 days </w:t>
      </w:r>
      <w:r w:rsidRPr="00231A86">
        <w:rPr>
          <w:rFonts w:cstheme="minorHAnsi"/>
          <w:iCs/>
          <w:noProof/>
          <w:sz w:val="24"/>
          <w:szCs w:val="24"/>
          <w:lang w:eastAsia="en-GB"/>
        </w:rPr>
        <w:t>[28]</w:t>
      </w:r>
      <w:r w:rsidRPr="00231A86">
        <w:rPr>
          <w:rFonts w:cstheme="minorHAnsi"/>
          <w:iCs/>
          <w:sz w:val="24"/>
          <w:szCs w:val="24"/>
          <w:lang w:eastAsia="en-GB"/>
        </w:rPr>
        <w:t xml:space="preserve">; 10 trials of 123 pregnant women </w:t>
      </w:r>
      <w:r w:rsidRPr="00231A86">
        <w:rPr>
          <w:rStyle w:val="fontstyle01"/>
          <w:rFonts w:asciiTheme="minorHAnsi" w:hAnsiTheme="minorHAnsi" w:cstheme="minorHAnsi"/>
          <w:sz w:val="24"/>
          <w:szCs w:val="24"/>
        </w:rPr>
        <w:t xml:space="preserve">between 36 and 40 GWs </w:t>
      </w:r>
      <w:r w:rsidRPr="00231A86">
        <w:rPr>
          <w:rFonts w:cstheme="minorHAnsi"/>
          <w:iCs/>
          <w:sz w:val="24"/>
          <w:szCs w:val="24"/>
          <w:lang w:eastAsia="en-GB"/>
        </w:rPr>
        <w:t>aged 18-43 years.</w:t>
      </w:r>
    </w:p>
    <w:p w14:paraId="786C2DBF" w14:textId="77777777" w:rsidR="008D5146" w:rsidRPr="00231A86" w:rsidRDefault="008D5146" w:rsidP="00231A86">
      <w:pPr>
        <w:pStyle w:val="NoSpacing"/>
        <w:jc w:val="both"/>
        <w:rPr>
          <w:rFonts w:cstheme="minorHAnsi"/>
          <w:iCs/>
          <w:sz w:val="24"/>
          <w:szCs w:val="24"/>
          <w:lang w:eastAsia="en-GB"/>
        </w:rPr>
      </w:pPr>
      <w:r w:rsidRPr="00231A86">
        <w:rPr>
          <w:rFonts w:cstheme="minorHAnsi"/>
          <w:b/>
          <w:bCs/>
          <w:iCs/>
          <w:sz w:val="24"/>
          <w:szCs w:val="24"/>
          <w:lang w:eastAsia="en-GB"/>
        </w:rPr>
        <w:t>Trial design P4</w:t>
      </w:r>
      <w:r w:rsidRPr="00231A86">
        <w:rPr>
          <w:rFonts w:cstheme="minorHAnsi"/>
          <w:iCs/>
          <w:sz w:val="24"/>
          <w:szCs w:val="24"/>
          <w:lang w:eastAsia="en-GB"/>
        </w:rPr>
        <w:t xml:space="preserve">: </w:t>
      </w:r>
      <w:r w:rsidRPr="00231A86">
        <w:rPr>
          <w:rStyle w:val="fontstyle01"/>
          <w:rFonts w:asciiTheme="minorHAnsi" w:hAnsiTheme="minorHAnsi" w:cstheme="minorHAnsi"/>
          <w:sz w:val="24"/>
          <w:szCs w:val="24"/>
        </w:rPr>
        <w:t>Multiple oral doses of 150 mg</w:t>
      </w:r>
      <w:r w:rsidRPr="00231A86">
        <w:rPr>
          <w:rFonts w:cstheme="minorHAnsi"/>
          <w:iCs/>
          <w:sz w:val="24"/>
          <w:szCs w:val="24"/>
          <w:lang w:eastAsia="en-GB"/>
        </w:rPr>
        <w:t xml:space="preserve"> lamivudine twice daily for 5 days </w:t>
      </w:r>
      <w:r w:rsidRPr="00231A86">
        <w:rPr>
          <w:rFonts w:cstheme="minorHAnsi"/>
          <w:iCs/>
          <w:noProof/>
          <w:sz w:val="24"/>
          <w:szCs w:val="24"/>
          <w:lang w:eastAsia="en-GB"/>
        </w:rPr>
        <w:t>[28]</w:t>
      </w:r>
      <w:r w:rsidRPr="00231A86">
        <w:rPr>
          <w:rFonts w:cstheme="minorHAnsi"/>
          <w:iCs/>
          <w:sz w:val="24"/>
          <w:szCs w:val="24"/>
          <w:lang w:eastAsia="en-GB"/>
        </w:rPr>
        <w:t xml:space="preserve">; 10 trials of 123 pregnant women </w:t>
      </w:r>
      <w:r w:rsidRPr="00231A86">
        <w:rPr>
          <w:rStyle w:val="fontstyle01"/>
          <w:rFonts w:asciiTheme="minorHAnsi" w:hAnsiTheme="minorHAnsi" w:cstheme="minorHAnsi"/>
          <w:sz w:val="24"/>
          <w:szCs w:val="24"/>
        </w:rPr>
        <w:t xml:space="preserve">between 36 and 40 GWs </w:t>
      </w:r>
      <w:r w:rsidRPr="00231A86">
        <w:rPr>
          <w:rFonts w:cstheme="minorHAnsi"/>
          <w:iCs/>
          <w:sz w:val="24"/>
          <w:szCs w:val="24"/>
          <w:lang w:eastAsia="en-GB"/>
        </w:rPr>
        <w:t>aged 18-43 years.</w:t>
      </w:r>
    </w:p>
    <w:p w14:paraId="6923FD28" w14:textId="77777777" w:rsidR="008D5146" w:rsidRPr="00231A86" w:rsidRDefault="008D5146" w:rsidP="00231A86">
      <w:pPr>
        <w:pStyle w:val="NoSpacing"/>
        <w:jc w:val="both"/>
        <w:rPr>
          <w:rFonts w:cstheme="minorHAnsi"/>
          <w:iCs/>
          <w:sz w:val="24"/>
          <w:szCs w:val="24"/>
          <w:lang w:eastAsia="en-GB"/>
        </w:rPr>
      </w:pPr>
      <w:r w:rsidRPr="00231A86">
        <w:rPr>
          <w:rFonts w:cstheme="minorHAnsi"/>
          <w:b/>
          <w:bCs/>
          <w:iCs/>
          <w:sz w:val="24"/>
          <w:szCs w:val="24"/>
          <w:lang w:eastAsia="en-GB"/>
        </w:rPr>
        <w:t>Trial design P5:</w:t>
      </w:r>
      <w:r w:rsidRPr="00231A86">
        <w:rPr>
          <w:rFonts w:cstheme="minorHAnsi"/>
          <w:iCs/>
          <w:sz w:val="24"/>
          <w:szCs w:val="24"/>
          <w:lang w:eastAsia="en-GB"/>
        </w:rPr>
        <w:t xml:space="preserve"> </w:t>
      </w:r>
      <w:r w:rsidRPr="00231A86">
        <w:rPr>
          <w:rStyle w:val="fontstyle01"/>
          <w:rFonts w:asciiTheme="minorHAnsi" w:hAnsiTheme="minorHAnsi" w:cstheme="minorHAnsi"/>
          <w:sz w:val="24"/>
          <w:szCs w:val="24"/>
        </w:rPr>
        <w:t>Single oral dose of 300 mg</w:t>
      </w:r>
      <w:r w:rsidRPr="00231A86">
        <w:rPr>
          <w:rFonts w:cstheme="minorHAnsi"/>
          <w:iCs/>
          <w:sz w:val="24"/>
          <w:szCs w:val="24"/>
          <w:lang w:eastAsia="en-GB"/>
        </w:rPr>
        <w:t xml:space="preserve"> lamivudine </w:t>
      </w:r>
      <w:r w:rsidRPr="00231A86">
        <w:rPr>
          <w:rFonts w:cstheme="minorHAnsi"/>
          <w:iCs/>
          <w:noProof/>
          <w:sz w:val="24"/>
          <w:szCs w:val="24"/>
          <w:lang w:eastAsia="en-GB"/>
        </w:rPr>
        <w:t>[28]</w:t>
      </w:r>
      <w:r w:rsidRPr="00231A86">
        <w:rPr>
          <w:rFonts w:cstheme="minorHAnsi"/>
          <w:iCs/>
          <w:sz w:val="24"/>
          <w:szCs w:val="24"/>
          <w:lang w:eastAsia="en-GB"/>
        </w:rPr>
        <w:t xml:space="preserve">; 10 trials of 114 pregnant women </w:t>
      </w:r>
      <w:r w:rsidRPr="00231A86">
        <w:rPr>
          <w:rStyle w:val="fontstyle01"/>
          <w:rFonts w:asciiTheme="minorHAnsi" w:hAnsiTheme="minorHAnsi" w:cstheme="minorHAnsi"/>
          <w:sz w:val="24"/>
          <w:szCs w:val="24"/>
        </w:rPr>
        <w:t xml:space="preserve">at 0, 10, 20, 30 and 40 GWs </w:t>
      </w:r>
      <w:r w:rsidRPr="00231A86">
        <w:rPr>
          <w:rFonts w:cstheme="minorHAnsi"/>
          <w:iCs/>
          <w:sz w:val="24"/>
          <w:szCs w:val="24"/>
          <w:lang w:eastAsia="en-GB"/>
        </w:rPr>
        <w:t>aged 18-43 years.</w:t>
      </w:r>
    </w:p>
    <w:p w14:paraId="24B3E2A4" w14:textId="77777777" w:rsidR="008D5146" w:rsidRPr="00231A86" w:rsidRDefault="008D5146" w:rsidP="00231A86">
      <w:pPr>
        <w:pStyle w:val="NoSpacing"/>
        <w:jc w:val="both"/>
        <w:rPr>
          <w:rFonts w:cstheme="minorHAnsi"/>
          <w:iCs/>
          <w:sz w:val="24"/>
          <w:szCs w:val="24"/>
          <w:lang w:eastAsia="en-GB"/>
        </w:rPr>
      </w:pPr>
      <w:r w:rsidRPr="00231A86">
        <w:rPr>
          <w:rFonts w:cstheme="minorHAnsi"/>
          <w:b/>
          <w:bCs/>
          <w:iCs/>
          <w:sz w:val="24"/>
          <w:szCs w:val="24"/>
          <w:lang w:eastAsia="en-GB"/>
        </w:rPr>
        <w:t xml:space="preserve">Trial design P6: </w:t>
      </w:r>
      <w:r w:rsidRPr="00231A86">
        <w:rPr>
          <w:rFonts w:cstheme="minorHAnsi"/>
          <w:iCs/>
          <w:sz w:val="24"/>
          <w:szCs w:val="24"/>
          <w:lang w:eastAsia="en-GB"/>
        </w:rPr>
        <w:t xml:space="preserve">Multiple </w:t>
      </w:r>
      <w:r w:rsidRPr="00231A86">
        <w:rPr>
          <w:rStyle w:val="fontstyle01"/>
          <w:rFonts w:asciiTheme="minorHAnsi" w:hAnsiTheme="minorHAnsi" w:cstheme="minorHAnsi"/>
          <w:sz w:val="24"/>
          <w:szCs w:val="24"/>
        </w:rPr>
        <w:t>oral doses of 150 mg</w:t>
      </w:r>
      <w:r w:rsidRPr="00231A86">
        <w:rPr>
          <w:rFonts w:cstheme="minorHAnsi"/>
          <w:iCs/>
          <w:sz w:val="24"/>
          <w:szCs w:val="24"/>
          <w:lang w:eastAsia="en-GB"/>
        </w:rPr>
        <w:t xml:space="preserve"> lamivudine twice a day for 4 days </w:t>
      </w:r>
      <w:r w:rsidRPr="00231A86">
        <w:rPr>
          <w:rFonts w:cstheme="minorHAnsi"/>
          <w:iCs/>
          <w:noProof/>
          <w:sz w:val="24"/>
          <w:szCs w:val="24"/>
          <w:lang w:eastAsia="en-GB"/>
        </w:rPr>
        <w:t>[30]</w:t>
      </w:r>
      <w:r w:rsidRPr="00231A86">
        <w:rPr>
          <w:rFonts w:cstheme="minorHAnsi"/>
          <w:iCs/>
          <w:sz w:val="24"/>
          <w:szCs w:val="24"/>
          <w:lang w:eastAsia="en-GB"/>
        </w:rPr>
        <w:t>; 10 trials of 14 pregnant women between 37- 40 GWs aged 22 - 30 years.</w:t>
      </w:r>
    </w:p>
    <w:p w14:paraId="240A71C4" w14:textId="19A26D0B" w:rsidR="008D5146" w:rsidRPr="00231A86" w:rsidRDefault="008D5146" w:rsidP="00231A86">
      <w:pPr>
        <w:pStyle w:val="NoSpacing"/>
        <w:jc w:val="both"/>
        <w:rPr>
          <w:rFonts w:cstheme="minorHAnsi"/>
          <w:iCs/>
          <w:sz w:val="24"/>
          <w:szCs w:val="24"/>
          <w:lang w:eastAsia="en-GB"/>
        </w:rPr>
      </w:pPr>
      <w:r w:rsidRPr="00231A86">
        <w:rPr>
          <w:rFonts w:cstheme="minorHAnsi"/>
          <w:b/>
          <w:bCs/>
          <w:iCs/>
          <w:sz w:val="24"/>
          <w:szCs w:val="24"/>
          <w:lang w:eastAsia="en-GB"/>
        </w:rPr>
        <w:t xml:space="preserve">Trial design P7: </w:t>
      </w:r>
      <w:r w:rsidRPr="00231A86">
        <w:rPr>
          <w:rFonts w:cstheme="minorHAnsi"/>
          <w:iCs/>
          <w:sz w:val="24"/>
          <w:szCs w:val="24"/>
          <w:lang w:eastAsia="en-GB"/>
        </w:rPr>
        <w:t xml:space="preserve">Multiple </w:t>
      </w:r>
      <w:r w:rsidRPr="00231A86">
        <w:rPr>
          <w:rStyle w:val="fontstyle01"/>
          <w:rFonts w:asciiTheme="minorHAnsi" w:hAnsiTheme="minorHAnsi" w:cstheme="minorHAnsi"/>
          <w:sz w:val="24"/>
          <w:szCs w:val="24"/>
        </w:rPr>
        <w:t xml:space="preserve">oral </w:t>
      </w:r>
      <w:r w:rsidR="004453E1" w:rsidRPr="00231A86">
        <w:rPr>
          <w:rStyle w:val="fontstyle01"/>
          <w:rFonts w:asciiTheme="minorHAnsi" w:hAnsiTheme="minorHAnsi" w:cstheme="minorHAnsi"/>
          <w:sz w:val="24"/>
          <w:szCs w:val="24"/>
        </w:rPr>
        <w:t>doses</w:t>
      </w:r>
      <w:r w:rsidRPr="00231A86">
        <w:rPr>
          <w:rStyle w:val="fontstyle01"/>
          <w:rFonts w:asciiTheme="minorHAnsi" w:hAnsiTheme="minorHAnsi" w:cstheme="minorHAnsi"/>
          <w:sz w:val="24"/>
          <w:szCs w:val="24"/>
        </w:rPr>
        <w:t xml:space="preserve"> of 150 mg</w:t>
      </w:r>
      <w:r w:rsidRPr="00231A86">
        <w:rPr>
          <w:rFonts w:cstheme="minorHAnsi"/>
          <w:iCs/>
          <w:sz w:val="24"/>
          <w:szCs w:val="24"/>
          <w:lang w:eastAsia="en-GB"/>
        </w:rPr>
        <w:t xml:space="preserve"> lamivudine twice a day for 4 days </w:t>
      </w:r>
      <w:r w:rsidRPr="00231A86">
        <w:rPr>
          <w:rFonts w:cstheme="minorHAnsi"/>
          <w:iCs/>
          <w:noProof/>
          <w:sz w:val="24"/>
          <w:szCs w:val="24"/>
          <w:lang w:eastAsia="en-GB"/>
        </w:rPr>
        <w:t>[31]</w:t>
      </w:r>
      <w:r w:rsidRPr="00231A86">
        <w:rPr>
          <w:rFonts w:cstheme="minorHAnsi"/>
          <w:iCs/>
          <w:sz w:val="24"/>
          <w:szCs w:val="24"/>
          <w:lang w:eastAsia="en-GB"/>
        </w:rPr>
        <w:t>; 10 trials of 57 pregnant women between 31 and 40 GWs aged 20-41 years.</w:t>
      </w:r>
    </w:p>
    <w:p w14:paraId="3FBB2AEB" w14:textId="7A02C51D" w:rsidR="008D5146" w:rsidRDefault="008D5146" w:rsidP="000E104B">
      <w:pPr>
        <w:spacing w:line="360" w:lineRule="auto"/>
        <w:jc w:val="both"/>
        <w:rPr>
          <w:rFonts w:eastAsia="Times New Roman" w:cstheme="minorHAnsi"/>
          <w:color w:val="000000"/>
          <w:sz w:val="18"/>
          <w:szCs w:val="18"/>
        </w:rPr>
      </w:pPr>
    </w:p>
    <w:p w14:paraId="5750E039" w14:textId="77777777" w:rsidR="00DC3512" w:rsidRDefault="00DC3512" w:rsidP="000E104B">
      <w:pPr>
        <w:spacing w:line="360" w:lineRule="auto"/>
        <w:jc w:val="both"/>
        <w:rPr>
          <w:rFonts w:eastAsia="Times New Roman" w:cstheme="minorHAnsi"/>
          <w:color w:val="000000"/>
          <w:sz w:val="18"/>
          <w:szCs w:val="18"/>
        </w:rPr>
      </w:pPr>
    </w:p>
    <w:p w14:paraId="0A6A547D" w14:textId="77777777" w:rsidR="008D5146" w:rsidRDefault="008D5146" w:rsidP="00FD6741">
      <w:pPr>
        <w:pStyle w:val="Heading2"/>
        <w:rPr>
          <w:lang w:val="en" w:eastAsia="en-GB"/>
        </w:rPr>
      </w:pPr>
      <w:r w:rsidRPr="00900EF1">
        <w:rPr>
          <w:lang w:val="en" w:eastAsia="en-GB"/>
        </w:rPr>
        <w:lastRenderedPageBreak/>
        <w:t>Metformin</w:t>
      </w:r>
    </w:p>
    <w:p w14:paraId="2C37EE18" w14:textId="48E1363C" w:rsidR="008D5146" w:rsidRDefault="008D5146" w:rsidP="00DC3512">
      <w:pPr>
        <w:pStyle w:val="NoSpacing"/>
        <w:jc w:val="both"/>
        <w:rPr>
          <w:lang w:val="en"/>
        </w:rPr>
      </w:pPr>
      <w:r w:rsidRPr="00DC3512">
        <w:rPr>
          <w:lang w:val="en"/>
        </w:rPr>
        <w:t xml:space="preserve">Predicted exposure in non-pregnant </w:t>
      </w:r>
      <w:r w:rsidR="00DC3512">
        <w:rPr>
          <w:lang w:val="en"/>
        </w:rPr>
        <w:t xml:space="preserve">(NP) </w:t>
      </w:r>
      <w:r w:rsidRPr="00DC3512">
        <w:rPr>
          <w:lang w:val="en"/>
        </w:rPr>
        <w:t xml:space="preserve">and pregnant </w:t>
      </w:r>
      <w:r w:rsidR="00DC3512">
        <w:rPr>
          <w:lang w:val="en"/>
        </w:rPr>
        <w:t xml:space="preserve">(P) </w:t>
      </w:r>
      <w:r w:rsidRPr="00DC3512">
        <w:rPr>
          <w:lang w:val="en"/>
        </w:rPr>
        <w:t>populations were compared to the observed data. All the following virtual trial designs were set for the model prediction to match the clinical studies after metformin administration:</w:t>
      </w:r>
    </w:p>
    <w:p w14:paraId="02EA8526" w14:textId="77777777" w:rsidR="00DC3512" w:rsidRPr="00DC3512" w:rsidRDefault="00DC3512" w:rsidP="00DC3512">
      <w:pPr>
        <w:pStyle w:val="NoSpacing"/>
        <w:jc w:val="both"/>
        <w:rPr>
          <w:lang w:val="en"/>
        </w:rPr>
      </w:pPr>
    </w:p>
    <w:p w14:paraId="78B5C869"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NP1: </w:t>
      </w:r>
      <w:r w:rsidRPr="00DC3512">
        <w:rPr>
          <w:rStyle w:val="fontstyle01"/>
          <w:rFonts w:asciiTheme="minorHAnsi" w:hAnsiTheme="minorHAnsi" w:cstheme="minorHAnsi"/>
          <w:sz w:val="24"/>
          <w:szCs w:val="24"/>
        </w:rPr>
        <w:t xml:space="preserve">Trial 1: Multiple oral doses of 390mg metformin base (equivalent to 500 mg metformin salt) twice daily for 2 days </w:t>
      </w:r>
      <w:r w:rsidRPr="00DC3512">
        <w:rPr>
          <w:rStyle w:val="fontstyle01"/>
          <w:rFonts w:asciiTheme="minorHAnsi" w:hAnsiTheme="minorHAnsi" w:cstheme="minorHAnsi"/>
          <w:noProof/>
          <w:sz w:val="24"/>
          <w:szCs w:val="24"/>
        </w:rPr>
        <w:t>[32]</w:t>
      </w:r>
      <w:r w:rsidRPr="00DC3512">
        <w:rPr>
          <w:rStyle w:val="fontstyle01"/>
          <w:rFonts w:asciiTheme="minorHAnsi" w:hAnsiTheme="minorHAnsi" w:cstheme="minorHAnsi"/>
          <w:sz w:val="24"/>
          <w:szCs w:val="24"/>
        </w:rPr>
        <w:t>; 10 trials of 10 non-pregnant women aged 20-40 years.</w:t>
      </w:r>
    </w:p>
    <w:p w14:paraId="70D65F19"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Trial design NP2:</w:t>
      </w:r>
      <w:r w:rsidRPr="00DC3512">
        <w:rPr>
          <w:rStyle w:val="fontstyle01"/>
          <w:rFonts w:asciiTheme="minorHAnsi" w:hAnsiTheme="minorHAnsi" w:cstheme="minorHAnsi"/>
          <w:sz w:val="24"/>
          <w:szCs w:val="24"/>
        </w:rPr>
        <w:t xml:space="preserve"> Multiple oral doses of 390 mg metformin base twice daily for 3 days </w:t>
      </w:r>
      <w:r w:rsidRPr="00DC3512">
        <w:rPr>
          <w:rStyle w:val="fontstyle01"/>
          <w:rFonts w:asciiTheme="minorHAnsi" w:hAnsiTheme="minorHAnsi" w:cstheme="minorHAnsi"/>
          <w:noProof/>
          <w:sz w:val="24"/>
          <w:szCs w:val="24"/>
        </w:rPr>
        <w:t>[33]</w:t>
      </w:r>
      <w:r w:rsidRPr="00DC3512">
        <w:rPr>
          <w:rStyle w:val="fontstyle01"/>
          <w:rFonts w:asciiTheme="minorHAnsi" w:hAnsiTheme="minorHAnsi" w:cstheme="minorHAnsi"/>
          <w:sz w:val="24"/>
          <w:szCs w:val="24"/>
        </w:rPr>
        <w:t>; 10 trials of 10 non-pregnant women aged 18-45 years.</w:t>
      </w:r>
    </w:p>
    <w:p w14:paraId="6B0B4521" w14:textId="333B84D2"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NP3: </w:t>
      </w:r>
      <w:r w:rsidRPr="00DC3512">
        <w:rPr>
          <w:rStyle w:val="fontstyle01"/>
          <w:rFonts w:asciiTheme="minorHAnsi" w:hAnsiTheme="minorHAnsi" w:cstheme="minorHAnsi"/>
          <w:sz w:val="24"/>
          <w:szCs w:val="24"/>
        </w:rPr>
        <w:t>Multiple oral doses of 780 mg metformin base1000mg (equivalent to metformin salt) twice daily for 3 days</w:t>
      </w:r>
      <w:r w:rsidR="004453E1">
        <w:rPr>
          <w:rStyle w:val="fontstyle01"/>
          <w:rFonts w:asciiTheme="minorHAnsi" w:hAnsiTheme="minorHAnsi" w:cstheme="minorHAnsi"/>
          <w:sz w:val="24"/>
          <w:szCs w:val="24"/>
        </w:rPr>
        <w:t xml:space="preserve"> </w:t>
      </w:r>
      <w:r w:rsidRPr="00DC3512">
        <w:rPr>
          <w:rStyle w:val="fontstyle01"/>
          <w:rFonts w:asciiTheme="minorHAnsi" w:hAnsiTheme="minorHAnsi" w:cstheme="minorHAnsi"/>
          <w:noProof/>
          <w:sz w:val="24"/>
          <w:szCs w:val="24"/>
        </w:rPr>
        <w:t>[33]</w:t>
      </w:r>
      <w:r w:rsidRPr="00DC3512">
        <w:rPr>
          <w:rStyle w:val="fontstyle01"/>
          <w:rFonts w:asciiTheme="minorHAnsi" w:hAnsiTheme="minorHAnsi" w:cstheme="minorHAnsi"/>
          <w:sz w:val="24"/>
          <w:szCs w:val="24"/>
        </w:rPr>
        <w:t>; 10 trials of 14 non-pregnant women aged 18-45 years.</w:t>
      </w:r>
    </w:p>
    <w:p w14:paraId="2A67F75B" w14:textId="77777777" w:rsidR="008D5146" w:rsidRPr="00DC3512" w:rsidRDefault="008D5146" w:rsidP="00DC3512">
      <w:pPr>
        <w:pStyle w:val="NoSpacing"/>
        <w:jc w:val="both"/>
        <w:rPr>
          <w:rStyle w:val="fontstyle01"/>
          <w:rFonts w:asciiTheme="minorHAnsi" w:hAnsiTheme="minorHAnsi" w:cstheme="minorHAnsi"/>
          <w:sz w:val="24"/>
          <w:szCs w:val="24"/>
        </w:rPr>
      </w:pPr>
    </w:p>
    <w:p w14:paraId="718914FA"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P1: </w:t>
      </w:r>
      <w:r w:rsidRPr="00DC3512">
        <w:rPr>
          <w:rStyle w:val="fontstyle01"/>
          <w:rFonts w:asciiTheme="minorHAnsi" w:hAnsiTheme="minorHAnsi" w:cstheme="minorHAnsi"/>
          <w:sz w:val="24"/>
          <w:szCs w:val="24"/>
        </w:rPr>
        <w:t xml:space="preserve">Trial 1: Multiple oral doses of 390 mg metformin base twice daily for 2 days </w:t>
      </w:r>
      <w:r w:rsidRPr="00DC3512">
        <w:rPr>
          <w:rStyle w:val="fontstyle01"/>
          <w:rFonts w:asciiTheme="minorHAnsi" w:hAnsiTheme="minorHAnsi" w:cstheme="minorHAnsi"/>
          <w:noProof/>
          <w:sz w:val="24"/>
          <w:szCs w:val="24"/>
        </w:rPr>
        <w:t>[32]</w:t>
      </w:r>
      <w:r w:rsidRPr="00DC3512">
        <w:rPr>
          <w:rStyle w:val="fontstyle01"/>
          <w:rFonts w:asciiTheme="minorHAnsi" w:hAnsiTheme="minorHAnsi" w:cstheme="minorHAnsi"/>
          <w:sz w:val="24"/>
          <w:szCs w:val="24"/>
        </w:rPr>
        <w:t>; 10 trials of 10 pregnant women at 10-14 GWs and aged 20-40 years.</w:t>
      </w:r>
    </w:p>
    <w:p w14:paraId="32F6C07E"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Trial design P2</w:t>
      </w:r>
      <w:r w:rsidRPr="00DC3512">
        <w:rPr>
          <w:rStyle w:val="fontstyle01"/>
          <w:rFonts w:asciiTheme="minorHAnsi" w:hAnsiTheme="minorHAnsi" w:cstheme="minorHAnsi"/>
          <w:sz w:val="24"/>
          <w:szCs w:val="24"/>
        </w:rPr>
        <w:t xml:space="preserve">: Multiple oral doses of 390 mg metformin base twice daily for 2 days </w:t>
      </w:r>
      <w:r w:rsidRPr="00DC3512">
        <w:rPr>
          <w:rStyle w:val="fontstyle01"/>
          <w:rFonts w:asciiTheme="minorHAnsi" w:hAnsiTheme="minorHAnsi" w:cstheme="minorHAnsi"/>
          <w:noProof/>
          <w:sz w:val="24"/>
          <w:szCs w:val="24"/>
        </w:rPr>
        <w:t>[32]</w:t>
      </w:r>
      <w:r w:rsidRPr="00DC3512">
        <w:rPr>
          <w:rStyle w:val="fontstyle01"/>
          <w:rFonts w:asciiTheme="minorHAnsi" w:hAnsiTheme="minorHAnsi" w:cstheme="minorHAnsi"/>
          <w:sz w:val="24"/>
          <w:szCs w:val="24"/>
        </w:rPr>
        <w:t>; 10 trials of 10 pregnant women at 22-26 GWs and aged 20-40 years.</w:t>
      </w:r>
    </w:p>
    <w:p w14:paraId="3F437D69"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P3: </w:t>
      </w:r>
      <w:r w:rsidRPr="00DC3512">
        <w:rPr>
          <w:rStyle w:val="fontstyle01"/>
          <w:rFonts w:asciiTheme="minorHAnsi" w:hAnsiTheme="minorHAnsi" w:cstheme="minorHAnsi"/>
          <w:sz w:val="24"/>
          <w:szCs w:val="24"/>
        </w:rPr>
        <w:t xml:space="preserve">Multiple oral doses of 390 mg metformin base twice daily for 2 days </w:t>
      </w:r>
      <w:r w:rsidRPr="00DC3512">
        <w:rPr>
          <w:rStyle w:val="fontstyle01"/>
          <w:rFonts w:asciiTheme="minorHAnsi" w:hAnsiTheme="minorHAnsi" w:cstheme="minorHAnsi"/>
          <w:noProof/>
          <w:sz w:val="24"/>
          <w:szCs w:val="24"/>
        </w:rPr>
        <w:t>[32]</w:t>
      </w:r>
      <w:r w:rsidRPr="00DC3512">
        <w:rPr>
          <w:rStyle w:val="fontstyle01"/>
          <w:rFonts w:asciiTheme="minorHAnsi" w:hAnsiTheme="minorHAnsi" w:cstheme="minorHAnsi"/>
          <w:sz w:val="24"/>
          <w:szCs w:val="24"/>
        </w:rPr>
        <w:t>; 10 trials of 10 pregnant women at 34-38 GWs and aged 20-40 years.</w:t>
      </w:r>
    </w:p>
    <w:p w14:paraId="1B2F049B"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P4: </w:t>
      </w:r>
      <w:r w:rsidRPr="00DC3512">
        <w:rPr>
          <w:rStyle w:val="fontstyle01"/>
          <w:rFonts w:asciiTheme="minorHAnsi" w:hAnsiTheme="minorHAnsi" w:cstheme="minorHAnsi"/>
          <w:sz w:val="24"/>
          <w:szCs w:val="24"/>
        </w:rPr>
        <w:t xml:space="preserve">Multiple oral doses of 390 mg metformin base twice daily for 3 days </w:t>
      </w:r>
      <w:r w:rsidRPr="00DC3512">
        <w:rPr>
          <w:rStyle w:val="fontstyle01"/>
          <w:rFonts w:asciiTheme="minorHAnsi" w:hAnsiTheme="minorHAnsi" w:cstheme="minorHAnsi"/>
          <w:noProof/>
          <w:sz w:val="24"/>
          <w:szCs w:val="24"/>
        </w:rPr>
        <w:t>[33]</w:t>
      </w:r>
      <w:r w:rsidRPr="00DC3512">
        <w:rPr>
          <w:rStyle w:val="fontstyle01"/>
          <w:rFonts w:asciiTheme="minorHAnsi" w:hAnsiTheme="minorHAnsi" w:cstheme="minorHAnsi"/>
          <w:sz w:val="24"/>
          <w:szCs w:val="24"/>
        </w:rPr>
        <w:t>; 10 trials of 39 pregnant women between 26-38 GWs and aged 18-45 years.</w:t>
      </w:r>
    </w:p>
    <w:p w14:paraId="75D07184"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P5: </w:t>
      </w:r>
      <w:r w:rsidRPr="00DC3512">
        <w:rPr>
          <w:rStyle w:val="fontstyle01"/>
          <w:rFonts w:asciiTheme="minorHAnsi" w:hAnsiTheme="minorHAnsi" w:cstheme="minorHAnsi"/>
          <w:sz w:val="24"/>
          <w:szCs w:val="24"/>
        </w:rPr>
        <w:t xml:space="preserve">Multiple oral doses of 780 mg metformin base twice daily for 3 days </w:t>
      </w:r>
      <w:r w:rsidRPr="00DC3512">
        <w:rPr>
          <w:rStyle w:val="fontstyle01"/>
          <w:rFonts w:asciiTheme="minorHAnsi" w:hAnsiTheme="minorHAnsi" w:cstheme="minorHAnsi"/>
          <w:noProof/>
          <w:sz w:val="24"/>
          <w:szCs w:val="24"/>
        </w:rPr>
        <w:t>[33]</w:t>
      </w:r>
      <w:r w:rsidRPr="00DC3512">
        <w:rPr>
          <w:rStyle w:val="fontstyle01"/>
          <w:rFonts w:asciiTheme="minorHAnsi" w:hAnsiTheme="minorHAnsi" w:cstheme="minorHAnsi"/>
          <w:sz w:val="24"/>
          <w:szCs w:val="24"/>
        </w:rPr>
        <w:t>; 10 trials of 15 non-pregnant women between 26-38 GWs and aged 18-45 years.</w:t>
      </w:r>
    </w:p>
    <w:p w14:paraId="589FD288"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P6: </w:t>
      </w:r>
      <w:r w:rsidRPr="00DC3512">
        <w:rPr>
          <w:rStyle w:val="fontstyle01"/>
          <w:rFonts w:asciiTheme="minorHAnsi" w:hAnsiTheme="minorHAnsi" w:cstheme="minorHAnsi"/>
          <w:sz w:val="24"/>
          <w:szCs w:val="24"/>
        </w:rPr>
        <w:t xml:space="preserve">Multiple oral doses of 730 mg metformin base every 8.8 h for 4 days </w:t>
      </w:r>
      <w:r w:rsidRPr="00DC3512">
        <w:rPr>
          <w:rStyle w:val="fontstyle01"/>
          <w:rFonts w:asciiTheme="minorHAnsi" w:hAnsiTheme="minorHAnsi" w:cstheme="minorHAnsi"/>
          <w:noProof/>
          <w:sz w:val="24"/>
          <w:szCs w:val="24"/>
        </w:rPr>
        <w:t>[34]</w:t>
      </w:r>
      <w:r w:rsidRPr="00DC3512">
        <w:rPr>
          <w:rStyle w:val="fontstyle01"/>
          <w:rFonts w:asciiTheme="minorHAnsi" w:hAnsiTheme="minorHAnsi" w:cstheme="minorHAnsi"/>
          <w:sz w:val="24"/>
          <w:szCs w:val="24"/>
        </w:rPr>
        <w:t>; 10 trials of 27 pregnant women at 40 GWs and aged 26-43 years.</w:t>
      </w:r>
    </w:p>
    <w:p w14:paraId="065C95BC" w14:textId="77777777" w:rsidR="008D5146" w:rsidRPr="00DC3512" w:rsidRDefault="008D5146" w:rsidP="00DC3512">
      <w:pPr>
        <w:pStyle w:val="NoSpacing"/>
        <w:jc w:val="both"/>
        <w:rPr>
          <w:rStyle w:val="fontstyle01"/>
          <w:rFonts w:asciiTheme="minorHAnsi" w:hAnsiTheme="minorHAnsi" w:cstheme="minorHAnsi"/>
          <w:sz w:val="24"/>
          <w:szCs w:val="24"/>
        </w:rPr>
      </w:pPr>
      <w:r w:rsidRPr="00DC3512">
        <w:rPr>
          <w:b/>
          <w:bCs/>
          <w:iCs/>
        </w:rPr>
        <w:t xml:space="preserve">Trial design P7: </w:t>
      </w:r>
      <w:r w:rsidRPr="00DC3512">
        <w:rPr>
          <w:color w:val="000000"/>
        </w:rPr>
        <w:t xml:space="preserve">Multiple oral doses of 780 mg metformin base every 12 hrs for 3 days </w:t>
      </w:r>
      <w:r w:rsidRPr="00DC3512">
        <w:rPr>
          <w:noProof/>
          <w:color w:val="000000"/>
        </w:rPr>
        <w:t>[35]</w:t>
      </w:r>
      <w:r w:rsidRPr="00DC3512">
        <w:rPr>
          <w:color w:val="000000"/>
        </w:rPr>
        <w:t>; 10 trials of 15 pregnant women at 36 GWs and aged 21–44 years.</w:t>
      </w:r>
    </w:p>
    <w:p w14:paraId="28E8F71C" w14:textId="77777777" w:rsidR="008D5146" w:rsidRPr="00DC3512" w:rsidRDefault="008D5146" w:rsidP="00DC3512">
      <w:pPr>
        <w:pStyle w:val="NoSpacing"/>
        <w:jc w:val="both"/>
        <w:rPr>
          <w:rFonts w:eastAsia="Times New Roman"/>
          <w:iCs/>
        </w:rPr>
      </w:pPr>
      <w:r w:rsidRPr="00DC3512">
        <w:rPr>
          <w:b/>
          <w:bCs/>
          <w:iCs/>
        </w:rPr>
        <w:t xml:space="preserve">Trial design P8: </w:t>
      </w:r>
      <w:r w:rsidRPr="00DC3512">
        <w:rPr>
          <w:color w:val="000000"/>
        </w:rPr>
        <w:t xml:space="preserve">Multiple oral doses of 663 mg metformin base every 12 hrs for 3 days </w:t>
      </w:r>
      <w:r w:rsidRPr="00DC3512">
        <w:rPr>
          <w:noProof/>
          <w:color w:val="000000"/>
        </w:rPr>
        <w:t>[36]</w:t>
      </w:r>
      <w:r w:rsidRPr="00DC3512">
        <w:rPr>
          <w:color w:val="000000"/>
        </w:rPr>
        <w:t>; 10 trials of 10 pregnant women between 35 – 40 GWs and aged 18–40 years.</w:t>
      </w:r>
    </w:p>
    <w:p w14:paraId="0C5CAE4A" w14:textId="77777777" w:rsidR="008D5146" w:rsidRDefault="008D5146" w:rsidP="000E104B">
      <w:pPr>
        <w:spacing w:line="360" w:lineRule="auto"/>
        <w:jc w:val="both"/>
        <w:rPr>
          <w:rFonts w:eastAsia="Times New Roman" w:cstheme="minorHAnsi"/>
          <w:color w:val="000000"/>
          <w:sz w:val="18"/>
          <w:szCs w:val="18"/>
        </w:rPr>
      </w:pPr>
    </w:p>
    <w:p w14:paraId="5A96FA70" w14:textId="77777777" w:rsidR="008D5146" w:rsidRDefault="008D5146" w:rsidP="000E104B">
      <w:pPr>
        <w:spacing w:line="360" w:lineRule="auto"/>
        <w:jc w:val="both"/>
        <w:rPr>
          <w:rFonts w:eastAsia="Times New Roman" w:cstheme="minorHAnsi"/>
          <w:color w:val="000000"/>
          <w:sz w:val="18"/>
          <w:szCs w:val="18"/>
        </w:rPr>
      </w:pPr>
    </w:p>
    <w:p w14:paraId="6D12854F" w14:textId="77777777" w:rsidR="008D5146" w:rsidRDefault="008D5146" w:rsidP="000E104B">
      <w:pPr>
        <w:spacing w:line="360" w:lineRule="auto"/>
        <w:jc w:val="both"/>
        <w:rPr>
          <w:rFonts w:eastAsia="Times New Roman" w:cstheme="minorHAnsi"/>
          <w:color w:val="000000"/>
          <w:sz w:val="18"/>
          <w:szCs w:val="18"/>
        </w:rPr>
      </w:pPr>
    </w:p>
    <w:p w14:paraId="2004EEDD" w14:textId="651AD83A" w:rsidR="00AA74CA" w:rsidRDefault="00AA74CA" w:rsidP="00AA74CA"/>
    <w:p w14:paraId="51E602E9" w14:textId="000A7652" w:rsidR="00AA74CA" w:rsidRDefault="00AA74CA" w:rsidP="00AA74CA"/>
    <w:p w14:paraId="2C69DAD1" w14:textId="73FC5226" w:rsidR="00AA74CA" w:rsidRDefault="00AA74CA" w:rsidP="00AA74CA"/>
    <w:p w14:paraId="31E87B8F" w14:textId="77777777" w:rsidR="00AA74CA" w:rsidRDefault="00AA74CA" w:rsidP="00AA74CA"/>
    <w:p w14:paraId="7A9113BE" w14:textId="3EE6317A" w:rsidR="008D5146" w:rsidRDefault="008D5146" w:rsidP="00150C35">
      <w:pPr>
        <w:pStyle w:val="Heading1"/>
      </w:pPr>
      <w:r w:rsidRPr="00150C35">
        <w:lastRenderedPageBreak/>
        <w:t>Figure S1. Contribution of different elimination pathways to the overall renal clearance</w:t>
      </w:r>
    </w:p>
    <w:p w14:paraId="2AAF5D88" w14:textId="77777777" w:rsidR="008D5146" w:rsidRPr="009E1E5E" w:rsidRDefault="008D5146" w:rsidP="009E1E5E">
      <w:r w:rsidRPr="009E1E5E">
        <w:rPr>
          <w:noProof/>
        </w:rPr>
        <w:drawing>
          <wp:inline distT="0" distB="0" distL="0" distR="0" wp14:anchorId="3A6C3658" wp14:editId="646D936D">
            <wp:extent cx="5731510" cy="4885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885690"/>
                    </a:xfrm>
                    <a:prstGeom prst="rect">
                      <a:avLst/>
                    </a:prstGeom>
                    <a:noFill/>
                    <a:ln>
                      <a:noFill/>
                    </a:ln>
                  </pic:spPr>
                </pic:pic>
              </a:graphicData>
            </a:graphic>
          </wp:inline>
        </w:drawing>
      </w:r>
    </w:p>
    <w:p w14:paraId="24A3E77A" w14:textId="77777777" w:rsidR="008D5146" w:rsidRDefault="008D5146" w:rsidP="000E104B">
      <w:pPr>
        <w:spacing w:line="360" w:lineRule="auto"/>
        <w:jc w:val="both"/>
        <w:rPr>
          <w:rFonts w:eastAsia="Times New Roman" w:cstheme="minorHAnsi"/>
          <w:color w:val="000000"/>
          <w:sz w:val="18"/>
          <w:szCs w:val="18"/>
        </w:rPr>
      </w:pPr>
      <w:r>
        <w:rPr>
          <w:rFonts w:eastAsia="Times New Roman" w:cstheme="minorHAnsi"/>
          <w:color w:val="000000"/>
          <w:sz w:val="18"/>
          <w:szCs w:val="18"/>
        </w:rPr>
        <w:t xml:space="preserve"> </w:t>
      </w:r>
    </w:p>
    <w:p w14:paraId="3EF3E838" w14:textId="77777777" w:rsidR="008D5146" w:rsidRDefault="008D5146" w:rsidP="000E104B">
      <w:pPr>
        <w:spacing w:line="360" w:lineRule="auto"/>
        <w:jc w:val="both"/>
        <w:rPr>
          <w:rFonts w:eastAsia="Times New Roman" w:cstheme="minorHAnsi"/>
          <w:color w:val="000000"/>
          <w:sz w:val="18"/>
          <w:szCs w:val="18"/>
        </w:rPr>
      </w:pPr>
    </w:p>
    <w:p w14:paraId="2E208F53" w14:textId="77777777" w:rsidR="008D5146" w:rsidRPr="0017450F" w:rsidRDefault="008D5146" w:rsidP="00621FC1">
      <w:pPr>
        <w:rPr>
          <w:b/>
          <w:bCs/>
        </w:rPr>
      </w:pPr>
      <w:r w:rsidRPr="0017450F">
        <w:rPr>
          <w:b/>
          <w:bCs/>
        </w:rPr>
        <w:t>References</w:t>
      </w:r>
    </w:p>
    <w:p w14:paraId="32273AF8" w14:textId="77777777" w:rsidR="008D5146" w:rsidRPr="00FD6741" w:rsidRDefault="008D5146" w:rsidP="00FD6741">
      <w:pPr>
        <w:pStyle w:val="EndNoteBibliography"/>
        <w:spacing w:after="0"/>
      </w:pPr>
      <w:r w:rsidRPr="00FD6741">
        <w:t>1.</w:t>
      </w:r>
      <w:r w:rsidRPr="00FD6741">
        <w:tab/>
        <w:t>Matsuzaki T, Scotcher D, Darwich AS, Galetin A, Rostami-Hodjegan A. Towards Further Verification of Physiologically-Based Kidney Models: Predictability of the Effects of Urine-Flow and Urine-pH on Renal Clearance. J Pharmacol Exp Ther. 2019 Feb;368(2):157-68.</w:t>
      </w:r>
    </w:p>
    <w:p w14:paraId="260E1170" w14:textId="77777777" w:rsidR="008D5146" w:rsidRPr="00FD6741" w:rsidRDefault="008D5146" w:rsidP="00FD6741">
      <w:pPr>
        <w:pStyle w:val="EndNoteBibliography"/>
        <w:spacing w:after="0"/>
      </w:pPr>
      <w:r w:rsidRPr="00FD6741">
        <w:t>2.</w:t>
      </w:r>
      <w:r w:rsidRPr="00FD6741">
        <w:tab/>
        <w:t>Strauch S, Jantratid E, Dressman JB, Junginger HE, Kopp S, Midha KK, et al. Biowaiver monographs for immediate release solid oral dosage forms: lamivudine. J Pharm Sci. 2011 Jun;100(6):2054-63.</w:t>
      </w:r>
    </w:p>
    <w:p w14:paraId="04BFCB42" w14:textId="77777777" w:rsidR="008D5146" w:rsidRPr="00FD6741" w:rsidRDefault="008D5146" w:rsidP="00FD6741">
      <w:pPr>
        <w:pStyle w:val="EndNoteBibliography"/>
        <w:spacing w:after="0"/>
      </w:pPr>
      <w:r w:rsidRPr="00FD6741">
        <w:t>3.</w:t>
      </w:r>
      <w:r w:rsidRPr="00FD6741">
        <w:tab/>
        <w:t>Vergin H, Kikuta C, Mascher H, Metz R. Pharmacokinetics and bioavailability of different formulations of aciclovir. Arzneimittelforschung. 1995 Apr;45(4):508-15.</w:t>
      </w:r>
    </w:p>
    <w:p w14:paraId="4CE56716" w14:textId="77777777" w:rsidR="008D5146" w:rsidRPr="00FD6741" w:rsidRDefault="008D5146" w:rsidP="00FD6741">
      <w:pPr>
        <w:pStyle w:val="EndNoteBibliography"/>
        <w:spacing w:after="0"/>
      </w:pPr>
      <w:r w:rsidRPr="00FD6741">
        <w:lastRenderedPageBreak/>
        <w:t>4.</w:t>
      </w:r>
      <w:r w:rsidRPr="00FD6741">
        <w:tab/>
        <w:t>Heald AE, Hsyu PH, Yuen GJ, Robinson P, Mydlow P, Bartlett JA. Pharmacokinetics of lamivudine in human immunodeficiency virus-infected patients with renal dysfunction. Antimicrob Agents Chemother. 1996 Jun;40(6):1514-9.</w:t>
      </w:r>
    </w:p>
    <w:p w14:paraId="17B0951B" w14:textId="77777777" w:rsidR="008D5146" w:rsidRPr="00FD6741" w:rsidRDefault="008D5146" w:rsidP="00FD6741">
      <w:pPr>
        <w:pStyle w:val="EndNoteBibliography"/>
        <w:spacing w:after="0"/>
      </w:pPr>
      <w:r w:rsidRPr="00FD6741">
        <w:t>5.</w:t>
      </w:r>
      <w:r w:rsidRPr="00FD6741">
        <w:tab/>
        <w:t xml:space="preserve">FDA. Lamuvidine ID: 4157751 </w:t>
      </w:r>
      <w:r w:rsidRPr="008D5146">
        <w:t>https://www.accessdata.fda.gov/drugsatfda_docs/label/2017/020564s37_020596s036lbl.pdf</w:t>
      </w:r>
      <w:r w:rsidRPr="00FD6741">
        <w:t>. 2017.</w:t>
      </w:r>
    </w:p>
    <w:p w14:paraId="6C54E5AD" w14:textId="77777777" w:rsidR="008D5146" w:rsidRPr="00FD6741" w:rsidRDefault="008D5146" w:rsidP="00FD6741">
      <w:pPr>
        <w:pStyle w:val="EndNoteBibliography"/>
        <w:spacing w:after="0"/>
      </w:pPr>
      <w:r w:rsidRPr="00FD6741">
        <w:t>6.</w:t>
      </w:r>
      <w:r w:rsidRPr="00FD6741">
        <w:tab/>
        <w:t>Yuen GJ, Morris DM, Mydlow PK, Haidar S, Hall ST, Hussey EK. Pharmacokinetics, absolute bioavailability, and absorption characteristics of lamivudine. J Clin Pharmacol. 1995 Dec;35(12):1174-80.</w:t>
      </w:r>
    </w:p>
    <w:p w14:paraId="0FFC18E2" w14:textId="77777777" w:rsidR="008D5146" w:rsidRPr="00FD6741" w:rsidRDefault="008D5146" w:rsidP="00FD6741">
      <w:pPr>
        <w:pStyle w:val="EndNoteBibliography"/>
        <w:spacing w:after="0"/>
      </w:pPr>
      <w:r w:rsidRPr="00FD6741">
        <w:t>7.</w:t>
      </w:r>
      <w:r w:rsidRPr="00FD6741">
        <w:tab/>
        <w:t>de Souza J, Benet LZ, Huang Y, Storpirtis S. Comparison of bidirectional lamivudine and zidovudine transport using MDCK, MDCK-MDR1, and Caco-2 cell monolayers. J Pharm Sci. 2009 Nov;98(11):4413-9.</w:t>
      </w:r>
    </w:p>
    <w:p w14:paraId="55535378" w14:textId="77777777" w:rsidR="008D5146" w:rsidRPr="00FD6741" w:rsidRDefault="008D5146" w:rsidP="00FD6741">
      <w:pPr>
        <w:pStyle w:val="EndNoteBibliography"/>
        <w:spacing w:after="0"/>
      </w:pPr>
      <w:r w:rsidRPr="00FD6741">
        <w:t>8.</w:t>
      </w:r>
      <w:r w:rsidRPr="00FD6741">
        <w:tab/>
        <w:t>Laskin OL, Longstreth JA, Saral R, de Miranda P, Keeney R, Lietman PS. Pharmacokinetics and tolerance of acyclovir, a new anti-herpesvirus agent, in humans. Antimicrob Agents Chemother. 1982 Mar;21(3):393-8.</w:t>
      </w:r>
    </w:p>
    <w:p w14:paraId="78B5F35D" w14:textId="77777777" w:rsidR="008D5146" w:rsidRPr="00FD6741" w:rsidRDefault="008D5146" w:rsidP="00FD6741">
      <w:pPr>
        <w:pStyle w:val="EndNoteBibliography"/>
        <w:spacing w:after="0"/>
      </w:pPr>
      <w:r w:rsidRPr="00FD6741">
        <w:t>9.</w:t>
      </w:r>
      <w:r w:rsidRPr="00FD6741">
        <w:tab/>
        <w:t>Soul-Lawton J, Seaber E, On N, Wootton R, Rolan P, Posner J. Absolute bioavailability and metabolic disposition of valaciclovir, the L-valyl ester of acyclovir, following oral administration to humans. Antimicrob Agents Chemother. 1995 Dec;39(12):2759-64.</w:t>
      </w:r>
    </w:p>
    <w:p w14:paraId="77462FA4" w14:textId="77777777" w:rsidR="008D5146" w:rsidRPr="00FD6741" w:rsidRDefault="008D5146" w:rsidP="00FD6741">
      <w:pPr>
        <w:pStyle w:val="EndNoteBibliography"/>
        <w:spacing w:after="0"/>
      </w:pPr>
      <w:r w:rsidRPr="00FD6741">
        <w:t>10.</w:t>
      </w:r>
      <w:r w:rsidRPr="00FD6741">
        <w:tab/>
        <w:t>Lewis LD, Fowle AS, Bittiner SB, Bye A, Isaacs PE. Human gastrointestinal absorption of acyclovir from tablet duodenal infusion and sipped solution. Br J Clin Pharmacol. 1986 Apr;21(4):459-62.</w:t>
      </w:r>
    </w:p>
    <w:p w14:paraId="5A9EA654" w14:textId="77777777" w:rsidR="008D5146" w:rsidRPr="00FD6741" w:rsidRDefault="008D5146" w:rsidP="00FD6741">
      <w:pPr>
        <w:pStyle w:val="EndNoteBibliography"/>
        <w:spacing w:after="0"/>
      </w:pPr>
      <w:r w:rsidRPr="00FD6741">
        <w:t>11.</w:t>
      </w:r>
      <w:r w:rsidRPr="00FD6741">
        <w:tab/>
        <w:t>Amini H, Javan M, Gazerani P, Ghaffari A, Ahmadiani A. Lack of bioequivalence between two aciclovir tablets in healthy subjects. Clin Drug Investig. 2008;28(1):47-53.</w:t>
      </w:r>
    </w:p>
    <w:p w14:paraId="135FD92F" w14:textId="77777777" w:rsidR="008D5146" w:rsidRPr="00FD6741" w:rsidRDefault="008D5146" w:rsidP="00FD6741">
      <w:pPr>
        <w:pStyle w:val="EndNoteBibliography"/>
        <w:spacing w:after="0"/>
      </w:pPr>
      <w:r w:rsidRPr="00FD6741">
        <w:t>12.</w:t>
      </w:r>
      <w:r w:rsidRPr="00FD6741">
        <w:tab/>
        <w:t>Frenkel LM, Brown ZA, Bryson YJ, Corey L, Unadkat JD, Hensleigh PA, et al. Pharmacokinetics of acyclovir in the term human pregnancy and neonate. Am J Obstet Gynecol. 1991 Feb;164(2):569-76.</w:t>
      </w:r>
    </w:p>
    <w:p w14:paraId="5F1B8C6E" w14:textId="77777777" w:rsidR="008D5146" w:rsidRPr="00FD6741" w:rsidRDefault="008D5146" w:rsidP="00FD6741">
      <w:pPr>
        <w:pStyle w:val="EndNoteBibliography"/>
        <w:spacing w:after="0"/>
      </w:pPr>
      <w:r w:rsidRPr="00FD6741">
        <w:t>13.</w:t>
      </w:r>
      <w:r w:rsidRPr="00FD6741">
        <w:tab/>
        <w:t>Leung DT, Henning PA, Wagner EC, Blasig A, Wald A, Sacks SL, et al. Inadequacy of plasma acyclovir levels at delivery in patients with genital herpes receiving oral acyclovir suppressive therapy in late pregnancy. J Obstet Gynaecol Can. 2009 Dec;31(12):1137-43.</w:t>
      </w:r>
    </w:p>
    <w:p w14:paraId="3EE7462E" w14:textId="77777777" w:rsidR="008D5146" w:rsidRPr="00FD6741" w:rsidRDefault="008D5146" w:rsidP="00FD6741">
      <w:pPr>
        <w:pStyle w:val="EndNoteBibliography"/>
        <w:spacing w:after="0"/>
      </w:pPr>
      <w:r w:rsidRPr="00FD6741">
        <w:t>14.</w:t>
      </w:r>
      <w:r w:rsidRPr="00FD6741">
        <w:tab/>
        <w:t>Kimberlin DF, Weller S, Whitley RJ, Andrews WW, Hauth JC, Lakeman F, et al. Pharmacokinetics of oral valacyclovir and acyclovir in late pregnancy. Am J Obstet Gynecol. 1998 Oct;179(4):846-51.</w:t>
      </w:r>
    </w:p>
    <w:p w14:paraId="497C33F8" w14:textId="77777777" w:rsidR="008D5146" w:rsidRPr="00FD6741" w:rsidRDefault="008D5146" w:rsidP="00FD6741">
      <w:pPr>
        <w:pStyle w:val="EndNoteBibliography"/>
        <w:spacing w:after="0"/>
      </w:pPr>
      <w:r w:rsidRPr="00FD6741">
        <w:t>15.</w:t>
      </w:r>
      <w:r w:rsidRPr="00FD6741">
        <w:tab/>
        <w:t>Haddad J, Langer B, Astruc D, Messer J, Lokiec F. Oral acyclovir and recurrent genital herpes during late pregnancy. Obstet Gynecol. 1993 Jul;82(1):102-4.</w:t>
      </w:r>
    </w:p>
    <w:p w14:paraId="3CE28217" w14:textId="77777777" w:rsidR="008D5146" w:rsidRPr="00FD6741" w:rsidRDefault="008D5146" w:rsidP="00FD6741">
      <w:pPr>
        <w:pStyle w:val="EndNoteBibliography"/>
        <w:spacing w:after="0"/>
      </w:pPr>
      <w:r w:rsidRPr="00FD6741">
        <w:t>16.</w:t>
      </w:r>
      <w:r w:rsidRPr="00FD6741">
        <w:tab/>
        <w:t>Zong J, Chittick GE, Wang LH, Hui J, Begley JA, Blum MR. Pharmacokinetic evaluation of emtricitabine in combination with other nucleoside antivirals in healthy volunteers. J Clin Pharmacol. 2007 Jul;47(7):877-89.</w:t>
      </w:r>
    </w:p>
    <w:p w14:paraId="58A593C1" w14:textId="77777777" w:rsidR="008D5146" w:rsidRPr="00FD6741" w:rsidRDefault="008D5146" w:rsidP="00FD6741">
      <w:pPr>
        <w:pStyle w:val="EndNoteBibliography"/>
        <w:spacing w:after="0"/>
      </w:pPr>
      <w:r w:rsidRPr="00FD6741">
        <w:t>17.</w:t>
      </w:r>
      <w:r w:rsidRPr="00FD6741">
        <w:tab/>
        <w:t>Blum MR, Chittick GE, Begley JA, Zong J. Steady-state pharmacokinetics of emtricitabine and tenofovir disoproxil fumarate administered alone and in combination in healthy volunteers. J Clin Pharmacol. 2007 Jun;47(6):751-9.</w:t>
      </w:r>
    </w:p>
    <w:p w14:paraId="6322466D" w14:textId="77777777" w:rsidR="008D5146" w:rsidRPr="00FD6741" w:rsidRDefault="008D5146" w:rsidP="00FD6741">
      <w:pPr>
        <w:pStyle w:val="EndNoteBibliography"/>
        <w:spacing w:after="0"/>
      </w:pPr>
      <w:r w:rsidRPr="00FD6741">
        <w:t>18.</w:t>
      </w:r>
      <w:r w:rsidRPr="00FD6741">
        <w:tab/>
        <w:t>Wang LH, Begley J, St Claire RL, 3rd, Harris J, Wakeford C, Rousseau FS. Pharmacokinetic and pharmacodynamic characteristics of emtricitabine support its once daily dosing for the treatment of HIV infection. AIDS Res Hum Retroviruses. 2004 Nov;20(11):1173-82.</w:t>
      </w:r>
    </w:p>
    <w:p w14:paraId="34F4B258" w14:textId="77777777" w:rsidR="008D5146" w:rsidRPr="00FD6741" w:rsidRDefault="008D5146" w:rsidP="00FD6741">
      <w:pPr>
        <w:pStyle w:val="EndNoteBibliography"/>
        <w:spacing w:after="0"/>
      </w:pPr>
      <w:r w:rsidRPr="00FD6741">
        <w:t>19.</w:t>
      </w:r>
      <w:r w:rsidRPr="00FD6741">
        <w:tab/>
        <w:t>Rousseau FS, Kahn JO, Thompson M, Mildvan D, Shepp D, Sommadossi JP, et al. Prototype trial design for rapid dose selection of antiretroviral drugs: an example using emtricitabine (Coviracil). J Antimicrob Chemother. 2001 Oct;48(4):507-13.</w:t>
      </w:r>
    </w:p>
    <w:p w14:paraId="2A6A9F47" w14:textId="77777777" w:rsidR="008D5146" w:rsidRPr="00FD6741" w:rsidRDefault="008D5146" w:rsidP="00FD6741">
      <w:pPr>
        <w:pStyle w:val="EndNoteBibliography"/>
        <w:spacing w:after="0"/>
      </w:pPr>
      <w:r w:rsidRPr="00FD6741">
        <w:lastRenderedPageBreak/>
        <w:t>20.</w:t>
      </w:r>
      <w:r w:rsidRPr="00FD6741">
        <w:tab/>
        <w:t>Valade E, Treluyer JM, Bouazza N, Ghosn J, Foissac F, Benaboud S, et al. Population pharmacokinetics of emtricitabine in HIV-1-infected adult patients. Antimicrob Agents Chemother. 2014;58(4):2256-61.</w:t>
      </w:r>
    </w:p>
    <w:p w14:paraId="576D414E" w14:textId="77777777" w:rsidR="008D5146" w:rsidRPr="00FD6741" w:rsidRDefault="008D5146" w:rsidP="00FD6741">
      <w:pPr>
        <w:pStyle w:val="EndNoteBibliography"/>
        <w:spacing w:after="0"/>
      </w:pPr>
      <w:r w:rsidRPr="00FD6741">
        <w:t>21.</w:t>
      </w:r>
      <w:r w:rsidRPr="00FD6741">
        <w:tab/>
        <w:t>Stek AM, Best BM, Luo W, Capparelli E, Burchett S, Hu C, et al. Effect of pregnancy on emtricitabine pharmacokinetics. HIV Med. 2012 Apr;13(4):226-35.</w:t>
      </w:r>
    </w:p>
    <w:p w14:paraId="156F375D" w14:textId="77777777" w:rsidR="008D5146" w:rsidRPr="00150C35" w:rsidRDefault="008D5146" w:rsidP="00FD6741">
      <w:pPr>
        <w:pStyle w:val="EndNoteBibliography"/>
        <w:spacing w:after="0"/>
        <w:rPr>
          <w:lang w:val="nl-NL"/>
        </w:rPr>
      </w:pPr>
      <w:r w:rsidRPr="00FD6741">
        <w:t>22.</w:t>
      </w:r>
      <w:r w:rsidRPr="00FD6741">
        <w:tab/>
        <w:t xml:space="preserve">Colbers AP, Hawkins DA, Gingelmaier A, Kabeya K, Rockstroh JK, Wyen C, et al. The pharmacokinetics, safety and efficacy of tenofovir and emtricitabine in HIV-1-infected pregnant women. </w:t>
      </w:r>
      <w:r w:rsidRPr="00150C35">
        <w:rPr>
          <w:lang w:val="nl-NL"/>
        </w:rPr>
        <w:t>AIDS. 2013 Mar 13;27(5):739-48.</w:t>
      </w:r>
    </w:p>
    <w:p w14:paraId="66AB9F15" w14:textId="77777777" w:rsidR="008D5146" w:rsidRPr="00FD6741" w:rsidRDefault="008D5146" w:rsidP="00FD6741">
      <w:pPr>
        <w:pStyle w:val="EndNoteBibliography"/>
        <w:spacing w:after="0"/>
      </w:pPr>
      <w:r w:rsidRPr="00150C35">
        <w:rPr>
          <w:lang w:val="nl-NL"/>
        </w:rPr>
        <w:t>23.</w:t>
      </w:r>
      <w:r w:rsidRPr="00150C35">
        <w:rPr>
          <w:lang w:val="nl-NL"/>
        </w:rPr>
        <w:tab/>
        <w:t xml:space="preserve">Liu XI, Momper JD, Rakhmanina N, van den Anker JN, Green DJ, Burckart GJ, et al. </w:t>
      </w:r>
      <w:r w:rsidRPr="00FD6741">
        <w:t>Physiologically Based Pharmacokinetic Models to Predict Maternal Pharmacokinetics and Fetal Exposure to Emtricitabine and Acyclovir. J Clin Pharmacol. 2020 Feb;60(2):240-55.</w:t>
      </w:r>
    </w:p>
    <w:p w14:paraId="6102E096" w14:textId="77777777" w:rsidR="008D5146" w:rsidRPr="00FD6741" w:rsidRDefault="008D5146" w:rsidP="00FD6741">
      <w:pPr>
        <w:pStyle w:val="EndNoteBibliography"/>
        <w:spacing w:after="0"/>
      </w:pPr>
      <w:r w:rsidRPr="00FD6741">
        <w:t>24.</w:t>
      </w:r>
      <w:r w:rsidRPr="00FD6741">
        <w:tab/>
        <w:t>Valade E, Treluyer JM, Dabis F, Arrive E, Pannier E, Benaboud S, et al. Modified renal function in pregnancy: impact on emtricitabine pharmacokinetics. Br J Clin Pharmacol. 2014 Dec;78(6):1378-86.</w:t>
      </w:r>
    </w:p>
    <w:p w14:paraId="466ED347" w14:textId="77777777" w:rsidR="008D5146" w:rsidRPr="00FD6741" w:rsidRDefault="008D5146" w:rsidP="00FD6741">
      <w:pPr>
        <w:pStyle w:val="EndNoteBibliography"/>
        <w:spacing w:after="0"/>
      </w:pPr>
      <w:r w:rsidRPr="00FD6741">
        <w:t>25.</w:t>
      </w:r>
      <w:r w:rsidRPr="00FD6741">
        <w:tab/>
        <w:t>Hirt D, Urien S, Rey E, Arrive E, Ekouevi DK, Coffie P, et al. Population pharmacokinetics of emtricitabine in human immunodeficiency virus type 1-infected pregnant women and their neonates. Antimicrob Agents Chemother. 2009 Mar;53(3):1067-73.</w:t>
      </w:r>
    </w:p>
    <w:p w14:paraId="24AC1D24" w14:textId="77777777" w:rsidR="008D5146" w:rsidRPr="00FD6741" w:rsidRDefault="008D5146" w:rsidP="00FD6741">
      <w:pPr>
        <w:pStyle w:val="EndNoteBibliography"/>
        <w:spacing w:after="0"/>
      </w:pPr>
      <w:r w:rsidRPr="00FD6741">
        <w:t>26.</w:t>
      </w:r>
      <w:r w:rsidRPr="00FD6741">
        <w:tab/>
        <w:t>van Leeuwen R, Lange JM, Hussey EK, Donn KH, Hall ST, Harker AJ, et al. The safety and pharmacokinetics of a reverse transcriptase inhibitor, 3TC, in patients with HIV infection: a phase I study. AIDS. 1992 Dec;6(12):1471-5.</w:t>
      </w:r>
    </w:p>
    <w:p w14:paraId="79E6B974" w14:textId="77777777" w:rsidR="008D5146" w:rsidRPr="00FD6741" w:rsidRDefault="008D5146" w:rsidP="00FD6741">
      <w:pPr>
        <w:pStyle w:val="EndNoteBibliography"/>
        <w:spacing w:after="0"/>
      </w:pPr>
      <w:r w:rsidRPr="00FD6741">
        <w:t>27.</w:t>
      </w:r>
      <w:r w:rsidRPr="00FD6741">
        <w:tab/>
        <w:t>Yuen GJ, Lou Y, Bumgarner NF, Bishop JP, Smith GA, Otto VR, et al. Equivalent steady-state pharmacokinetics of lamivudine in plasma and lamivudine triphosphate within cells following administration of lamivudine at 300 milligrams once daily and 150 milligrams twice daily. Antimicrob Agents Chemother. 2004 Jan;48(1):176-82.</w:t>
      </w:r>
    </w:p>
    <w:p w14:paraId="23658D01" w14:textId="77777777" w:rsidR="008D5146" w:rsidRPr="00FD6741" w:rsidRDefault="008D5146" w:rsidP="00FD6741">
      <w:pPr>
        <w:pStyle w:val="EndNoteBibliography"/>
        <w:spacing w:after="0"/>
      </w:pPr>
      <w:r w:rsidRPr="00FD6741">
        <w:t>28.</w:t>
      </w:r>
      <w:r w:rsidRPr="00FD6741">
        <w:tab/>
        <w:t>Benaboud S, Treluyer JM, Urien S, Blanche S, Bouazza N, Chappuy H, et al. Pregnancy-related effects on lamivudine pharmacokinetics in a population study with 228 women. Antimicrob Agents Chemother. 2012 Feb;56(2):776-82.</w:t>
      </w:r>
    </w:p>
    <w:p w14:paraId="09DF2E91" w14:textId="77777777" w:rsidR="008D5146" w:rsidRPr="00FD6741" w:rsidRDefault="008D5146" w:rsidP="00FD6741">
      <w:pPr>
        <w:pStyle w:val="EndNoteBibliography"/>
        <w:spacing w:after="0"/>
      </w:pPr>
      <w:r w:rsidRPr="00FD6741">
        <w:t>29.</w:t>
      </w:r>
      <w:r w:rsidRPr="00FD6741">
        <w:tab/>
        <w:t>Moodley J, Moodley D, Pillay K, Coovadia H, Saba J, van Leeuwen R, et al. Pharmacokinetics and antiretroviral activity of lamivudine alone or when coadministered with zidovudine in human immunodeficiency virus type 1-infected pregnant women and their offspring. J Infect Dis. 1998 Nov;178(5):1327-33.</w:t>
      </w:r>
    </w:p>
    <w:p w14:paraId="520A23ED" w14:textId="77777777" w:rsidR="008D5146" w:rsidRPr="00FD6741" w:rsidRDefault="008D5146" w:rsidP="00FD6741">
      <w:pPr>
        <w:pStyle w:val="EndNoteBibliography"/>
        <w:spacing w:after="0"/>
      </w:pPr>
      <w:r w:rsidRPr="00FD6741">
        <w:t>30.</w:t>
      </w:r>
      <w:r w:rsidRPr="00FD6741">
        <w:tab/>
        <w:t>Yeh RF, Rezk NL, Kashuba AD, Dumond JB, Tappouni HL, Tien HC, et al. Genital tract, cord blood, and amniotic fluid exposures of seven antiretroviral drugs during and after pregnancy in human immunodeficiency virus type 1-infected women. Antimicrob Agents Chemother. 2009 Jun;53(6):2367-74.</w:t>
      </w:r>
    </w:p>
    <w:p w14:paraId="6A111E3A" w14:textId="77777777" w:rsidR="008D5146" w:rsidRPr="00FD6741" w:rsidRDefault="008D5146" w:rsidP="00FD6741">
      <w:pPr>
        <w:pStyle w:val="EndNoteBibliography"/>
        <w:spacing w:after="0"/>
      </w:pPr>
      <w:r w:rsidRPr="00FD6741">
        <w:t>31.</w:t>
      </w:r>
      <w:r w:rsidRPr="00FD6741">
        <w:tab/>
        <w:t>Mandelbrot L, Peytavin G, Firtion G, Farinotti R. Maternal-fetal transfer and amniotic fluid accumulation of lamivudine in human immunodeficiency virus-infected pregnant women. Am J Obstet Gynecol. 2001 Jan;184(2):153-8.</w:t>
      </w:r>
    </w:p>
    <w:p w14:paraId="2DC17CD3" w14:textId="77777777" w:rsidR="008D5146" w:rsidRPr="00FD6741" w:rsidRDefault="008D5146" w:rsidP="00FD6741">
      <w:pPr>
        <w:pStyle w:val="EndNoteBibliography"/>
        <w:spacing w:after="0"/>
      </w:pPr>
      <w:r w:rsidRPr="00FD6741">
        <w:t>32.</w:t>
      </w:r>
      <w:r w:rsidRPr="00FD6741">
        <w:tab/>
        <w:t>Eyal S, Easterling TR, Carr D, Umans JG, Miodovnik M, Hankins GD, et al. Pharmacokinetics of metformin during pregnancy. Drug Metab Dispos. 2010 May;38(5):833-40.</w:t>
      </w:r>
    </w:p>
    <w:p w14:paraId="72DE77C0" w14:textId="77777777" w:rsidR="008D5146" w:rsidRPr="00FD6741" w:rsidRDefault="008D5146" w:rsidP="00FD6741">
      <w:pPr>
        <w:pStyle w:val="EndNoteBibliography"/>
        <w:spacing w:after="0"/>
      </w:pPr>
      <w:r w:rsidRPr="00FD6741">
        <w:t>33.</w:t>
      </w:r>
      <w:r w:rsidRPr="00FD6741">
        <w:tab/>
        <w:t>Liao MZ, Flood Nichols SK, Ahmed M, Clark S, Hankins GD, Caritis S, et al. Effects of Pregnancy on the Pharmacokinetics of Metformin. Drug Metab Dispos. 2020 Apr;48(4):264-71.</w:t>
      </w:r>
    </w:p>
    <w:p w14:paraId="5BA4FD6E" w14:textId="77777777" w:rsidR="008D5146" w:rsidRPr="00FD6741" w:rsidRDefault="008D5146" w:rsidP="00FD6741">
      <w:pPr>
        <w:pStyle w:val="EndNoteBibliography"/>
        <w:spacing w:after="0"/>
      </w:pPr>
      <w:r w:rsidRPr="00FD6741">
        <w:t>34.</w:t>
      </w:r>
      <w:r w:rsidRPr="00FD6741">
        <w:tab/>
        <w:t>Charles B, Norris R, Xiao X, Hague W. Population pharmacokinetics of metformin in late pregnancy. Ther Drug Monit. 2006 Feb;28(1):67-72.</w:t>
      </w:r>
    </w:p>
    <w:p w14:paraId="639B4864" w14:textId="77777777" w:rsidR="008D5146" w:rsidRPr="00FD6741" w:rsidRDefault="008D5146" w:rsidP="00FD6741">
      <w:pPr>
        <w:pStyle w:val="EndNoteBibliography"/>
        <w:spacing w:after="0"/>
      </w:pPr>
      <w:r w:rsidRPr="00FD6741">
        <w:t>35.</w:t>
      </w:r>
      <w:r w:rsidRPr="00FD6741">
        <w:tab/>
        <w:t>Tertti K, Laine K, Ekblad U, Rinne V, Ronnemaa T. The degree of fetal metformin exposure does not influence fetal outcome in gestational diabetes mellitus. Acta Diabetol. 2014 Oct;51(5):731-8.</w:t>
      </w:r>
    </w:p>
    <w:p w14:paraId="5734FF97" w14:textId="77777777" w:rsidR="008D5146" w:rsidRPr="00FD6741" w:rsidRDefault="008D5146" w:rsidP="00FD6741">
      <w:pPr>
        <w:pStyle w:val="EndNoteBibliography"/>
      </w:pPr>
      <w:r w:rsidRPr="00FD6741">
        <w:lastRenderedPageBreak/>
        <w:t>36.</w:t>
      </w:r>
      <w:r w:rsidRPr="00FD6741">
        <w:tab/>
        <w:t>de Oliveira Baraldi C, Lanchote VL, de Jesus Antunes N, de Jesus Ponte Carvalho TM, Dantas Moises EC, Duarte G, et al. Metformin pharmacokinetics in nondiabetic pregnant women with polycystic ovary syndrome. Eur J Clin Pharmacol. 2011 Oct;67(10):1027-33.</w:t>
      </w:r>
    </w:p>
    <w:p w14:paraId="273E26D6" w14:textId="77777777" w:rsidR="008D5146" w:rsidRDefault="008D5146" w:rsidP="008C1ED3"/>
    <w:p w14:paraId="1664B790" w14:textId="77777777" w:rsidR="00345B4E" w:rsidRDefault="001D5380"/>
    <w:sectPr w:rsidR="00345B4E" w:rsidSect="008C1ED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7A84BC" w14:textId="77777777" w:rsidR="00000000" w:rsidRDefault="001D5380">
      <w:pPr>
        <w:spacing w:after="0" w:line="240" w:lineRule="auto"/>
      </w:pPr>
      <w:r>
        <w:separator/>
      </w:r>
    </w:p>
  </w:endnote>
  <w:endnote w:type="continuationSeparator" w:id="0">
    <w:p w14:paraId="3DADF8A9" w14:textId="77777777" w:rsidR="00000000" w:rsidRDefault="001D5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ulliverRM">
    <w:altName w:val="Times New Roman"/>
    <w:panose1 w:val="00000000000000000000"/>
    <w:charset w:val="00"/>
    <w:family w:val="roman"/>
    <w:notTrueType/>
    <w:pitch w:val="default"/>
  </w:font>
  <w:font w:name="STIX-Regula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DAFFF8" w14:textId="77777777" w:rsidR="00000000" w:rsidRDefault="001D5380">
      <w:pPr>
        <w:spacing w:after="0" w:line="240" w:lineRule="auto"/>
      </w:pPr>
      <w:r>
        <w:separator/>
      </w:r>
    </w:p>
  </w:footnote>
  <w:footnote w:type="continuationSeparator" w:id="0">
    <w:p w14:paraId="2C6FEE61" w14:textId="77777777" w:rsidR="00000000" w:rsidRDefault="001D5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BDA50C" w14:textId="77777777" w:rsidR="00FD6741" w:rsidRPr="007D5BEC" w:rsidRDefault="008D5146" w:rsidP="00164AE3">
    <w:pPr>
      <w:jc w:val="both"/>
      <w:rPr>
        <w:rFonts w:ascii="Times New Roman" w:hAnsi="Times New Roman" w:cs="Times New Roman"/>
        <w:b/>
        <w:bCs/>
        <w:sz w:val="24"/>
        <w:szCs w:val="24"/>
      </w:rPr>
    </w:pPr>
    <w:r w:rsidRPr="007D5BEC">
      <w:rPr>
        <w:rFonts w:ascii="Times New Roman" w:hAnsi="Times New Roman" w:cs="Times New Roman"/>
        <w:b/>
        <w:bCs/>
        <w:sz w:val="24"/>
        <w:szCs w:val="24"/>
      </w:rPr>
      <w:t xml:space="preserve">Prediction of Maternal and </w:t>
    </w:r>
    <w:proofErr w:type="spellStart"/>
    <w:r w:rsidRPr="007D5BEC">
      <w:rPr>
        <w:rFonts w:ascii="Times New Roman" w:hAnsi="Times New Roman" w:cs="Times New Roman"/>
        <w:b/>
        <w:bCs/>
        <w:sz w:val="24"/>
        <w:szCs w:val="24"/>
      </w:rPr>
      <w:t>Fetal</w:t>
    </w:r>
    <w:proofErr w:type="spellEnd"/>
    <w:r w:rsidRPr="007D5BEC">
      <w:rPr>
        <w:rFonts w:ascii="Times New Roman" w:hAnsi="Times New Roman" w:cs="Times New Roman"/>
        <w:b/>
        <w:bCs/>
        <w:sz w:val="24"/>
        <w:szCs w:val="24"/>
      </w:rPr>
      <w:t xml:space="preserve"> Acyclovir, Emtricitabine, Lamivudine, and Metformin Concentrations during Pregnancy using a Physiologically based Pharmacokinetic Modelling Approach</w:t>
    </w:r>
  </w:p>
  <w:p w14:paraId="38719F24" w14:textId="77777777" w:rsidR="00FD6741" w:rsidRPr="007D5BEC" w:rsidRDefault="008D5146" w:rsidP="00164AE3">
    <w:pPr>
      <w:jc w:val="both"/>
      <w:rPr>
        <w:rFonts w:ascii="Arial" w:hAnsi="Arial" w:cs="Arial"/>
      </w:rPr>
    </w:pPr>
    <w:r w:rsidRPr="007D5BEC">
      <w:rPr>
        <w:rFonts w:ascii="Arial" w:hAnsi="Arial" w:cs="Arial"/>
      </w:rPr>
      <w:t>Khaled Abduljalil*, Amita Pansari, Jia Ning, Masoud Jamei</w:t>
    </w:r>
  </w:p>
  <w:p w14:paraId="79F3037D" w14:textId="77777777" w:rsidR="00FD6741" w:rsidRPr="007D5BEC" w:rsidRDefault="008D5146" w:rsidP="00164AE3">
    <w:pPr>
      <w:jc w:val="both"/>
    </w:pPr>
    <w:r w:rsidRPr="007D5BEC">
      <w:rPr>
        <w:rFonts w:ascii="Times New Roman" w:hAnsi="Times New Roman" w:cs="Times New Roman"/>
        <w:bCs/>
      </w:rPr>
      <w:t>Certara UK Limited, Simcyp Division</w:t>
    </w:r>
    <w:r w:rsidRPr="007D5BEC">
      <w:rPr>
        <w:rFonts w:ascii="Times New Roman" w:hAnsi="Times New Roman" w:cs="Times New Roman"/>
      </w:rPr>
      <w:t>, Sheffield, 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A13B2"/>
    <w:multiLevelType w:val="multilevel"/>
    <w:tmpl w:val="DB305B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F9D397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8D635B7"/>
    <w:multiLevelType w:val="multilevel"/>
    <w:tmpl w:val="3EB653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FA437AD"/>
    <w:multiLevelType w:val="hybridMultilevel"/>
    <w:tmpl w:val="3BD836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8D5146"/>
    <w:rsid w:val="000B7FE2"/>
    <w:rsid w:val="000E1EC6"/>
    <w:rsid w:val="001D2A86"/>
    <w:rsid w:val="001D5380"/>
    <w:rsid w:val="00231A86"/>
    <w:rsid w:val="002B1B63"/>
    <w:rsid w:val="003224D2"/>
    <w:rsid w:val="00362746"/>
    <w:rsid w:val="00436052"/>
    <w:rsid w:val="004453E1"/>
    <w:rsid w:val="00471327"/>
    <w:rsid w:val="00477EF7"/>
    <w:rsid w:val="0059000D"/>
    <w:rsid w:val="007D5BEC"/>
    <w:rsid w:val="00865872"/>
    <w:rsid w:val="008B2260"/>
    <w:rsid w:val="008D5146"/>
    <w:rsid w:val="00923395"/>
    <w:rsid w:val="00AA74CA"/>
    <w:rsid w:val="00B02E0D"/>
    <w:rsid w:val="00B52C88"/>
    <w:rsid w:val="00D83186"/>
    <w:rsid w:val="00DC3512"/>
    <w:rsid w:val="00E26590"/>
    <w:rsid w:val="00F715CF"/>
    <w:rsid w:val="00F81A8B"/>
    <w:rsid w:val="00FC447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6111"/>
  <w15:chartTrackingRefBased/>
  <w15:docId w15:val="{51F14A02-2D6B-4930-9EFB-BD8F03FB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146"/>
  </w:style>
  <w:style w:type="paragraph" w:styleId="Heading1">
    <w:name w:val="heading 1"/>
    <w:basedOn w:val="Normal"/>
    <w:next w:val="Normal"/>
    <w:link w:val="Heading1Char"/>
    <w:uiPriority w:val="9"/>
    <w:qFormat/>
    <w:rsid w:val="008D5146"/>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514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514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514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514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514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D514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D514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514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51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514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D514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D514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D514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D514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D51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5146"/>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D51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5146"/>
    <w:rPr>
      <w:rFonts w:ascii="Segoe UI" w:hAnsi="Segoe UI" w:cs="Segoe UI"/>
      <w:sz w:val="18"/>
      <w:szCs w:val="18"/>
    </w:rPr>
  </w:style>
  <w:style w:type="table" w:styleId="TableGrid">
    <w:name w:val="Table Grid"/>
    <w:basedOn w:val="TableNormal"/>
    <w:uiPriority w:val="39"/>
    <w:rsid w:val="008D514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8D514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D5146"/>
    <w:rPr>
      <w:rFonts w:ascii="Calibri" w:hAnsi="Calibri" w:cs="Calibri"/>
      <w:noProof/>
    </w:rPr>
  </w:style>
  <w:style w:type="paragraph" w:customStyle="1" w:styleId="EndNoteBibliography">
    <w:name w:val="EndNote Bibliography"/>
    <w:basedOn w:val="Normal"/>
    <w:link w:val="EndNoteBibliographyChar"/>
    <w:rsid w:val="008D514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8D5146"/>
    <w:rPr>
      <w:rFonts w:ascii="Calibri" w:hAnsi="Calibri" w:cs="Calibri"/>
      <w:noProof/>
    </w:rPr>
  </w:style>
  <w:style w:type="character" w:styleId="Hyperlink">
    <w:name w:val="Hyperlink"/>
    <w:basedOn w:val="DefaultParagraphFont"/>
    <w:uiPriority w:val="99"/>
    <w:unhideWhenUsed/>
    <w:rsid w:val="008D5146"/>
    <w:rPr>
      <w:color w:val="0563C1" w:themeColor="hyperlink"/>
      <w:u w:val="single"/>
    </w:rPr>
  </w:style>
  <w:style w:type="character" w:customStyle="1" w:styleId="UnresolvedMention1">
    <w:name w:val="Unresolved Mention1"/>
    <w:basedOn w:val="DefaultParagraphFont"/>
    <w:uiPriority w:val="99"/>
    <w:semiHidden/>
    <w:unhideWhenUsed/>
    <w:rsid w:val="008D5146"/>
    <w:rPr>
      <w:color w:val="605E5C"/>
      <w:shd w:val="clear" w:color="auto" w:fill="E1DFDD"/>
    </w:rPr>
  </w:style>
  <w:style w:type="character" w:styleId="CommentReference">
    <w:name w:val="annotation reference"/>
    <w:basedOn w:val="DefaultParagraphFont"/>
    <w:uiPriority w:val="99"/>
    <w:semiHidden/>
    <w:unhideWhenUsed/>
    <w:rsid w:val="008D5146"/>
    <w:rPr>
      <w:sz w:val="16"/>
      <w:szCs w:val="16"/>
    </w:rPr>
  </w:style>
  <w:style w:type="paragraph" w:styleId="CommentText">
    <w:name w:val="annotation text"/>
    <w:basedOn w:val="Normal"/>
    <w:link w:val="CommentTextChar"/>
    <w:uiPriority w:val="99"/>
    <w:semiHidden/>
    <w:unhideWhenUsed/>
    <w:rsid w:val="008D5146"/>
    <w:pPr>
      <w:spacing w:line="240" w:lineRule="auto"/>
    </w:pPr>
    <w:rPr>
      <w:sz w:val="20"/>
      <w:szCs w:val="20"/>
    </w:rPr>
  </w:style>
  <w:style w:type="character" w:customStyle="1" w:styleId="CommentTextChar">
    <w:name w:val="Comment Text Char"/>
    <w:basedOn w:val="DefaultParagraphFont"/>
    <w:link w:val="CommentText"/>
    <w:uiPriority w:val="99"/>
    <w:semiHidden/>
    <w:rsid w:val="008D5146"/>
    <w:rPr>
      <w:sz w:val="20"/>
      <w:szCs w:val="20"/>
    </w:rPr>
  </w:style>
  <w:style w:type="paragraph" w:styleId="CommentSubject">
    <w:name w:val="annotation subject"/>
    <w:basedOn w:val="CommentText"/>
    <w:next w:val="CommentText"/>
    <w:link w:val="CommentSubjectChar"/>
    <w:uiPriority w:val="99"/>
    <w:semiHidden/>
    <w:unhideWhenUsed/>
    <w:rsid w:val="008D5146"/>
    <w:rPr>
      <w:b/>
      <w:bCs/>
    </w:rPr>
  </w:style>
  <w:style w:type="character" w:customStyle="1" w:styleId="CommentSubjectChar">
    <w:name w:val="Comment Subject Char"/>
    <w:basedOn w:val="CommentTextChar"/>
    <w:link w:val="CommentSubject"/>
    <w:uiPriority w:val="99"/>
    <w:semiHidden/>
    <w:rsid w:val="008D5146"/>
    <w:rPr>
      <w:b/>
      <w:bCs/>
      <w:sz w:val="20"/>
      <w:szCs w:val="20"/>
    </w:rPr>
  </w:style>
  <w:style w:type="table" w:styleId="PlainTable2">
    <w:name w:val="Plain Table 2"/>
    <w:basedOn w:val="TableNormal"/>
    <w:uiPriority w:val="42"/>
    <w:rsid w:val="008D51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D51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5146"/>
  </w:style>
  <w:style w:type="paragraph" w:styleId="Footer">
    <w:name w:val="footer"/>
    <w:basedOn w:val="Normal"/>
    <w:link w:val="FooterChar"/>
    <w:uiPriority w:val="99"/>
    <w:unhideWhenUsed/>
    <w:rsid w:val="008D51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146"/>
  </w:style>
  <w:style w:type="paragraph" w:styleId="NoSpacing">
    <w:name w:val="No Spacing"/>
    <w:uiPriority w:val="1"/>
    <w:qFormat/>
    <w:rsid w:val="008D5146"/>
    <w:pPr>
      <w:spacing w:after="0" w:line="240" w:lineRule="auto"/>
    </w:pPr>
    <w:rPr>
      <w:rFonts w:eastAsiaTheme="minorHAnsi"/>
      <w:lang w:eastAsia="en-US"/>
    </w:rPr>
  </w:style>
  <w:style w:type="character" w:styleId="UnresolvedMention">
    <w:name w:val="Unresolved Mention"/>
    <w:basedOn w:val="DefaultParagraphFont"/>
    <w:uiPriority w:val="99"/>
    <w:semiHidden/>
    <w:unhideWhenUsed/>
    <w:rsid w:val="008D5146"/>
    <w:rPr>
      <w:color w:val="605E5C"/>
      <w:shd w:val="clear" w:color="auto" w:fill="E1DFDD"/>
    </w:rPr>
  </w:style>
  <w:style w:type="paragraph" w:styleId="ListParagraph">
    <w:name w:val="List Paragraph"/>
    <w:basedOn w:val="Normal"/>
    <w:uiPriority w:val="34"/>
    <w:qFormat/>
    <w:rsid w:val="008D5146"/>
    <w:pPr>
      <w:ind w:left="720"/>
      <w:contextualSpacing/>
    </w:pPr>
  </w:style>
  <w:style w:type="character" w:customStyle="1" w:styleId="fontstyle01">
    <w:name w:val="fontstyle01"/>
    <w:basedOn w:val="DefaultParagraphFont"/>
    <w:rsid w:val="008D5146"/>
    <w:rPr>
      <w:rFonts w:ascii="GulliverRM" w:hAnsi="GulliverRM" w:hint="default"/>
      <w:b w:val="0"/>
      <w:bCs w:val="0"/>
      <w:i w:val="0"/>
      <w:iCs w:val="0"/>
      <w:color w:val="000000"/>
      <w:sz w:val="14"/>
      <w:szCs w:val="14"/>
    </w:rPr>
  </w:style>
  <w:style w:type="character" w:customStyle="1" w:styleId="fontstyle21">
    <w:name w:val="fontstyle21"/>
    <w:basedOn w:val="DefaultParagraphFont"/>
    <w:rsid w:val="008D5146"/>
    <w:rPr>
      <w:rFonts w:ascii="STIX-Regular" w:hAnsi="STIX-Regular"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3124</Words>
  <Characters>17808</Characters>
  <Application>Microsoft Office Word</Application>
  <DocSecurity>0</DocSecurity>
  <Lines>148</Lines>
  <Paragraphs>41</Paragraphs>
  <ScaleCrop>false</ScaleCrop>
  <Company/>
  <LinksUpToDate>false</LinksUpToDate>
  <CharactersWithSpaces>20891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Savill</dc:creator>
  <cp:keywords/>
  <dc:description/>
  <cp:lastModifiedBy>Khaled Abduljalil</cp:lastModifiedBy>
  <cp:revision>25</cp:revision>
  <dcterms:created xsi:type="dcterms:W3CDTF">2021-11-19T15:43:00Z</dcterms:created>
  <dcterms:modified xsi:type="dcterms:W3CDTF">2021-12-01T09:50:00Z</dcterms:modified>
</cp:coreProperties>
</file>