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311" w:rsidRDefault="008420FB" w:rsidP="008420FB">
      <w:pPr>
        <w:jc w:val="both"/>
      </w:pPr>
      <w:r>
        <w:t>ABSTRACT</w:t>
      </w:r>
      <w:r>
        <w:br/>
      </w:r>
      <w:proofErr w:type="gramStart"/>
      <w:r w:rsidR="00E74B47">
        <w:t>T</w:t>
      </w:r>
      <w:r w:rsidRPr="008420FB">
        <w:t>he</w:t>
      </w:r>
      <w:proofErr w:type="gramEnd"/>
      <w:r w:rsidRPr="008420FB">
        <w:t xml:space="preserve"> ability of the constitutive model to predict the complex direction-dependent mechanical behaviour of transversely isotropic rock and the failure modes observed in triaxial compression tests with different confining pressures and different inclination angles of the stratification planes with respect to the direction of axial loading is used to evaluate its performance.</w:t>
      </w:r>
      <w:r w:rsidR="00AF2CC1" w:rsidRPr="00AF2CC1">
        <w:t xml:space="preserve"> The ubiquitous joint concept, the introduction of scalar anisotropy parameters and the linear mapping into a fictitious isotropic configuration are three popular approaches for describing transversely isotropic material behaviour that are critically reviewed and examined.</w:t>
      </w:r>
      <w:r w:rsidR="00FC3311" w:rsidRPr="00FC3311">
        <w:t xml:space="preserve"> </w:t>
      </w:r>
      <w:r w:rsidR="00FC3311">
        <w:t>It is implemented into a FE-program by means of the return mapping algorithm and it is regularized by an over-non</w:t>
      </w:r>
      <w:r w:rsidR="00FC3311">
        <w:t>local implicit gradient enhance</w:t>
      </w:r>
      <w:r w:rsidR="00FC3311">
        <w:t>ment for ensuring mesh-insensitive results.</w:t>
      </w:r>
    </w:p>
    <w:p w:rsidR="0024460D" w:rsidRDefault="00FC3311" w:rsidP="008420FB">
      <w:pPr>
        <w:jc w:val="both"/>
      </w:pPr>
      <w:r>
        <w:t>Introduction</w:t>
      </w:r>
    </w:p>
    <w:p w:rsidR="00AF2CC1" w:rsidRDefault="0024460D" w:rsidP="008420FB">
      <w:pPr>
        <w:jc w:val="both"/>
      </w:pPr>
      <w:r w:rsidRPr="0024460D">
        <w:t xml:space="preserve">In engineering practise, tunnel advancement is a difficult task. In numerical tunnelling simulations, isotropic, linear-elastic perfectly-plastic material equations are typically utilised to describe the material behaviour of the surrounding rock mass. </w:t>
      </w:r>
      <w:r>
        <w:t xml:space="preserve">These material laws are based on the failure hypothesis according to </w:t>
      </w:r>
      <w:r w:rsidRPr="00067D1F">
        <w:rPr>
          <w:b/>
        </w:rPr>
        <w:t>Hoek et al</w:t>
      </w:r>
      <w:r>
        <w:t>.</w:t>
      </w:r>
      <w:r w:rsidRPr="0024460D">
        <w:t xml:space="preserve"> In the latter, discontinuities in a rock mass are simplified by using an empirical approach generated from a rock mass classification system to reduce the strength characteristics of intact rock. However, when compared to the true mechanical behaviour of rock mass, the respective simplifications overlook certain important impacts of </w:t>
      </w:r>
      <w:r w:rsidR="00067D1F" w:rsidRPr="0024460D">
        <w:t>discontinuities.</w:t>
      </w:r>
      <w:r w:rsidR="00067D1F">
        <w:t xml:space="preserve"> For</w:t>
      </w:r>
      <w:r w:rsidR="00FB4EA9">
        <w:t xml:space="preserve"> example,</w:t>
      </w:r>
      <w:r w:rsidR="00FB4EA9" w:rsidRPr="00FB4EA9">
        <w:t xml:space="preserve"> Plastic deformation in the pre-peak region of the stress-strain curves is neglected, as is strain softening in the post-peak domain, which is accompanied by material stiffness deterioration. Furthermore, linear-elastic behaviour is mistakenly predicted for stress paths with dominant hydrostatic compression, despite the fact that the material behaviour in this situation is widely known to be dependent on the hydrostatic </w:t>
      </w:r>
      <w:r w:rsidR="00067D1F" w:rsidRPr="00FB4EA9">
        <w:t>pressure.</w:t>
      </w:r>
      <w:r w:rsidR="00067D1F">
        <w:t xml:space="preserve"> These</w:t>
      </w:r>
      <w:r w:rsidR="00FB4EA9">
        <w:t xml:space="preserve"> Shortcomings significantly influence the prediction of the deformation and stress state in numerical simulation of tunnel advance.</w:t>
      </w:r>
      <w:r w:rsidR="00067D1F" w:rsidRPr="00067D1F">
        <w:t xml:space="preserve"> </w:t>
      </w:r>
      <w:r w:rsidR="00067D1F">
        <w:t xml:space="preserve">In order to overcome the mentioned shortcomings, an isotropic damage plasticity model for rock and rock mass, denoted as rock damage plasticity (RDP) model, was developed by </w:t>
      </w:r>
      <w:proofErr w:type="spellStart"/>
      <w:r w:rsidR="00067D1F" w:rsidRPr="00067D1F">
        <w:rPr>
          <w:b/>
        </w:rPr>
        <w:t>Unteregger</w:t>
      </w:r>
      <w:proofErr w:type="spellEnd"/>
      <w:r w:rsidR="00067D1F">
        <w:t xml:space="preserve"> et al.</w:t>
      </w:r>
      <w:r w:rsidRPr="0024460D">
        <w:t xml:space="preserve"> </w:t>
      </w:r>
    </w:p>
    <w:p w:rsidR="00067D1F" w:rsidRDefault="00067D1F" w:rsidP="00067D1F">
      <w:pPr>
        <w:jc w:val="both"/>
      </w:pPr>
      <w:r>
        <w:t xml:space="preserve">In addition to the inherent anisotropic </w:t>
      </w:r>
      <w:r>
        <w:t>behaviour</w:t>
      </w:r>
      <w:r>
        <w:t>, directional dependencies can also occur due to load-induced micro</w:t>
      </w:r>
      <w:r>
        <w:t xml:space="preserve"> </w:t>
      </w:r>
      <w:r>
        <w:t>cracking commonly known as induced anisotropy. Since the focus of the present publicat</w:t>
      </w:r>
      <w:r>
        <w:t>ion is on the representation of</w:t>
      </w:r>
      <w:r>
        <w:t xml:space="preserve"> inherent anisotropy, an overview on different approaches for considering the latter in con</w:t>
      </w:r>
      <w:r>
        <w:t xml:space="preserve">stitutive models is provided in </w:t>
      </w:r>
      <w:r>
        <w:t>the following.</w:t>
      </w:r>
    </w:p>
    <w:p w:rsidR="00607DBA" w:rsidRDefault="00607DBA" w:rsidP="00067D1F">
      <w:pPr>
        <w:jc w:val="both"/>
      </w:pPr>
      <w:r>
        <w:t xml:space="preserve">Objectives and Scope </w:t>
      </w:r>
    </w:p>
    <w:p w:rsidR="00607DBA" w:rsidRDefault="00607DBA" w:rsidP="00067D1F">
      <w:pPr>
        <w:jc w:val="both"/>
      </w:pPr>
      <w:r>
        <w:t xml:space="preserve">This paper presented </w:t>
      </w:r>
      <w:proofErr w:type="gramStart"/>
      <w:r>
        <w:t>a three</w:t>
      </w:r>
      <w:proofErr w:type="gramEnd"/>
      <w:r>
        <w:t xml:space="preserve"> popular approaches for extending an existing isotropic elasto-plastic model to a transversely isotropic elasto-plastic model. Major objectives </w:t>
      </w:r>
      <w:r w:rsidR="002369AE">
        <w:t xml:space="preserve">of three methods </w:t>
      </w:r>
      <w:r>
        <w:t xml:space="preserve">are </w:t>
      </w:r>
    </w:p>
    <w:p w:rsidR="00607DBA" w:rsidRDefault="00607DBA" w:rsidP="00607DBA">
      <w:pPr>
        <w:pStyle w:val="ListParagraph"/>
        <w:numPr>
          <w:ilvl w:val="0"/>
          <w:numId w:val="1"/>
        </w:numPr>
        <w:jc w:val="both"/>
      </w:pPr>
      <w:r w:rsidRPr="00607DBA">
        <w:t>A stable and durable formulation and implementation of the constitutive model is critical for assuring convergence when using damage plasticity models in large-scale finite element simulations. As a result, this research will offer a damage plasticity model for transversely isotropic materials that meets these conditions.</w:t>
      </w:r>
    </w:p>
    <w:p w:rsidR="00607DBA" w:rsidRDefault="00607DBA" w:rsidP="00067D1F">
      <w:pPr>
        <w:pStyle w:val="ListParagraph"/>
        <w:numPr>
          <w:ilvl w:val="0"/>
          <w:numId w:val="1"/>
        </w:numPr>
        <w:jc w:val="both"/>
      </w:pPr>
      <w:r>
        <w:t xml:space="preserve">In this paper we use three popular </w:t>
      </w:r>
      <w:proofErr w:type="spellStart"/>
      <w:r>
        <w:t>methods,</w:t>
      </w:r>
      <w:r w:rsidR="009B3C96">
        <w:t>t</w:t>
      </w:r>
      <w:r w:rsidRPr="00AF2CC1">
        <w:t>he</w:t>
      </w:r>
      <w:proofErr w:type="spellEnd"/>
      <w:r w:rsidRPr="00AF2CC1">
        <w:t xml:space="preserve"> ubiquitous joint concept, the introduction of scalar anisotropy parameters and the linear mapping into a fictitious isotropic configuration</w:t>
      </w:r>
      <w:r w:rsidR="009B3C96">
        <w:t xml:space="preserve">.in this for approaching the stratified materials relies </w:t>
      </w:r>
      <w:r w:rsidR="009B3C96">
        <w:t xml:space="preserve">which is based on the </w:t>
      </w:r>
      <w:r w:rsidR="009B3C96" w:rsidRPr="009B3C96">
        <w:rPr>
          <w:b/>
        </w:rPr>
        <w:t xml:space="preserve">Single Plane of Weakness Theory by </w:t>
      </w:r>
      <w:proofErr w:type="spellStart"/>
      <w:r w:rsidR="009B3C96" w:rsidRPr="009B3C96">
        <w:rPr>
          <w:b/>
        </w:rPr>
        <w:t>Jaeger</w:t>
      </w:r>
      <w:r w:rsidR="009B3C96">
        <w:t>.</w:t>
      </w:r>
      <w:r w:rsidR="009B3C96">
        <w:t>In</w:t>
      </w:r>
      <w:proofErr w:type="spellEnd"/>
      <w:r w:rsidR="009B3C96">
        <w:t xml:space="preserve"> </w:t>
      </w:r>
      <w:r>
        <w:t xml:space="preserve">the original ubiquitous joint concept(OUJ) </w:t>
      </w:r>
      <w:proofErr w:type="spellStart"/>
      <w:r>
        <w:lastRenderedPageBreak/>
        <w:t>model,introduced</w:t>
      </w:r>
      <w:proofErr w:type="spellEnd"/>
      <w:r>
        <w:t xml:space="preserve"> by </w:t>
      </w:r>
      <w:r w:rsidRPr="009B3C96">
        <w:rPr>
          <w:b/>
        </w:rPr>
        <w:t>Goodman</w:t>
      </w:r>
      <w:r w:rsidR="009B3C96">
        <w:rPr>
          <w:b/>
        </w:rPr>
        <w:t xml:space="preserve"> , </w:t>
      </w:r>
      <w:r w:rsidR="009B3C96">
        <w:t xml:space="preserve">but in this model there is failure may </w:t>
      </w:r>
      <w:proofErr w:type="spellStart"/>
      <w:r w:rsidR="009B3C96">
        <w:t>occyr</w:t>
      </w:r>
      <w:proofErr w:type="spellEnd"/>
      <w:r w:rsidR="009B3C96">
        <w:t xml:space="preserve"> in the rock </w:t>
      </w:r>
      <w:proofErr w:type="spellStart"/>
      <w:r w:rsidR="009B3C96">
        <w:t>matrix,along</w:t>
      </w:r>
      <w:proofErr w:type="spellEnd"/>
      <w:r w:rsidR="009B3C96">
        <w:t xml:space="preserve"> the </w:t>
      </w:r>
      <w:proofErr w:type="spellStart"/>
      <w:r w:rsidR="009B3C96">
        <w:t>joints,or</w:t>
      </w:r>
      <w:proofErr w:type="spellEnd"/>
      <w:r w:rsidR="009B3C96">
        <w:t xml:space="preserve"> in the both rock matrix and the </w:t>
      </w:r>
      <w:proofErr w:type="spellStart"/>
      <w:r w:rsidR="009B3C96">
        <w:t>joints.since</w:t>
      </w:r>
      <w:proofErr w:type="spellEnd"/>
      <w:r w:rsidR="009B3C96">
        <w:t xml:space="preserve"> the OUJ model is only for strength anisotropy is considered.to overcome this </w:t>
      </w:r>
      <w:proofErr w:type="spellStart"/>
      <w:r w:rsidR="009B3C96">
        <w:t>shortcoming,the</w:t>
      </w:r>
      <w:proofErr w:type="spellEnd"/>
      <w:r w:rsidR="009B3C96">
        <w:t xml:space="preserve"> </w:t>
      </w:r>
      <w:r w:rsidR="00137D3B" w:rsidRPr="002369AE">
        <w:rPr>
          <w:b/>
        </w:rPr>
        <w:t xml:space="preserve">Ismael and </w:t>
      </w:r>
      <w:proofErr w:type="spellStart"/>
      <w:r w:rsidR="00137D3B" w:rsidRPr="002369AE">
        <w:rPr>
          <w:b/>
        </w:rPr>
        <w:t>Konietzky</w:t>
      </w:r>
      <w:proofErr w:type="spellEnd"/>
      <w:r w:rsidR="00137D3B">
        <w:t xml:space="preserve"> introduced Modified </w:t>
      </w:r>
      <w:r w:rsidR="002369AE">
        <w:t>ubiquitous joint</w:t>
      </w:r>
      <w:r w:rsidR="002369AE">
        <w:t xml:space="preserve"> (MUJ) model.</w:t>
      </w:r>
      <w:r w:rsidR="002369AE" w:rsidRPr="002369AE">
        <w:t xml:space="preserve"> </w:t>
      </w:r>
      <w:r w:rsidR="002369AE">
        <w:t xml:space="preserve">For considering strain hardening in the pre-peak regime of the stress-strain relation and softening in the post-peak regime in ubiquitous joint models, the so-called </w:t>
      </w:r>
      <w:proofErr w:type="spellStart"/>
      <w:r w:rsidR="002369AE">
        <w:t>subiquitous</w:t>
      </w:r>
      <w:proofErr w:type="spellEnd"/>
      <w:r w:rsidR="002369AE">
        <w:t xml:space="preserve"> joint (SUJ) </w:t>
      </w:r>
      <w:proofErr w:type="gramStart"/>
      <w:r w:rsidR="002369AE">
        <w:t>models,</w:t>
      </w:r>
      <w:proofErr w:type="gramEnd"/>
      <w:r w:rsidR="002369AE">
        <w:t xml:space="preserve"> were developed.</w:t>
      </w:r>
    </w:p>
    <w:p w:rsidR="002369AE" w:rsidRDefault="002369AE" w:rsidP="00067D1F">
      <w:pPr>
        <w:pStyle w:val="ListParagraph"/>
        <w:numPr>
          <w:ilvl w:val="0"/>
          <w:numId w:val="1"/>
        </w:numPr>
        <w:jc w:val="both"/>
      </w:pPr>
      <w:r>
        <w:t xml:space="preserve">A further possibility of </w:t>
      </w:r>
      <w:proofErr w:type="spellStart"/>
      <w:r>
        <w:t>modeling</w:t>
      </w:r>
      <w:proofErr w:type="spellEnd"/>
      <w:r>
        <w:t xml:space="preserve"> inherent anisotropic </w:t>
      </w:r>
      <w:proofErr w:type="spellStart"/>
      <w:r>
        <w:t>behavior</w:t>
      </w:r>
      <w:proofErr w:type="spellEnd"/>
      <w:r>
        <w:t xml:space="preserve"> was published by </w:t>
      </w:r>
      <w:proofErr w:type="spellStart"/>
      <w:r w:rsidRPr="002369AE">
        <w:rPr>
          <w:b/>
        </w:rPr>
        <w:t>Pietruszczak</w:t>
      </w:r>
      <w:proofErr w:type="spellEnd"/>
      <w:r w:rsidRPr="002369AE">
        <w:rPr>
          <w:b/>
        </w:rPr>
        <w:t xml:space="preserve"> and </w:t>
      </w:r>
      <w:proofErr w:type="spellStart"/>
      <w:r w:rsidRPr="002369AE">
        <w:rPr>
          <w:b/>
        </w:rPr>
        <w:t>Mroz</w:t>
      </w:r>
      <w:proofErr w:type="spellEnd"/>
      <w:r w:rsidR="001D2CD8">
        <w:t xml:space="preserve"> and </w:t>
      </w:r>
      <w:proofErr w:type="spellStart"/>
      <w:proofErr w:type="gramStart"/>
      <w:r w:rsidR="001D2CD8">
        <w:t>Gao</w:t>
      </w:r>
      <w:proofErr w:type="spellEnd"/>
      <w:proofErr w:type="gramEnd"/>
      <w:r w:rsidR="001D2CD8">
        <w:t xml:space="preserve"> et.al.</w:t>
      </w:r>
      <w:r w:rsidR="00321DFA" w:rsidRPr="00321DFA">
        <w:t xml:space="preserve"> </w:t>
      </w:r>
      <w:r w:rsidR="00321DFA">
        <w:t>It relies on the generalization of isotropic yield functions by so-called scalar ani</w:t>
      </w:r>
      <w:r w:rsidR="00321DFA">
        <w:t>sotropy parameters. These param</w:t>
      </w:r>
      <w:r w:rsidR="00321DFA">
        <w:t>eters are postulated by means of a microstructure tensor, which takes into account the influence of the inclination of the stratification planes on the material parameters.</w:t>
      </w:r>
    </w:p>
    <w:p w:rsidR="00321DFA" w:rsidRDefault="00C71AB4" w:rsidP="00067D1F">
      <w:pPr>
        <w:pStyle w:val="ListParagraph"/>
        <w:numPr>
          <w:ilvl w:val="0"/>
          <w:numId w:val="1"/>
        </w:numPr>
        <w:jc w:val="both"/>
      </w:pPr>
      <w:r>
        <w:t xml:space="preserve">A different continuum-based approach for the extension of isotropic failure criteria to anisotropic </w:t>
      </w:r>
      <w:proofErr w:type="spellStart"/>
      <w:r>
        <w:t>beha</w:t>
      </w:r>
      <w:r>
        <w:t>vior</w:t>
      </w:r>
      <w:proofErr w:type="spellEnd"/>
      <w:r>
        <w:t xml:space="preserve"> was presented by </w:t>
      </w:r>
      <w:proofErr w:type="spellStart"/>
      <w:r>
        <w:t>Boehler</w:t>
      </w:r>
      <w:proofErr w:type="gramStart"/>
      <w:r>
        <w:t>,</w:t>
      </w:r>
      <w:r>
        <w:t>wherein</w:t>
      </w:r>
      <w:proofErr w:type="spellEnd"/>
      <w:proofErr w:type="gramEnd"/>
      <w:r>
        <w:t xml:space="preserve"> anisotropic </w:t>
      </w:r>
      <w:proofErr w:type="spellStart"/>
      <w:r>
        <w:t>behavior</w:t>
      </w:r>
      <w:proofErr w:type="spellEnd"/>
      <w:r>
        <w:t xml:space="preserve"> is described via a linear mapping tensor depending on the microstructure of the material.</w:t>
      </w:r>
    </w:p>
    <w:p w:rsidR="00892782" w:rsidRDefault="00892782" w:rsidP="00892782">
      <w:pPr>
        <w:pStyle w:val="ListParagraph"/>
        <w:jc w:val="both"/>
      </w:pPr>
    </w:p>
    <w:p w:rsidR="00892782" w:rsidRDefault="00FB003E" w:rsidP="00892782">
      <w:pPr>
        <w:pStyle w:val="ListParagraph"/>
        <w:jc w:val="both"/>
      </w:pPr>
      <w:r>
        <w:t xml:space="preserve">Methodology </w:t>
      </w:r>
    </w:p>
    <w:p w:rsidR="00FB003E" w:rsidRDefault="00FB003E" w:rsidP="00892782">
      <w:pPr>
        <w:pStyle w:val="ListParagraph"/>
        <w:jc w:val="both"/>
      </w:pPr>
      <w:r>
        <w:t xml:space="preserve">Methods </w:t>
      </w:r>
    </w:p>
    <w:p w:rsidR="00FB003E" w:rsidRDefault="00FB003E" w:rsidP="00892782">
      <w:pPr>
        <w:pStyle w:val="ListParagraph"/>
        <w:jc w:val="both"/>
      </w:pPr>
      <w:r>
        <w:t>A CRITICAL REVIEW ON MODELING TRANSVERSELY ISOTROPIC MATERIAL BEHAVIOR WITHIN THE FRAMEWORK OF PLASTICITY THEORY</w:t>
      </w:r>
    </w:p>
    <w:p w:rsidR="00FB003E" w:rsidRDefault="00FB003E" w:rsidP="00FB003E">
      <w:pPr>
        <w:pStyle w:val="ListParagraph"/>
        <w:jc w:val="both"/>
      </w:pPr>
      <w:r>
        <w:t>This section we discuss about the three popular approaches for extending an existing isotropic elasto-plastic model to transversely isotropic elasto-plastic model.</w:t>
      </w:r>
    </w:p>
    <w:p w:rsidR="00FB003E" w:rsidRDefault="00FB003E" w:rsidP="00FB003E">
      <w:pPr>
        <w:pStyle w:val="ListParagraph"/>
        <w:jc w:val="both"/>
      </w:pPr>
      <w:r w:rsidRPr="00FB003E">
        <w:drawing>
          <wp:inline distT="0" distB="0" distL="0" distR="0" wp14:anchorId="70895C42" wp14:editId="3F80AEB7">
            <wp:extent cx="52959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90040" cy="2359586"/>
                    </a:xfrm>
                    <a:prstGeom prst="rect">
                      <a:avLst/>
                    </a:prstGeom>
                  </pic:spPr>
                </pic:pic>
              </a:graphicData>
            </a:graphic>
          </wp:inline>
        </w:drawing>
      </w:r>
    </w:p>
    <w:p w:rsidR="00FB003E" w:rsidRDefault="00FB003E" w:rsidP="00FB003E">
      <w:pPr>
        <w:jc w:val="both"/>
      </w:pPr>
      <w:r>
        <w:t xml:space="preserve">Preliminaries </w:t>
      </w:r>
    </w:p>
    <w:p w:rsidR="00607DBA" w:rsidRDefault="00FB003E" w:rsidP="00067D1F">
      <w:pPr>
        <w:jc w:val="both"/>
      </w:pPr>
      <w:r>
        <w:t xml:space="preserve">     </w:t>
      </w:r>
      <w:proofErr w:type="gramStart"/>
      <w:r w:rsidRPr="00FB003E">
        <w:t>The most practical approach to express the stress-strain relationship in the major material orientations.</w:t>
      </w:r>
      <w:proofErr w:type="gramEnd"/>
    </w:p>
    <w:p w:rsidR="00FB003E" w:rsidRDefault="00365C45" w:rsidP="00067D1F">
      <w:pPr>
        <w:jc w:val="both"/>
      </w:pPr>
      <w:r>
        <w:t xml:space="preserve">   </w:t>
      </w:r>
      <w:r w:rsidRPr="00365C45">
        <w:drawing>
          <wp:inline distT="0" distB="0" distL="0" distR="0" wp14:anchorId="4D01AA3F" wp14:editId="53ED0708">
            <wp:extent cx="2956560" cy="31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56816" cy="312447"/>
                    </a:xfrm>
                    <a:prstGeom prst="rect">
                      <a:avLst/>
                    </a:prstGeom>
                  </pic:spPr>
                </pic:pic>
              </a:graphicData>
            </a:graphic>
          </wp:inline>
        </w:drawing>
      </w:r>
      <w:r>
        <w:t xml:space="preserve"> </w:t>
      </w:r>
    </w:p>
    <w:p w:rsidR="00365C45" w:rsidRDefault="00365C45" w:rsidP="00067D1F">
      <w:pPr>
        <w:jc w:val="both"/>
      </w:pPr>
      <w:proofErr w:type="gramStart"/>
      <w:r>
        <w:t>and</w:t>
      </w:r>
      <w:proofErr w:type="gramEnd"/>
      <w:r>
        <w:t xml:space="preserve"> e </w:t>
      </w:r>
      <w:r>
        <w:t>where the superscript prime (∙)′ designates variables formulated in the local coordinate system aligned with the principal material directions</w:t>
      </w:r>
      <w:r>
        <w:t>.</w:t>
      </w:r>
    </w:p>
    <w:p w:rsidR="00365C45" w:rsidRDefault="00365C45" w:rsidP="00067D1F">
      <w:pPr>
        <w:jc w:val="both"/>
      </w:pPr>
      <w:r w:rsidRPr="00365C45">
        <w:lastRenderedPageBreak/>
        <w:drawing>
          <wp:inline distT="0" distB="0" distL="0" distR="0" wp14:anchorId="2CAFFFC1" wp14:editId="6EC13BD7">
            <wp:extent cx="3794760"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5089" cy="2453853"/>
                    </a:xfrm>
                    <a:prstGeom prst="rect">
                      <a:avLst/>
                    </a:prstGeom>
                  </pic:spPr>
                </pic:pic>
              </a:graphicData>
            </a:graphic>
          </wp:inline>
        </w:drawing>
      </w:r>
    </w:p>
    <w:p w:rsidR="00365C45" w:rsidRDefault="00365C45" w:rsidP="00067D1F">
      <w:pPr>
        <w:jc w:val="both"/>
      </w:pPr>
      <w:r>
        <w:t>Where,</w:t>
      </w:r>
      <w:r w:rsidRPr="00365C45">
        <w:t xml:space="preserve"> </w:t>
      </w:r>
      <w:proofErr w:type="gramStart"/>
      <w:r w:rsidRPr="00365C45">
        <w:t>The</w:t>
      </w:r>
      <w:proofErr w:type="gramEnd"/>
      <w:r w:rsidRPr="00365C45">
        <w:t xml:space="preserve"> nominal Cauc</w:t>
      </w:r>
      <w:r>
        <w:t xml:space="preserve">hy stress tensor is denoted by </w:t>
      </w:r>
      <w:r>
        <w:rPr>
          <w:rFonts w:ascii="Cambria Math" w:hAnsi="Cambria Math" w:cs="Cambria Math"/>
        </w:rPr>
        <w:t>𝝈</w:t>
      </w:r>
      <w:r>
        <w:t>′</w:t>
      </w:r>
      <w:r>
        <w:t>,</w:t>
      </w:r>
    </w:p>
    <w:p w:rsidR="00365C45" w:rsidRDefault="00365C45" w:rsidP="00067D1F">
      <w:pPr>
        <w:jc w:val="both"/>
      </w:pPr>
      <w:r>
        <w:t xml:space="preserve">             </w:t>
      </w:r>
      <w:r>
        <w:rPr>
          <w:rFonts w:ascii="Cambria Math" w:hAnsi="Cambria Math" w:cs="Cambria Math"/>
        </w:rPr>
        <w:t>𝜺</w:t>
      </w:r>
      <w:r>
        <w:t xml:space="preserve">′ </w:t>
      </w:r>
      <w:proofErr w:type="gramStart"/>
      <w:r>
        <w:t>the</w:t>
      </w:r>
      <w:proofErr w:type="gramEnd"/>
      <w:r>
        <w:t xml:space="preserve"> total strain tensor, </w:t>
      </w:r>
    </w:p>
    <w:p w:rsidR="00365C45" w:rsidRDefault="00365C45" w:rsidP="00067D1F">
      <w:pPr>
        <w:jc w:val="both"/>
      </w:pPr>
      <w:r>
        <w:rPr>
          <w:rFonts w:ascii="Cambria Math" w:hAnsi="Cambria Math" w:cs="Cambria Math"/>
        </w:rPr>
        <w:t xml:space="preserve">            </w:t>
      </w:r>
      <w:r>
        <w:rPr>
          <w:rFonts w:ascii="Cambria Math" w:hAnsi="Cambria Math" w:cs="Cambria Math"/>
        </w:rPr>
        <w:t>𝜺</w:t>
      </w:r>
      <w:proofErr w:type="gramStart"/>
      <w:r>
        <w:t>′</w:t>
      </w:r>
      <w:r w:rsidRPr="00365C45">
        <w:rPr>
          <w:vertAlign w:val="superscript"/>
        </w:rPr>
        <w:t>(</w:t>
      </w:r>
      <w:proofErr w:type="gramEnd"/>
      <w:r w:rsidRPr="00365C45">
        <w:rPr>
          <w:vertAlign w:val="superscript"/>
        </w:rPr>
        <w:t>e)</w:t>
      </w:r>
      <w:r w:rsidRPr="00365C45">
        <w:rPr>
          <w:vertAlign w:val="superscript"/>
        </w:rPr>
        <w:t xml:space="preserve"> </w:t>
      </w:r>
      <w:r>
        <w:t xml:space="preserve">the elastic strain tensor and </w:t>
      </w:r>
      <w:r>
        <w:rPr>
          <w:rFonts w:ascii="Cambria Math" w:hAnsi="Cambria Math" w:cs="Cambria Math"/>
        </w:rPr>
        <w:t>𝜺</w:t>
      </w:r>
      <w:r>
        <w:t>′</w:t>
      </w:r>
      <w:r w:rsidRPr="00365C45">
        <w:rPr>
          <w:vertAlign w:val="superscript"/>
        </w:rPr>
        <w:t>(</w:t>
      </w:r>
      <w:r w:rsidRPr="00365C45">
        <w:rPr>
          <w:rFonts w:ascii="Cambria Math" w:hAnsi="Cambria Math" w:cs="Cambria Math"/>
          <w:vertAlign w:val="superscript"/>
        </w:rPr>
        <w:t>𝑝</w:t>
      </w:r>
      <w:r w:rsidRPr="00365C45">
        <w:rPr>
          <w:vertAlign w:val="superscript"/>
        </w:rPr>
        <w:t>)</w:t>
      </w:r>
      <w:r>
        <w:t xml:space="preserve"> the plastic strain tensor</w:t>
      </w:r>
    </w:p>
    <w:p w:rsidR="000D0E73" w:rsidRDefault="000D0E73" w:rsidP="00067D1F">
      <w:pPr>
        <w:jc w:val="both"/>
      </w:pPr>
      <w:r>
        <w:t xml:space="preserve">           </w:t>
      </w:r>
      <w:r>
        <w:rPr>
          <w:rFonts w:ascii="Cambria Math" w:hAnsi="Cambria Math" w:cs="Cambria Math"/>
        </w:rPr>
        <w:t>ℂ</w:t>
      </w:r>
      <w:proofErr w:type="gramStart"/>
      <w:r>
        <w:rPr>
          <w:rFonts w:ascii="Calibri" w:hAnsi="Calibri" w:cs="Calibri"/>
        </w:rPr>
        <w:t>′</w:t>
      </w:r>
      <w:r w:rsidRPr="000D0E73">
        <w:rPr>
          <w:vertAlign w:val="superscript"/>
        </w:rPr>
        <w:t>(</w:t>
      </w:r>
      <w:proofErr w:type="gramEnd"/>
      <w:r w:rsidRPr="000D0E73">
        <w:rPr>
          <w:rFonts w:ascii="Cambria Math" w:hAnsi="Cambria Math" w:cs="Cambria Math"/>
          <w:vertAlign w:val="superscript"/>
        </w:rPr>
        <w:t>𝑡𝑖</w:t>
      </w:r>
      <w:r>
        <w:t>) denotes the fourth-order transversely isotropic elastic stiffness tensor</w:t>
      </w:r>
    </w:p>
    <w:p w:rsidR="001417A5" w:rsidRDefault="001417A5" w:rsidP="00067D1F">
      <w:pPr>
        <w:jc w:val="both"/>
      </w:pPr>
      <w:r>
        <w:t xml:space="preserve">         </w:t>
      </w:r>
      <w:r>
        <w:t xml:space="preserve">Young’s modulus </w:t>
      </w:r>
      <w:r>
        <w:rPr>
          <w:rFonts w:ascii="Cambria Math" w:hAnsi="Cambria Math" w:cs="Cambria Math"/>
        </w:rPr>
        <w:t>𝐸</w:t>
      </w:r>
      <w:r w:rsidRPr="001417A5">
        <w:rPr>
          <w:vertAlign w:val="subscript"/>
        </w:rPr>
        <w:t>1</w:t>
      </w:r>
      <w:r>
        <w:t xml:space="preserve"> in </w:t>
      </w:r>
      <w:r>
        <w:rPr>
          <w:rFonts w:ascii="Cambria Math" w:hAnsi="Cambria Math" w:cs="Cambria Math"/>
        </w:rPr>
        <w:t>𝑥</w:t>
      </w:r>
      <w:r>
        <w:t>′</w:t>
      </w:r>
      <w:r w:rsidRPr="001417A5">
        <w:rPr>
          <w:vertAlign w:val="subscript"/>
        </w:rPr>
        <w:t>1</w:t>
      </w:r>
      <w:r>
        <w:t>-direction</w:t>
      </w:r>
      <w:r w:rsidR="00F7619B">
        <w:t xml:space="preserve"> and </w:t>
      </w:r>
      <w:r w:rsidR="00F7619B">
        <w:t xml:space="preserve">the Poisson’s ratio </w:t>
      </w:r>
      <w:r w:rsidR="00F7619B">
        <w:rPr>
          <w:rFonts w:ascii="Cambria Math" w:hAnsi="Cambria Math" w:cs="Cambria Math"/>
        </w:rPr>
        <w:t>𝜈</w:t>
      </w:r>
      <w:r w:rsidR="00F7619B" w:rsidRPr="00F7619B">
        <w:rPr>
          <w:vertAlign w:val="subscript"/>
        </w:rPr>
        <w:t>12</w:t>
      </w:r>
      <w:r w:rsidR="00F7619B">
        <w:t xml:space="preserve"> </w:t>
      </w:r>
      <w:r w:rsidR="00F7619B">
        <w:t xml:space="preserve">and the shear modulus </w:t>
      </w:r>
      <w:r w:rsidR="00F7619B">
        <w:rPr>
          <w:rFonts w:ascii="Cambria Math" w:hAnsi="Cambria Math" w:cs="Cambria Math"/>
        </w:rPr>
        <w:t>𝐺</w:t>
      </w:r>
      <w:r w:rsidR="00F7619B" w:rsidRPr="00F7619B">
        <w:rPr>
          <w:vertAlign w:val="subscript"/>
        </w:rPr>
        <w:t>12</w:t>
      </w:r>
      <w:r w:rsidR="00F7619B">
        <w:t xml:space="preserve"> in planes containing the axis of material symmetry </w:t>
      </w:r>
      <w:r w:rsidR="00F7619B">
        <w:rPr>
          <w:rFonts w:ascii="Cambria Math" w:hAnsi="Cambria Math" w:cs="Cambria Math"/>
        </w:rPr>
        <w:t>𝒆</w:t>
      </w:r>
      <w:proofErr w:type="gramStart"/>
      <w:r w:rsidR="00F7619B">
        <w:t>′</w:t>
      </w:r>
      <w:r w:rsidR="00F7619B" w:rsidRPr="00F7619B">
        <w:rPr>
          <w:vertAlign w:val="superscript"/>
        </w:rPr>
        <w:t>(</w:t>
      </w:r>
      <w:proofErr w:type="gramEnd"/>
      <w:r w:rsidR="00F7619B" w:rsidRPr="00F7619B">
        <w:rPr>
          <w:vertAlign w:val="superscript"/>
        </w:rPr>
        <w:t>1)</w:t>
      </w:r>
      <w:r w:rsidR="00F7619B">
        <w:t xml:space="preserve"> and the Young’s modulus </w:t>
      </w:r>
      <w:r w:rsidR="00F7619B">
        <w:rPr>
          <w:rFonts w:ascii="Cambria Math" w:hAnsi="Cambria Math" w:cs="Cambria Math"/>
        </w:rPr>
        <w:t>𝐸</w:t>
      </w:r>
      <w:r w:rsidR="00F7619B" w:rsidRPr="00F7619B">
        <w:rPr>
          <w:vertAlign w:val="subscript"/>
        </w:rPr>
        <w:t>2</w:t>
      </w:r>
      <w:r w:rsidR="00F7619B">
        <w:t xml:space="preserve"> and the Poisson’s ratio </w:t>
      </w:r>
      <w:r w:rsidR="00F7619B">
        <w:rPr>
          <w:rFonts w:ascii="Cambria Math" w:hAnsi="Cambria Math" w:cs="Cambria Math"/>
        </w:rPr>
        <w:t>𝜈</w:t>
      </w:r>
      <w:r w:rsidR="00F7619B" w:rsidRPr="00F7619B">
        <w:rPr>
          <w:vertAlign w:val="subscript"/>
        </w:rPr>
        <w:t>23</w:t>
      </w:r>
      <w:r w:rsidR="00F7619B">
        <w:t xml:space="preserve"> both in the </w:t>
      </w:r>
      <w:r w:rsidR="00F7619B">
        <w:rPr>
          <w:rFonts w:ascii="Cambria Math" w:hAnsi="Cambria Math" w:cs="Cambria Math"/>
        </w:rPr>
        <w:t>𝑥</w:t>
      </w:r>
      <w:r w:rsidR="00F7619B">
        <w:t>′</w:t>
      </w:r>
      <w:r w:rsidR="00F7619B" w:rsidRPr="00F7619B">
        <w:rPr>
          <w:vertAlign w:val="subscript"/>
        </w:rPr>
        <w:t>2</w:t>
      </w:r>
      <w:r w:rsidR="00F7619B">
        <w:rPr>
          <w:vertAlign w:val="subscript"/>
        </w:rPr>
        <w:t xml:space="preserve"> </w:t>
      </w:r>
      <w:r w:rsidR="00F7619B">
        <w:rPr>
          <w:rFonts w:ascii="Cambria Math" w:hAnsi="Cambria Math" w:cs="Cambria Math"/>
        </w:rPr>
        <w:t>𝑥</w:t>
      </w:r>
      <w:r w:rsidR="00F7619B">
        <w:t>′</w:t>
      </w:r>
      <w:r w:rsidR="00F7619B" w:rsidRPr="00F7619B">
        <w:rPr>
          <w:vertAlign w:val="subscript"/>
        </w:rPr>
        <w:t>3</w:t>
      </w:r>
      <w:r w:rsidR="00F7619B">
        <w:t xml:space="preserve">-plane of isotropic material </w:t>
      </w:r>
      <w:proofErr w:type="spellStart"/>
      <w:r w:rsidR="00146304">
        <w:t>behavior</w:t>
      </w:r>
      <w:proofErr w:type="spellEnd"/>
      <w:r w:rsidR="00FE479B">
        <w:t>.</w:t>
      </w:r>
    </w:p>
    <w:p w:rsidR="000D0E73" w:rsidRDefault="00FE479B" w:rsidP="00067D1F">
      <w:pPr>
        <w:jc w:val="both"/>
      </w:pPr>
      <w:r w:rsidRPr="00FE479B">
        <w:t>The stress and strain tensors, which are defined in the local coordinate system, are translated into the global coordinate sys</w:t>
      </w:r>
      <w:r>
        <w:t>tem using the following formula</w:t>
      </w:r>
    </w:p>
    <w:p w:rsidR="00CA6F20" w:rsidRDefault="00CA6F20" w:rsidP="00067D1F">
      <w:pPr>
        <w:jc w:val="both"/>
        <w:rPr>
          <w:rFonts w:ascii="Cambria Math" w:hAnsi="Cambria Math" w:cs="Cambria Math"/>
        </w:rPr>
      </w:pPr>
      <w:r>
        <w:t xml:space="preserve"> </w:t>
      </w:r>
      <w:r>
        <w:rPr>
          <w:rFonts w:ascii="Cambria Math" w:hAnsi="Cambria Math" w:cs="Cambria Math"/>
        </w:rPr>
        <w:t>𝜀</w:t>
      </w:r>
      <w:r w:rsidRPr="00CA6F20">
        <w:rPr>
          <w:rFonts w:ascii="Cambria Math" w:hAnsi="Cambria Math" w:cs="Cambria Math"/>
          <w:vertAlign w:val="subscript"/>
        </w:rPr>
        <w:t>𝑘𝑙</w:t>
      </w:r>
      <w:r>
        <w:t xml:space="preserve"> = </w:t>
      </w:r>
      <w:r>
        <w:rPr>
          <w:rFonts w:ascii="Cambria Math" w:hAnsi="Cambria Math" w:cs="Cambria Math"/>
        </w:rPr>
        <w:t>𝑎</w:t>
      </w:r>
      <w:r w:rsidRPr="00CA6F20">
        <w:rPr>
          <w:rFonts w:ascii="Cambria Math" w:hAnsi="Cambria Math" w:cs="Cambria Math"/>
          <w:vertAlign w:val="subscript"/>
        </w:rPr>
        <w:t>𝑝𝑘</w:t>
      </w:r>
      <w:r>
        <w:t xml:space="preserve"> </w:t>
      </w:r>
      <w:r>
        <w:rPr>
          <w:rFonts w:ascii="Cambria Math" w:hAnsi="Cambria Math" w:cs="Cambria Math"/>
        </w:rPr>
        <w:t>𝑎</w:t>
      </w:r>
      <w:r w:rsidRPr="00CA6F20">
        <w:rPr>
          <w:rFonts w:ascii="Cambria Math" w:hAnsi="Cambria Math" w:cs="Cambria Math"/>
          <w:vertAlign w:val="subscript"/>
        </w:rPr>
        <w:t>𝑞𝑙</w:t>
      </w:r>
      <w:r>
        <w:t xml:space="preserve"> </w:t>
      </w:r>
      <w:r>
        <w:rPr>
          <w:rFonts w:ascii="Cambria Math" w:hAnsi="Cambria Math" w:cs="Cambria Math"/>
        </w:rPr>
        <w:t>𝜀</w:t>
      </w:r>
      <w:r>
        <w:t>′</w:t>
      </w:r>
      <w:r w:rsidRPr="00CA6F20">
        <w:rPr>
          <w:rFonts w:ascii="Cambria Math" w:hAnsi="Cambria Math" w:cs="Cambria Math"/>
          <w:vertAlign w:val="subscript"/>
        </w:rPr>
        <w:t>𝑝</w:t>
      </w:r>
      <w:proofErr w:type="gramStart"/>
      <w:r w:rsidRPr="00CA6F20">
        <w:rPr>
          <w:rFonts w:ascii="Cambria Math" w:hAnsi="Cambria Math" w:cs="Cambria Math"/>
          <w:vertAlign w:val="subscript"/>
        </w:rPr>
        <w:t>q</w:t>
      </w:r>
      <w:r>
        <w:rPr>
          <w:rFonts w:ascii="Cambria Math" w:hAnsi="Cambria Math" w:cs="Cambria Math"/>
          <w:vertAlign w:val="subscript"/>
        </w:rPr>
        <w:t xml:space="preserve"> </w:t>
      </w:r>
      <w:r>
        <w:rPr>
          <w:rFonts w:ascii="Cambria Math" w:hAnsi="Cambria Math" w:cs="Cambria Math"/>
        </w:rPr>
        <w:t xml:space="preserve"> and</w:t>
      </w:r>
      <w:proofErr w:type="gramEnd"/>
      <w:r>
        <w:rPr>
          <w:rFonts w:ascii="Cambria Math" w:hAnsi="Cambria Math" w:cs="Cambria Math"/>
        </w:rPr>
        <w:t xml:space="preserve"> </w:t>
      </w:r>
      <w:r>
        <w:rPr>
          <w:rFonts w:ascii="Cambria Math" w:hAnsi="Cambria Math" w:cs="Cambria Math"/>
        </w:rPr>
        <w:t>𝜎</w:t>
      </w:r>
      <w:r w:rsidRPr="00CA6F20">
        <w:rPr>
          <w:rFonts w:ascii="Cambria Math" w:hAnsi="Cambria Math" w:cs="Cambria Math"/>
          <w:vertAlign w:val="subscript"/>
        </w:rPr>
        <w:t>𝑖𝑗</w:t>
      </w:r>
      <w:r>
        <w:t xml:space="preserve"> = </w:t>
      </w:r>
      <w:r>
        <w:rPr>
          <w:rFonts w:ascii="Cambria Math" w:hAnsi="Cambria Math" w:cs="Cambria Math"/>
        </w:rPr>
        <w:t>𝑎</w:t>
      </w:r>
      <w:r w:rsidRPr="00CA6F20">
        <w:rPr>
          <w:rFonts w:ascii="Cambria Math" w:hAnsi="Cambria Math" w:cs="Cambria Math"/>
          <w:vertAlign w:val="subscript"/>
        </w:rPr>
        <w:t>𝑚𝑖</w:t>
      </w:r>
      <w:r w:rsidRPr="00CA6F20">
        <w:rPr>
          <w:vertAlign w:val="subscript"/>
        </w:rPr>
        <w:t xml:space="preserve"> </w:t>
      </w:r>
      <w:r>
        <w:rPr>
          <w:rFonts w:ascii="Cambria Math" w:hAnsi="Cambria Math" w:cs="Cambria Math"/>
        </w:rPr>
        <w:t>𝑎</w:t>
      </w:r>
      <w:r w:rsidRPr="00CA6F20">
        <w:rPr>
          <w:rFonts w:ascii="Cambria Math" w:hAnsi="Cambria Math" w:cs="Cambria Math"/>
          <w:vertAlign w:val="subscript"/>
        </w:rPr>
        <w:t>𝑛𝑗</w:t>
      </w:r>
      <w:r>
        <w:t xml:space="preserve"> </w:t>
      </w:r>
      <w:r>
        <w:rPr>
          <w:rFonts w:ascii="Cambria Math" w:hAnsi="Cambria Math" w:cs="Cambria Math"/>
        </w:rPr>
        <w:t>𝜎</w:t>
      </w:r>
      <w:r>
        <w:t>′</w:t>
      </w:r>
      <w:r w:rsidRPr="00CA6F20">
        <w:rPr>
          <w:rFonts w:ascii="Cambria Math" w:hAnsi="Cambria Math" w:cs="Cambria Math"/>
          <w:vertAlign w:val="subscript"/>
        </w:rPr>
        <w:t>𝑚</w:t>
      </w:r>
      <w:r w:rsidRPr="00CA6F20">
        <w:rPr>
          <w:rFonts w:ascii="Cambria Math" w:hAnsi="Cambria Math" w:cs="Cambria Math"/>
          <w:vertAlign w:val="subscript"/>
        </w:rPr>
        <w:t>n</w:t>
      </w:r>
      <w:r w:rsidR="005A1F88">
        <w:rPr>
          <w:rFonts w:ascii="Cambria Math" w:hAnsi="Cambria Math" w:cs="Cambria Math"/>
          <w:vertAlign w:val="subscript"/>
        </w:rPr>
        <w:t xml:space="preserve"> </w:t>
      </w:r>
      <w:r w:rsidR="005A1F88">
        <w:rPr>
          <w:rFonts w:ascii="Cambria Math" w:hAnsi="Cambria Math" w:cs="Cambria Math"/>
        </w:rPr>
        <w:t xml:space="preserve"> by rearranging this two terms we will get </w:t>
      </w:r>
    </w:p>
    <w:p w:rsidR="005A1F88" w:rsidRDefault="005A1F88" w:rsidP="00067D1F">
      <w:pPr>
        <w:jc w:val="both"/>
        <w:rPr>
          <w:rFonts w:ascii="Cambria Math" w:hAnsi="Cambria Math" w:cs="Cambria Math"/>
        </w:rPr>
      </w:pPr>
      <w:r>
        <w:rPr>
          <w:rFonts w:ascii="Cambria Math" w:hAnsi="Cambria Math" w:cs="Cambria Math"/>
        </w:rPr>
        <w:t xml:space="preserve">                                            </w:t>
      </w:r>
      <w:r w:rsidRPr="005A1F88">
        <w:rPr>
          <w:rFonts w:ascii="Cambria Math" w:hAnsi="Cambria Math" w:cs="Cambria Math"/>
        </w:rPr>
        <w:drawing>
          <wp:inline distT="0" distB="0" distL="0" distR="0" wp14:anchorId="04C8F1BC" wp14:editId="76200A78">
            <wp:extent cx="248412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4336" cy="647756"/>
                    </a:xfrm>
                    <a:prstGeom prst="rect">
                      <a:avLst/>
                    </a:prstGeom>
                  </pic:spPr>
                </pic:pic>
              </a:graphicData>
            </a:graphic>
          </wp:inline>
        </w:drawing>
      </w:r>
    </w:p>
    <w:p w:rsidR="005A1F88" w:rsidRDefault="005A1F88" w:rsidP="00067D1F">
      <w:pPr>
        <w:jc w:val="both"/>
        <w:rPr>
          <w:rFonts w:ascii="Cambria Math" w:hAnsi="Cambria Math" w:cs="Cambria Math"/>
        </w:rPr>
      </w:pPr>
      <w:r>
        <w:rPr>
          <w:rFonts w:ascii="Cambria Math" w:hAnsi="Cambria Math" w:cs="Cambria Math"/>
        </w:rPr>
        <w:t xml:space="preserve">This equation referred to a global co-ordinate system, enters the equilibrium </w:t>
      </w:r>
      <w:r w:rsidR="00146304">
        <w:rPr>
          <w:rFonts w:ascii="Cambria Math" w:hAnsi="Cambria Math" w:cs="Cambria Math"/>
        </w:rPr>
        <w:t xml:space="preserve">equation. </w:t>
      </w:r>
      <w:proofErr w:type="spellStart"/>
      <w:r w:rsidR="00146304">
        <w:rPr>
          <w:rFonts w:ascii="Cambria Math" w:hAnsi="Cambria Math" w:cs="Cambria Math"/>
        </w:rPr>
        <w:t>Where</w:t>
      </w:r>
      <w:r>
        <w:rPr>
          <w:rFonts w:ascii="Cambria Math" w:hAnsi="Cambria Math" w:cs="Cambria Math"/>
        </w:rPr>
        <w:t xml:space="preserve"> as</w:t>
      </w:r>
      <w:proofErr w:type="spellEnd"/>
      <w:r>
        <w:rPr>
          <w:rFonts w:ascii="Cambria Math" w:hAnsi="Cambria Math" w:cs="Cambria Math"/>
        </w:rPr>
        <w:t xml:space="preserve"> above two formulas applied in an analogous manner for the transformation of the elastic and plastic strain tensors.</w:t>
      </w:r>
    </w:p>
    <w:p w:rsidR="005A1F88" w:rsidRPr="00146304" w:rsidRDefault="005A1F88" w:rsidP="00067D1F">
      <w:pPr>
        <w:jc w:val="both"/>
        <w:rPr>
          <w:rFonts w:ascii="Cambria Math" w:hAnsi="Cambria Math" w:cs="Cambria Math"/>
          <w:b/>
        </w:rPr>
      </w:pPr>
      <w:r w:rsidRPr="00146304">
        <w:rPr>
          <w:rFonts w:ascii="Cambria Math" w:hAnsi="Cambria Math" w:cs="Cambria Math"/>
          <w:b/>
        </w:rPr>
        <w:t xml:space="preserve">First model </w:t>
      </w:r>
    </w:p>
    <w:p w:rsidR="005A1F88" w:rsidRDefault="005A1F88" w:rsidP="00067D1F">
      <w:pPr>
        <w:jc w:val="both"/>
        <w:rPr>
          <w:b/>
        </w:rPr>
      </w:pPr>
      <w:r w:rsidRPr="005A1F88">
        <w:rPr>
          <w:b/>
        </w:rPr>
        <w:t>Ubiquitous joint models</w:t>
      </w:r>
    </w:p>
    <w:p w:rsidR="005A1F88" w:rsidRDefault="00146304" w:rsidP="00067D1F">
      <w:pPr>
        <w:jc w:val="both"/>
      </w:pPr>
      <w:proofErr w:type="gramStart"/>
      <w:r>
        <w:t>in</w:t>
      </w:r>
      <w:proofErr w:type="gramEnd"/>
      <w:r>
        <w:t xml:space="preserve"> this </w:t>
      </w:r>
      <w:proofErr w:type="spellStart"/>
      <w:r>
        <w:t>model,we</w:t>
      </w:r>
      <w:proofErr w:type="spellEnd"/>
      <w:r>
        <w:t xml:space="preserve"> are using two different failure criteria that are </w:t>
      </w:r>
      <w:proofErr w:type="spellStart"/>
      <w:r>
        <w:t>combined,one</w:t>
      </w:r>
      <w:proofErr w:type="spellEnd"/>
      <w:r>
        <w:t xml:space="preserve"> is representing failure of rock matrix(”</w:t>
      </w:r>
      <w:proofErr w:type="spellStart"/>
      <w:r>
        <w:t>non</w:t>
      </w:r>
      <w:r>
        <w:t>sliding</w:t>
      </w:r>
      <w:proofErr w:type="spellEnd"/>
      <w:r>
        <w:t xml:space="preserve"> mode”), denoted as </w:t>
      </w:r>
      <w:r>
        <w:rPr>
          <w:rFonts w:ascii="Cambria Math" w:hAnsi="Cambria Math" w:cs="Cambria Math"/>
        </w:rPr>
        <w:t>𝑓</w:t>
      </w:r>
      <w:r w:rsidRPr="00146304">
        <w:rPr>
          <w:vertAlign w:val="superscript"/>
        </w:rPr>
        <w:t>(</w:t>
      </w:r>
      <w:r w:rsidRPr="00146304">
        <w:rPr>
          <w:rFonts w:ascii="Cambria Math" w:hAnsi="Cambria Math" w:cs="Cambria Math"/>
          <w:vertAlign w:val="superscript"/>
        </w:rPr>
        <w:t>𝑟</w:t>
      </w:r>
      <w:r w:rsidRPr="00146304">
        <w:rPr>
          <w:vertAlign w:val="superscript"/>
        </w:rPr>
        <w:t>)</w:t>
      </w:r>
      <w:r>
        <w:t xml:space="preserve">, and the other one failure along the stratification planes (”sliding mode”), denoted as </w:t>
      </w:r>
      <w:r>
        <w:rPr>
          <w:rFonts w:ascii="Cambria Math" w:hAnsi="Cambria Math" w:cs="Cambria Math"/>
        </w:rPr>
        <w:t>𝑓</w:t>
      </w:r>
      <w:r w:rsidRPr="00146304">
        <w:rPr>
          <w:vertAlign w:val="superscript"/>
        </w:rPr>
        <w:t>(</w:t>
      </w:r>
      <w:r w:rsidRPr="00146304">
        <w:rPr>
          <w:rFonts w:ascii="Cambria Math" w:hAnsi="Cambria Math" w:cs="Cambria Math"/>
          <w:vertAlign w:val="superscript"/>
        </w:rPr>
        <w:t>𝑠𝑝</w:t>
      </w:r>
      <w:r w:rsidRPr="00146304">
        <w:rPr>
          <w:vertAlign w:val="superscript"/>
        </w:rPr>
        <w:t>)</w:t>
      </w:r>
      <w:r>
        <w:t xml:space="preserve">. The latter is defined in terms of the traction vector </w:t>
      </w:r>
      <w:r>
        <w:rPr>
          <w:rFonts w:ascii="Cambria Math" w:hAnsi="Cambria Math" w:cs="Cambria Math"/>
        </w:rPr>
        <w:t>𝑡</w:t>
      </w:r>
      <w:proofErr w:type="gramStart"/>
      <w:r w:rsidRPr="00146304">
        <w:rPr>
          <w:rFonts w:ascii="Cambria Math" w:hAnsi="Cambria Math" w:cs="Cambria Math"/>
          <w:vertAlign w:val="subscript"/>
        </w:rPr>
        <w:t>i</w:t>
      </w:r>
      <w:r w:rsidRPr="00146304">
        <w:rPr>
          <w:vertAlign w:val="superscript"/>
        </w:rPr>
        <w:t>(</w:t>
      </w:r>
      <w:proofErr w:type="gramEnd"/>
      <w:r w:rsidRPr="00146304">
        <w:rPr>
          <w:rFonts w:ascii="Cambria Math" w:hAnsi="Cambria Math" w:cs="Cambria Math"/>
          <w:vertAlign w:val="superscript"/>
        </w:rPr>
        <w:t>𝑛</w:t>
      </w:r>
      <w:r w:rsidRPr="00146304">
        <w:rPr>
          <w:vertAlign w:val="superscript"/>
        </w:rPr>
        <w:t>)</w:t>
      </w:r>
      <w:r>
        <w:t xml:space="preserve"> = </w:t>
      </w:r>
      <w:r>
        <w:rPr>
          <w:rFonts w:ascii="Cambria Math" w:hAnsi="Cambria Math" w:cs="Cambria Math"/>
        </w:rPr>
        <w:t>𝜎</w:t>
      </w:r>
      <w:r w:rsidRPr="00146304">
        <w:rPr>
          <w:rFonts w:ascii="Cambria Math" w:hAnsi="Cambria Math" w:cs="Cambria Math"/>
          <w:vertAlign w:val="subscript"/>
        </w:rPr>
        <w:t>𝑖</w:t>
      </w:r>
      <w:r w:rsidRPr="00146304">
        <w:rPr>
          <w:rFonts w:ascii="Cambria Math" w:hAnsi="Cambria Math" w:cs="Cambria Math"/>
          <w:vertAlign w:val="subscript"/>
        </w:rPr>
        <w:t>𝑗</w:t>
      </w:r>
      <w:r>
        <w:t xml:space="preserve"> </w:t>
      </w:r>
      <w:r>
        <w:rPr>
          <w:rFonts w:ascii="Cambria Math" w:hAnsi="Cambria Math" w:cs="Cambria Math"/>
        </w:rPr>
        <w:t>𝑛</w:t>
      </w:r>
      <w:r w:rsidRPr="00146304">
        <w:rPr>
          <w:rFonts w:ascii="Cambria Math" w:hAnsi="Cambria Math" w:cs="Cambria Math"/>
          <w:vertAlign w:val="subscript"/>
        </w:rPr>
        <w:t>𝑗</w:t>
      </w:r>
      <w:r>
        <w:t xml:space="preserve"> acting on an infinitesimal area of the stratification planes with the normal vector </w:t>
      </w:r>
      <w:r>
        <w:rPr>
          <w:rFonts w:ascii="Cambria Math" w:hAnsi="Cambria Math" w:cs="Cambria Math"/>
        </w:rPr>
        <w:t>𝒏</w:t>
      </w:r>
      <w:r>
        <w:t xml:space="preserve">, leading to the incorporation of direction-dependent </w:t>
      </w:r>
      <w:proofErr w:type="spellStart"/>
      <w:r>
        <w:t>behavior</w:t>
      </w:r>
      <w:proofErr w:type="spellEnd"/>
      <w:r>
        <w:t>.</w:t>
      </w:r>
    </w:p>
    <w:p w:rsidR="00761694" w:rsidRDefault="00761694" w:rsidP="00067D1F">
      <w:pPr>
        <w:jc w:val="both"/>
      </w:pPr>
      <w:r>
        <w:lastRenderedPageBreak/>
        <w:t xml:space="preserve">According to the </w:t>
      </w:r>
      <w:proofErr w:type="spellStart"/>
      <w:r>
        <w:t>latter</w:t>
      </w:r>
      <w:proofErr w:type="gramStart"/>
      <w:r>
        <w:t>,the</w:t>
      </w:r>
      <w:proofErr w:type="spellEnd"/>
      <w:proofErr w:type="gramEnd"/>
      <w:r>
        <w:t xml:space="preserve"> set of admissible yield functions is defined as </w:t>
      </w:r>
    </w:p>
    <w:p w:rsidR="00761694" w:rsidRDefault="00FA135E" w:rsidP="00067D1F">
      <w:pPr>
        <w:jc w:val="both"/>
      </w:pPr>
      <w:r w:rsidRPr="00FA135E">
        <w:drawing>
          <wp:inline distT="0" distB="0" distL="0" distR="0" wp14:anchorId="32839666" wp14:editId="7D2D9D5E">
            <wp:extent cx="4366638" cy="1036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6638" cy="1036410"/>
                    </a:xfrm>
                    <a:prstGeom prst="rect">
                      <a:avLst/>
                    </a:prstGeom>
                  </pic:spPr>
                </pic:pic>
              </a:graphicData>
            </a:graphic>
          </wp:inline>
        </w:drawing>
      </w:r>
    </w:p>
    <w:p w:rsidR="00FA135E" w:rsidRDefault="00BA57F3" w:rsidP="00067D1F">
      <w:pPr>
        <w:jc w:val="both"/>
      </w:pPr>
      <w:r>
        <w:t>For the evolution of the plastic strain, the non-associated flow rule</w:t>
      </w:r>
    </w:p>
    <w:p w:rsidR="00BA57F3" w:rsidRDefault="00BA57F3" w:rsidP="00067D1F">
      <w:pPr>
        <w:jc w:val="both"/>
      </w:pPr>
      <w:r>
        <w:t xml:space="preserve">                                             </w:t>
      </w:r>
      <w:r w:rsidRPr="00BA57F3">
        <w:drawing>
          <wp:inline distT="0" distB="0" distL="0" distR="0" wp14:anchorId="2A6B96E4" wp14:editId="1ADEB93F">
            <wp:extent cx="2133600" cy="54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33787" cy="548688"/>
                    </a:xfrm>
                    <a:prstGeom prst="rect">
                      <a:avLst/>
                    </a:prstGeom>
                  </pic:spPr>
                </pic:pic>
              </a:graphicData>
            </a:graphic>
          </wp:inline>
        </w:drawing>
      </w:r>
    </w:p>
    <w:p w:rsidR="00BA57F3" w:rsidRDefault="00BA57F3" w:rsidP="00067D1F">
      <w:pPr>
        <w:jc w:val="both"/>
      </w:pPr>
      <w:r>
        <w:rPr>
          <w:rFonts w:ascii="Cambria Math" w:hAnsi="Cambria Math" w:cs="Cambria Math"/>
        </w:rPr>
        <w:t>𝜅</w:t>
      </w:r>
      <w:r>
        <w:t xml:space="preserve"> </w:t>
      </w:r>
      <w:proofErr w:type="gramStart"/>
      <w:r>
        <w:t>the</w:t>
      </w:r>
      <w:proofErr w:type="gramEnd"/>
      <w:r>
        <w:t xml:space="preserve"> subset of active yield criteria, </w:t>
      </w:r>
      <w:r>
        <w:rPr>
          <w:rFonts w:ascii="Cambria Math" w:hAnsi="Cambria Math" w:cs="Cambria Math"/>
        </w:rPr>
        <w:t>𝑔</w:t>
      </w:r>
      <w:r w:rsidRPr="00BA57F3">
        <w:rPr>
          <w:vertAlign w:val="superscript"/>
        </w:rPr>
        <w:t>(</w:t>
      </w:r>
      <w:r w:rsidRPr="00BA57F3">
        <w:rPr>
          <w:rFonts w:ascii="Cambria Math" w:hAnsi="Cambria Math" w:cs="Cambria Math"/>
          <w:vertAlign w:val="superscript"/>
        </w:rPr>
        <w:t>𝜅</w:t>
      </w:r>
      <w:r w:rsidRPr="00BA57F3">
        <w:rPr>
          <w:vertAlign w:val="superscript"/>
        </w:rPr>
        <w:t>)</w:t>
      </w:r>
      <w:r>
        <w:t>(</w:t>
      </w:r>
      <w:r>
        <w:rPr>
          <w:rFonts w:ascii="Cambria Math" w:hAnsi="Cambria Math" w:cs="Cambria Math"/>
        </w:rPr>
        <w:t>𝝈</w:t>
      </w:r>
      <w:r>
        <w:t>) the plastic poten</w:t>
      </w:r>
      <w:r>
        <w:t xml:space="preserve">tial function and </w:t>
      </w:r>
      <w:r>
        <w:rPr>
          <w:rFonts w:ascii="Cambria Math" w:hAnsi="Cambria Math" w:cs="Cambria Math"/>
        </w:rPr>
        <w:t>𝜆</w:t>
      </w:r>
      <w:r>
        <w:rPr>
          <w:rFonts w:ascii="Calibri" w:hAnsi="Calibri" w:cs="Calibri"/>
        </w:rPr>
        <w:t>̇</w:t>
      </w:r>
      <w:r w:rsidRPr="00BA57F3">
        <w:rPr>
          <w:vertAlign w:val="superscript"/>
        </w:rPr>
        <w:t>(</w:t>
      </w:r>
      <w:r w:rsidRPr="00BA57F3">
        <w:rPr>
          <w:rFonts w:ascii="Cambria Math" w:hAnsi="Cambria Math" w:cs="Cambria Math"/>
          <w:vertAlign w:val="superscript"/>
        </w:rPr>
        <w:t>𝜅</w:t>
      </w:r>
      <w:r w:rsidRPr="00BA57F3">
        <w:rPr>
          <w:vertAlign w:val="superscript"/>
        </w:rPr>
        <w:t xml:space="preserve">) </w:t>
      </w:r>
      <w:r>
        <w:t>the corr</w:t>
      </w:r>
      <w:r w:rsidR="00DE054B">
        <w:t>esponding consistency parameter.</w:t>
      </w:r>
    </w:p>
    <w:p w:rsidR="00DE054B" w:rsidRDefault="00DE054B" w:rsidP="00067D1F">
      <w:pPr>
        <w:jc w:val="both"/>
      </w:pPr>
      <w:r>
        <w:t xml:space="preserve">In the following, the isotropic </w:t>
      </w:r>
      <w:proofErr w:type="spellStart"/>
      <w:r>
        <w:t>Drucker-prager</w:t>
      </w:r>
      <w:proofErr w:type="spellEnd"/>
      <w:r>
        <w:t xml:space="preserve"> yield is used for rock matrix with s and I</w:t>
      </w:r>
      <w:r w:rsidRPr="00DE054B">
        <w:rPr>
          <w:vertAlign w:val="subscript"/>
        </w:rPr>
        <w:t>1</w:t>
      </w:r>
      <w:r>
        <w:t xml:space="preserve"> denoting the </w:t>
      </w:r>
      <w:proofErr w:type="spellStart"/>
      <w:r>
        <w:t>deviatoric</w:t>
      </w:r>
      <w:proofErr w:type="spellEnd"/>
      <w:r>
        <w:t xml:space="preserve"> part and the first invariant of the Cauchy stress </w:t>
      </w:r>
      <w:proofErr w:type="spellStart"/>
      <w:r>
        <w:t>tensor</w:t>
      </w:r>
      <w:proofErr w:type="gramStart"/>
      <w:r>
        <w:t>,repectively</w:t>
      </w:r>
      <w:proofErr w:type="spellEnd"/>
      <w:proofErr w:type="gramEnd"/>
      <w:r>
        <w:t xml:space="preserve"> </w:t>
      </w:r>
    </w:p>
    <w:p w:rsidR="00DE054B" w:rsidRDefault="00DE054B" w:rsidP="00067D1F">
      <w:pPr>
        <w:jc w:val="both"/>
      </w:pPr>
      <w:r w:rsidRPr="00DE054B">
        <w:drawing>
          <wp:inline distT="0" distB="0" distL="0" distR="0" wp14:anchorId="45AA2074" wp14:editId="1EF7B44A">
            <wp:extent cx="2301439" cy="58679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01439" cy="586791"/>
                    </a:xfrm>
                    <a:prstGeom prst="rect">
                      <a:avLst/>
                    </a:prstGeom>
                  </pic:spPr>
                </pic:pic>
              </a:graphicData>
            </a:graphic>
          </wp:inline>
        </w:drawing>
      </w:r>
    </w:p>
    <w:p w:rsidR="00DE054B" w:rsidRDefault="00DE054B" w:rsidP="00067D1F">
      <w:pPr>
        <w:jc w:val="both"/>
      </w:pPr>
      <w:proofErr w:type="spellStart"/>
      <w:proofErr w:type="gramStart"/>
      <w:r>
        <w:t>Where as</w:t>
      </w:r>
      <w:proofErr w:type="spellEnd"/>
      <w:r>
        <w:t xml:space="preserve"> </w:t>
      </w:r>
      <w:r>
        <w:rPr>
          <w:rFonts w:ascii="Cambria Math" w:hAnsi="Cambria Math" w:cs="Cambria Math"/>
        </w:rPr>
        <w:t>𝜏</w:t>
      </w:r>
      <w:r w:rsidRPr="00DE054B">
        <w:rPr>
          <w:rFonts w:ascii="Cambria Math" w:hAnsi="Cambria Math" w:cs="Cambria Math"/>
          <w:vertAlign w:val="subscript"/>
        </w:rPr>
        <w:t>𝑦</w:t>
      </w:r>
      <w:r>
        <w:t xml:space="preserve"> and </w:t>
      </w:r>
      <w:r>
        <w:rPr>
          <w:rFonts w:ascii="Cambria Math" w:hAnsi="Cambria Math" w:cs="Cambria Math"/>
        </w:rPr>
        <w:t>𝜇</w:t>
      </w:r>
      <w:r>
        <w:t xml:space="preserve"> the cohesive and frictional material parameters.</w:t>
      </w:r>
      <w:proofErr w:type="gramEnd"/>
    </w:p>
    <w:p w:rsidR="00DE054B" w:rsidRDefault="008B5D15" w:rsidP="00067D1F">
      <w:pPr>
        <w:jc w:val="both"/>
      </w:pPr>
      <w:r>
        <w:t xml:space="preserve">A </w:t>
      </w:r>
      <w:proofErr w:type="spellStart"/>
      <w:r>
        <w:t>non associated</w:t>
      </w:r>
      <w:proofErr w:type="spellEnd"/>
      <w:r>
        <w:t xml:space="preserve"> plastic potential function is assumed for determining the plastic strain rate that we discussed in above formula </w:t>
      </w:r>
    </w:p>
    <w:p w:rsidR="000727E4" w:rsidRDefault="00E86347" w:rsidP="00067D1F">
      <w:pPr>
        <w:jc w:val="both"/>
      </w:pPr>
      <w:r>
        <w:t xml:space="preserve">         </w:t>
      </w:r>
      <w:r w:rsidRPr="00E86347">
        <w:drawing>
          <wp:inline distT="0" distB="0" distL="0" distR="0" wp14:anchorId="47FB6F5D" wp14:editId="61CE51EB">
            <wp:extent cx="2034716" cy="51058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34716" cy="510584"/>
                    </a:xfrm>
                    <a:prstGeom prst="rect">
                      <a:avLst/>
                    </a:prstGeom>
                  </pic:spPr>
                </pic:pic>
              </a:graphicData>
            </a:graphic>
          </wp:inline>
        </w:drawing>
      </w:r>
      <w:r>
        <w:t xml:space="preserve">    </w:t>
      </w:r>
    </w:p>
    <w:p w:rsidR="000727E4" w:rsidRDefault="000727E4" w:rsidP="00067D1F">
      <w:pPr>
        <w:jc w:val="both"/>
      </w:pPr>
      <w:r>
        <w:t xml:space="preserve">And the plastic potential function is defined for the stratification planes as </w:t>
      </w:r>
    </w:p>
    <w:p w:rsidR="00F9354C" w:rsidRDefault="000727E4" w:rsidP="00067D1F">
      <w:pPr>
        <w:jc w:val="both"/>
      </w:pPr>
      <w:r>
        <w:t xml:space="preserve">                  </w:t>
      </w:r>
      <w:r w:rsidR="00F9354C" w:rsidRPr="00F9354C">
        <w:drawing>
          <wp:inline distT="0" distB="0" distL="0" distR="0" wp14:anchorId="32C63399" wp14:editId="00E64536">
            <wp:extent cx="2263336" cy="434378"/>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63336" cy="434378"/>
                    </a:xfrm>
                    <a:prstGeom prst="rect">
                      <a:avLst/>
                    </a:prstGeom>
                  </pic:spPr>
                </pic:pic>
              </a:graphicData>
            </a:graphic>
          </wp:inline>
        </w:drawing>
      </w:r>
      <w:r w:rsidR="00E86347">
        <w:t xml:space="preserve">    </w:t>
      </w:r>
    </w:p>
    <w:p w:rsidR="008B5D15" w:rsidRDefault="00F9354C" w:rsidP="00067D1F">
      <w:pPr>
        <w:jc w:val="both"/>
      </w:pPr>
      <w:proofErr w:type="spellStart"/>
      <w:proofErr w:type="gramStart"/>
      <w:r>
        <w:t>Where as</w:t>
      </w:r>
      <w:proofErr w:type="spellEnd"/>
      <w:r>
        <w:t xml:space="preserve"> </w:t>
      </w:r>
      <w:r>
        <w:rPr>
          <w:rFonts w:ascii="Cambria Math" w:hAnsi="Cambria Math" w:cs="Cambria Math"/>
        </w:rPr>
        <w:t>𝜓</w:t>
      </w:r>
      <w:r>
        <w:t xml:space="preserve"> denoting the </w:t>
      </w:r>
      <w:proofErr w:type="spellStart"/>
      <w:r>
        <w:t>dilatancy</w:t>
      </w:r>
      <w:proofErr w:type="spellEnd"/>
      <w:r>
        <w:t xml:space="preserve"> angle.</w:t>
      </w:r>
      <w:proofErr w:type="gramEnd"/>
      <w:r w:rsidR="00E86347">
        <w:t xml:space="preserve"> </w:t>
      </w:r>
    </w:p>
    <w:p w:rsidR="00DE054B" w:rsidRDefault="00E86347" w:rsidP="00067D1F">
      <w:pPr>
        <w:jc w:val="both"/>
      </w:pPr>
      <w:r w:rsidRPr="00E86347">
        <w:t>Transversely isotropic material behaviour is taken into consideration by an additional yield criterion for modelling failure owing to sliding along the stratification planes, according to the ubiquitous joint idea. The Mohr-Coulom</w:t>
      </w:r>
      <w:r>
        <w:t>b fric</w:t>
      </w:r>
      <w:r w:rsidR="001850DD">
        <w:t xml:space="preserve">tion law is considered. The equation is </w:t>
      </w:r>
    </w:p>
    <w:p w:rsidR="00E86347" w:rsidRDefault="001850DD" w:rsidP="00067D1F">
      <w:pPr>
        <w:jc w:val="both"/>
      </w:pPr>
      <w:r w:rsidRPr="001850DD">
        <w:drawing>
          <wp:inline distT="0" distB="0" distL="0" distR="0" wp14:anchorId="32F9E120" wp14:editId="70233797">
            <wp:extent cx="4046571" cy="9297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46571" cy="929721"/>
                    </a:xfrm>
                    <a:prstGeom prst="rect">
                      <a:avLst/>
                    </a:prstGeom>
                  </pic:spPr>
                </pic:pic>
              </a:graphicData>
            </a:graphic>
          </wp:inline>
        </w:drawing>
      </w:r>
    </w:p>
    <w:p w:rsidR="001850DD" w:rsidRDefault="000727E4" w:rsidP="00067D1F">
      <w:pPr>
        <w:jc w:val="both"/>
      </w:pPr>
      <w:r>
        <w:lastRenderedPageBreak/>
        <w:t>There</w:t>
      </w:r>
      <w:r>
        <w:t xml:space="preserve"> </w:t>
      </w:r>
      <w:r>
        <w:t xml:space="preserve">in, </w:t>
      </w:r>
      <w:r>
        <w:rPr>
          <w:rFonts w:ascii="Cambria Math" w:hAnsi="Cambria Math" w:cs="Cambria Math"/>
        </w:rPr>
        <w:t>𝛿</w:t>
      </w:r>
      <w:r w:rsidRPr="000727E4">
        <w:rPr>
          <w:rFonts w:ascii="Cambria Math" w:hAnsi="Cambria Math" w:cs="Cambria Math"/>
          <w:vertAlign w:val="subscript"/>
        </w:rPr>
        <w:t>𝑘𝑙</w:t>
      </w:r>
      <w:r>
        <w:t xml:space="preserve"> denotes the </w:t>
      </w:r>
      <w:proofErr w:type="spellStart"/>
      <w:r>
        <w:t>Kronecker</w:t>
      </w:r>
      <w:proofErr w:type="spellEnd"/>
      <w:r>
        <w:t xml:space="preserve"> delta, </w:t>
      </w:r>
      <w:r>
        <w:rPr>
          <w:rFonts w:ascii="Cambria Math" w:hAnsi="Cambria Math" w:cs="Cambria Math"/>
        </w:rPr>
        <w:t>𝒏</w:t>
      </w:r>
      <w:r>
        <w:t xml:space="preserve"> the normal vector to the stratification planes, </w:t>
      </w:r>
      <w:r>
        <w:rPr>
          <w:rFonts w:ascii="Cambria Math" w:hAnsi="Cambria Math" w:cs="Cambria Math"/>
        </w:rPr>
        <w:t>𝜎</w:t>
      </w:r>
      <w:r w:rsidRPr="000727E4">
        <w:rPr>
          <w:rFonts w:ascii="Cambria Math" w:hAnsi="Cambria Math" w:cs="Cambria Math"/>
          <w:vertAlign w:val="subscript"/>
        </w:rPr>
        <w:t>𝑛𝑡</w:t>
      </w:r>
      <w:r>
        <w:t xml:space="preserve"> and </w:t>
      </w:r>
      <w:r>
        <w:rPr>
          <w:rFonts w:ascii="Cambria Math" w:hAnsi="Cambria Math" w:cs="Cambria Math"/>
        </w:rPr>
        <w:t>𝜎</w:t>
      </w:r>
      <w:r w:rsidRPr="000727E4">
        <w:rPr>
          <w:rFonts w:ascii="Cambria Math" w:hAnsi="Cambria Math" w:cs="Cambria Math"/>
          <w:vertAlign w:val="subscript"/>
        </w:rPr>
        <w:t>𝑛𝑛</w:t>
      </w:r>
      <w:r>
        <w:t xml:space="preserve"> the shear and the normal component of the stress vector </w:t>
      </w:r>
      <w:r>
        <w:rPr>
          <w:rFonts w:ascii="Cambria Math" w:hAnsi="Cambria Math" w:cs="Cambria Math"/>
        </w:rPr>
        <w:t/>
      </w:r>
      <w:proofErr w:type="gramStart"/>
      <w:r>
        <w:rPr>
          <w:rFonts w:ascii="Cambria Math" w:hAnsi="Cambria Math" w:cs="Cambria Math"/>
        </w:rPr>
        <w:t/>
      </w:r>
      <w:r w:rsidRPr="000727E4">
        <w:rPr>
          <w:vertAlign w:val="superscript"/>
        </w:rPr>
        <w:t>(</w:t>
      </w:r>
      <w:proofErr w:type="gramEnd"/>
      <w:r w:rsidRPr="000727E4">
        <w:rPr>
          <w:rFonts w:ascii="Cambria Math" w:hAnsi="Cambria Math" w:cs="Cambria Math"/>
          <w:vertAlign w:val="superscript"/>
        </w:rPr>
        <w:t>𝑛</w:t>
      </w:r>
      <w:r w:rsidRPr="000727E4">
        <w:rPr>
          <w:vertAlign w:val="superscript"/>
        </w:rPr>
        <w:t>)</w:t>
      </w:r>
      <w:r>
        <w:t xml:space="preserve"> acting on the latter, and </w:t>
      </w:r>
      <w:r>
        <w:rPr>
          <w:rFonts w:ascii="Cambria Math" w:hAnsi="Cambria Math" w:cs="Cambria Math"/>
        </w:rPr>
        <w:t>𝜑</w:t>
      </w:r>
      <w:r>
        <w:t xml:space="preserve"> and </w:t>
      </w:r>
      <w:r>
        <w:rPr>
          <w:rFonts w:ascii="Cambria Math" w:hAnsi="Cambria Math" w:cs="Cambria Math"/>
        </w:rPr>
        <w:t>𝑐</w:t>
      </w:r>
      <w:r>
        <w:t xml:space="preserve"> the friction angle and the cohesion, respectively.</w:t>
      </w:r>
    </w:p>
    <w:p w:rsidR="00F9354C" w:rsidRDefault="00F9354C" w:rsidP="00067D1F">
      <w:pPr>
        <w:jc w:val="both"/>
      </w:pPr>
      <w:r>
        <w:t xml:space="preserve">Second method </w:t>
      </w:r>
    </w:p>
    <w:p w:rsidR="00F9354C" w:rsidRDefault="00D13452" w:rsidP="00067D1F">
      <w:pPr>
        <w:jc w:val="both"/>
      </w:pPr>
      <w:r>
        <w:t xml:space="preserve">Introduction of scalar anisotropy parameters </w:t>
      </w:r>
    </w:p>
    <w:p w:rsidR="00D13452" w:rsidRDefault="00D13452" w:rsidP="00067D1F">
      <w:pPr>
        <w:jc w:val="both"/>
      </w:pPr>
      <w:r>
        <w:t xml:space="preserve">This method is commonly for capturing inherent anisotropy in plasticity models by the direction-dependent formulation of strength-related material </w:t>
      </w:r>
      <w:proofErr w:type="spellStart"/>
      <w:r>
        <w:t>parameters</w:t>
      </w:r>
      <w:proofErr w:type="gramStart"/>
      <w:r>
        <w:t>,the</w:t>
      </w:r>
      <w:proofErr w:type="spellEnd"/>
      <w:proofErr w:type="gramEnd"/>
      <w:r>
        <w:t xml:space="preserve"> framework </w:t>
      </w:r>
      <w:proofErr w:type="spellStart"/>
      <w:r>
        <w:t>Pietruszczak</w:t>
      </w:r>
      <w:proofErr w:type="spellEnd"/>
      <w:r>
        <w:t xml:space="preserve"> and </w:t>
      </w:r>
      <w:proofErr w:type="spellStart"/>
      <w:r>
        <w:t>Mroz</w:t>
      </w:r>
      <w:proofErr w:type="spellEnd"/>
      <w:r>
        <w:t xml:space="preserve"> is selected for this review.</w:t>
      </w:r>
    </w:p>
    <w:p w:rsidR="00D13452" w:rsidRDefault="00D13452" w:rsidP="00067D1F">
      <w:pPr>
        <w:jc w:val="both"/>
      </w:pPr>
      <w:r>
        <w:t>The layered fabric of a material is taken into account by a second-order microstructure tensor</w:t>
      </w:r>
    </w:p>
    <w:p w:rsidR="00D13452" w:rsidRDefault="00D13452" w:rsidP="00067D1F">
      <w:pPr>
        <w:jc w:val="both"/>
      </w:pPr>
      <w:r>
        <w:t xml:space="preserve">            </w:t>
      </w:r>
      <w:bookmarkStart w:id="0" w:name="_GoBack"/>
      <w:bookmarkEnd w:id="0"/>
    </w:p>
    <w:p w:rsidR="001850DD" w:rsidRDefault="001850DD" w:rsidP="00067D1F">
      <w:pPr>
        <w:jc w:val="both"/>
      </w:pPr>
    </w:p>
    <w:p w:rsidR="00E86347" w:rsidRPr="00DE054B" w:rsidRDefault="00E86347" w:rsidP="00067D1F">
      <w:pPr>
        <w:jc w:val="both"/>
      </w:pPr>
      <w:r>
        <w:t xml:space="preserve">                    </w:t>
      </w:r>
    </w:p>
    <w:p w:rsidR="00CA6F20" w:rsidRDefault="00CA6F20" w:rsidP="00067D1F">
      <w:pPr>
        <w:jc w:val="both"/>
        <w:rPr>
          <w:rFonts w:ascii="Cambria Math" w:hAnsi="Cambria Math" w:cs="Cambria Math"/>
          <w:vertAlign w:val="subscript"/>
        </w:rPr>
      </w:pPr>
    </w:p>
    <w:p w:rsidR="00CA6F20" w:rsidRDefault="00CA6F20" w:rsidP="00067D1F">
      <w:pPr>
        <w:jc w:val="both"/>
        <w:rPr>
          <w:rFonts w:ascii="Cambria Math" w:hAnsi="Cambria Math" w:cs="Cambria Math"/>
          <w:vertAlign w:val="subscript"/>
        </w:rPr>
      </w:pPr>
    </w:p>
    <w:p w:rsidR="00CA6F20" w:rsidRDefault="00CA6F20" w:rsidP="00067D1F">
      <w:pPr>
        <w:jc w:val="both"/>
      </w:pPr>
    </w:p>
    <w:p w:rsidR="00FE479B" w:rsidRDefault="00FE479B" w:rsidP="00067D1F">
      <w:pPr>
        <w:jc w:val="both"/>
      </w:pPr>
    </w:p>
    <w:sectPr w:rsidR="00FE4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25614"/>
    <w:multiLevelType w:val="hybridMultilevel"/>
    <w:tmpl w:val="FC8EA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0FB"/>
    <w:rsid w:val="00067D1F"/>
    <w:rsid w:val="000727E4"/>
    <w:rsid w:val="000D0E73"/>
    <w:rsid w:val="00137D3B"/>
    <w:rsid w:val="001417A5"/>
    <w:rsid w:val="00146304"/>
    <w:rsid w:val="001850DD"/>
    <w:rsid w:val="001D2CD8"/>
    <w:rsid w:val="002369AE"/>
    <w:rsid w:val="0024460D"/>
    <w:rsid w:val="002B17E2"/>
    <w:rsid w:val="00321DFA"/>
    <w:rsid w:val="00365C45"/>
    <w:rsid w:val="005A1F88"/>
    <w:rsid w:val="00607DBA"/>
    <w:rsid w:val="006274C4"/>
    <w:rsid w:val="00761694"/>
    <w:rsid w:val="008420FB"/>
    <w:rsid w:val="00892782"/>
    <w:rsid w:val="008B5D15"/>
    <w:rsid w:val="009B3C96"/>
    <w:rsid w:val="009E484D"/>
    <w:rsid w:val="00A371F4"/>
    <w:rsid w:val="00AF2CC1"/>
    <w:rsid w:val="00BA57F3"/>
    <w:rsid w:val="00C71AB4"/>
    <w:rsid w:val="00CA6F20"/>
    <w:rsid w:val="00D13452"/>
    <w:rsid w:val="00DE054B"/>
    <w:rsid w:val="00E74B47"/>
    <w:rsid w:val="00E86347"/>
    <w:rsid w:val="00F7619B"/>
    <w:rsid w:val="00F9354C"/>
    <w:rsid w:val="00FA135E"/>
    <w:rsid w:val="00FB003E"/>
    <w:rsid w:val="00FB4EA9"/>
    <w:rsid w:val="00FC3311"/>
    <w:rsid w:val="00FE4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BA"/>
    <w:pPr>
      <w:ind w:left="720"/>
      <w:contextualSpacing/>
    </w:pPr>
  </w:style>
  <w:style w:type="paragraph" w:styleId="BalloonText">
    <w:name w:val="Balloon Text"/>
    <w:basedOn w:val="Normal"/>
    <w:link w:val="BalloonTextChar"/>
    <w:uiPriority w:val="99"/>
    <w:semiHidden/>
    <w:unhideWhenUsed/>
    <w:rsid w:val="00FB0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0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BA"/>
    <w:pPr>
      <w:ind w:left="720"/>
      <w:contextualSpacing/>
    </w:pPr>
  </w:style>
  <w:style w:type="paragraph" w:styleId="BalloonText">
    <w:name w:val="Balloon Text"/>
    <w:basedOn w:val="Normal"/>
    <w:link w:val="BalloonTextChar"/>
    <w:uiPriority w:val="99"/>
    <w:semiHidden/>
    <w:unhideWhenUsed/>
    <w:rsid w:val="00FB0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0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23B1E-2E21-4BF7-93CE-A3FC6EB3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TEJA</dc:creator>
  <cp:lastModifiedBy>SURYA TEJA</cp:lastModifiedBy>
  <cp:revision>24</cp:revision>
  <dcterms:created xsi:type="dcterms:W3CDTF">2022-06-09T15:38:00Z</dcterms:created>
  <dcterms:modified xsi:type="dcterms:W3CDTF">2022-06-09T20:10:00Z</dcterms:modified>
</cp:coreProperties>
</file>